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2.xml" ContentType="application/vnd.openxmlformats-officedocument.wordprocessingml.foot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1E308AE" w14:textId="668B6597" w:rsidR="00670FD4" w:rsidRPr="00987C32" w:rsidRDefault="00566E40" w:rsidP="00566E40">
      <w:pPr>
        <w:spacing w:before="0" w:after="0" w:line="240" w:lineRule="auto"/>
        <w:ind w:left="7200" w:firstLine="720"/>
        <w:rPr>
          <w:rFonts w:cs="Times New Roman"/>
          <w:b/>
          <w:bCs/>
          <w:sz w:val="22"/>
          <w:szCs w:val="22"/>
          <w:lang w:val="ro-RO"/>
        </w:rPr>
      </w:pPr>
      <w:r w:rsidRPr="00566E40">
        <w:rPr>
          <w:rFonts w:cs="Times New Roman"/>
          <w:b/>
          <w:bCs/>
          <w:sz w:val="36"/>
          <w:szCs w:val="36"/>
          <w:lang w:val="ro-RO"/>
        </w:rPr>
        <w:t>Anexa</w:t>
      </w:r>
    </w:p>
    <w:p w14:paraId="7C557E3A" w14:textId="77777777" w:rsidR="00670FD4" w:rsidRDefault="00670FD4" w:rsidP="00670FD4">
      <w:pPr>
        <w:pStyle w:val="Heading1"/>
        <w:spacing w:before="0"/>
        <w:ind w:firstLine="0"/>
        <w:jc w:val="center"/>
      </w:pPr>
      <w:bookmarkStart w:id="0" w:name="_Toc171084800"/>
      <w:r>
        <w:t>Strategia Națională</w:t>
      </w:r>
      <w:r w:rsidRPr="0033469D">
        <w:t xml:space="preserve"> privind gospodărirea integrată </w:t>
      </w:r>
    </w:p>
    <w:p w14:paraId="3979C3F8" w14:textId="235B3037" w:rsidR="00670FD4" w:rsidRDefault="00670FD4" w:rsidP="00670FD4">
      <w:pPr>
        <w:pStyle w:val="Heading1"/>
        <w:spacing w:before="0"/>
        <w:ind w:firstLine="0"/>
        <w:jc w:val="center"/>
      </w:pPr>
      <w:r w:rsidRPr="0033469D">
        <w:t>a zonei costiere</w:t>
      </w:r>
      <w:bookmarkEnd w:id="0"/>
    </w:p>
    <w:p w14:paraId="24F82E4A" w14:textId="77777777" w:rsidR="00670FD4" w:rsidRPr="00670FD4" w:rsidRDefault="00670FD4" w:rsidP="00670FD4"/>
    <w:p w14:paraId="0DD0EE14" w14:textId="77777777" w:rsidR="00670FD4" w:rsidRPr="00670FD4" w:rsidRDefault="00670FD4" w:rsidP="00670FD4">
      <w:pPr>
        <w:spacing w:before="0" w:after="0"/>
        <w:ind w:firstLine="567"/>
        <w:jc w:val="center"/>
        <w:rPr>
          <w:rFonts w:cs="Times New Roman"/>
          <w:b/>
          <w:bCs/>
          <w:color w:val="003399"/>
          <w:lang w:val="ro-RO"/>
        </w:rPr>
      </w:pPr>
    </w:p>
    <w:p w14:paraId="234A3A34" w14:textId="77777777" w:rsidR="00670FD4" w:rsidRPr="00670FD4" w:rsidRDefault="00670FD4" w:rsidP="00670FD4">
      <w:pPr>
        <w:spacing w:before="0" w:after="0" w:line="240" w:lineRule="auto"/>
        <w:ind w:firstLine="567"/>
        <w:jc w:val="center"/>
        <w:rPr>
          <w:rFonts w:cs="Times New Roman"/>
          <w:color w:val="003399"/>
          <w:lang w:val="ro-RO"/>
        </w:rPr>
      </w:pPr>
    </w:p>
    <w:p w14:paraId="2FB2EE09" w14:textId="0947B5FE" w:rsidR="00670FD4" w:rsidRPr="00670FD4" w:rsidRDefault="00670FD4" w:rsidP="00670FD4">
      <w:pPr>
        <w:ind w:firstLine="0"/>
        <w:rPr>
          <w:rFonts w:cs="Times New Roman"/>
          <w:b/>
          <w:bCs/>
          <w:lang w:val="ro-RO"/>
        </w:rPr>
      </w:pPr>
      <w:r w:rsidRPr="00670FD4">
        <w:rPr>
          <w:rFonts w:cs="Times New Roman"/>
          <w:b/>
          <w:bCs/>
          <w:lang w:val="ro-RO"/>
        </w:rPr>
        <w:t>CUPRINS:</w:t>
      </w:r>
    </w:p>
    <w:p w14:paraId="7E62A6EF" w14:textId="77777777" w:rsidR="00670FD4" w:rsidRPr="00670FD4" w:rsidRDefault="00670FD4" w:rsidP="00670FD4">
      <w:pPr>
        <w:ind w:firstLine="567"/>
        <w:rPr>
          <w:rFonts w:cs="Times New Roman"/>
          <w:lang w:val="ro-RO"/>
        </w:rPr>
      </w:pPr>
    </w:p>
    <w:bookmarkStart w:id="1" w:name="_Toc150247004"/>
    <w:p w14:paraId="46F8B959" w14:textId="77777777" w:rsidR="00670FD4" w:rsidRDefault="00670FD4" w:rsidP="00670FD4">
      <w:pPr>
        <w:pStyle w:val="TOC2"/>
        <w:ind w:left="0"/>
        <w:rPr>
          <w:rFonts w:asciiTheme="minorHAnsi" w:eastAsiaTheme="minorEastAsia" w:hAnsiTheme="minorHAnsi" w:cstheme="minorBidi"/>
          <w:noProof/>
          <w:sz w:val="22"/>
          <w:szCs w:val="22"/>
          <w:lang w:val="en-US"/>
          <w14:ligatures w14:val="standardContextual"/>
        </w:rPr>
      </w:pPr>
      <w:r>
        <w:fldChar w:fldCharType="begin"/>
      </w:r>
      <w:r>
        <w:instrText xml:space="preserve"> TOC \o "1-4" \h \z \u </w:instrText>
      </w:r>
      <w:r>
        <w:fldChar w:fldCharType="separate"/>
      </w:r>
      <w:hyperlink w:anchor="_Toc171084799" w:history="1">
        <w:r w:rsidRPr="003A16DC">
          <w:rPr>
            <w:rStyle w:val="Hyperlink"/>
            <w:noProof/>
          </w:rPr>
          <w:t>Listă de abrevieri</w:t>
        </w:r>
        <w:r>
          <w:rPr>
            <w:noProof/>
            <w:webHidden/>
          </w:rPr>
          <w:tab/>
        </w:r>
        <w:r>
          <w:rPr>
            <w:noProof/>
            <w:webHidden/>
          </w:rPr>
          <w:fldChar w:fldCharType="begin"/>
        </w:r>
        <w:r>
          <w:rPr>
            <w:noProof/>
            <w:webHidden/>
          </w:rPr>
          <w:instrText xml:space="preserve"> PAGEREF _Toc171084799 \h </w:instrText>
        </w:r>
        <w:r>
          <w:rPr>
            <w:noProof/>
            <w:webHidden/>
          </w:rPr>
        </w:r>
        <w:r>
          <w:rPr>
            <w:noProof/>
            <w:webHidden/>
          </w:rPr>
          <w:fldChar w:fldCharType="separate"/>
        </w:r>
        <w:r>
          <w:rPr>
            <w:noProof/>
            <w:webHidden/>
          </w:rPr>
          <w:t>4</w:t>
        </w:r>
        <w:r>
          <w:rPr>
            <w:noProof/>
            <w:webHidden/>
          </w:rPr>
          <w:fldChar w:fldCharType="end"/>
        </w:r>
      </w:hyperlink>
    </w:p>
    <w:p w14:paraId="4EEB6BEA" w14:textId="77777777" w:rsidR="00670FD4" w:rsidRDefault="00670FD4" w:rsidP="00670FD4">
      <w:pPr>
        <w:pStyle w:val="TOC1"/>
        <w:tabs>
          <w:tab w:val="left" w:pos="480"/>
        </w:tabs>
        <w:rPr>
          <w:rFonts w:asciiTheme="minorHAnsi" w:eastAsiaTheme="minorEastAsia" w:hAnsiTheme="minorHAnsi" w:cstheme="minorBidi"/>
          <w:noProof/>
          <w:sz w:val="22"/>
          <w:szCs w:val="22"/>
          <w:lang w:val="en-US"/>
          <w14:ligatures w14:val="standardContextual"/>
        </w:rPr>
      </w:pPr>
      <w:hyperlink w:anchor="_Toc171084800" w:history="1">
        <w:r w:rsidRPr="003A16DC">
          <w:rPr>
            <w:rStyle w:val="Hyperlink"/>
            <w:noProof/>
          </w:rPr>
          <w:t>1.</w:t>
        </w:r>
        <w:r>
          <w:rPr>
            <w:rFonts w:asciiTheme="minorHAnsi" w:eastAsiaTheme="minorEastAsia" w:hAnsiTheme="minorHAnsi" w:cstheme="minorBidi"/>
            <w:noProof/>
            <w:sz w:val="22"/>
            <w:szCs w:val="22"/>
            <w:lang w:val="en-US"/>
            <w14:ligatures w14:val="standardContextual"/>
          </w:rPr>
          <w:tab/>
        </w:r>
        <w:r w:rsidRPr="003A16DC">
          <w:rPr>
            <w:rStyle w:val="Hyperlink"/>
            <w:noProof/>
          </w:rPr>
          <w:t>Strategia Națională privind gospodărirea integrată a zonei costiere</w:t>
        </w:r>
        <w:r>
          <w:rPr>
            <w:noProof/>
            <w:webHidden/>
          </w:rPr>
          <w:tab/>
        </w:r>
        <w:r>
          <w:rPr>
            <w:noProof/>
            <w:webHidden/>
          </w:rPr>
          <w:fldChar w:fldCharType="begin"/>
        </w:r>
        <w:r>
          <w:rPr>
            <w:noProof/>
            <w:webHidden/>
          </w:rPr>
          <w:instrText xml:space="preserve"> PAGEREF _Toc171084800 \h </w:instrText>
        </w:r>
        <w:r>
          <w:rPr>
            <w:noProof/>
            <w:webHidden/>
          </w:rPr>
        </w:r>
        <w:r>
          <w:rPr>
            <w:noProof/>
            <w:webHidden/>
          </w:rPr>
          <w:fldChar w:fldCharType="separate"/>
        </w:r>
        <w:r>
          <w:rPr>
            <w:noProof/>
            <w:webHidden/>
          </w:rPr>
          <w:t>11</w:t>
        </w:r>
        <w:r>
          <w:rPr>
            <w:noProof/>
            <w:webHidden/>
          </w:rPr>
          <w:fldChar w:fldCharType="end"/>
        </w:r>
      </w:hyperlink>
    </w:p>
    <w:p w14:paraId="3897CF05" w14:textId="77777777" w:rsidR="00670FD4" w:rsidRDefault="00670FD4" w:rsidP="00670FD4">
      <w:pPr>
        <w:pStyle w:val="TOC2"/>
        <w:rPr>
          <w:rFonts w:asciiTheme="minorHAnsi" w:eastAsiaTheme="minorEastAsia" w:hAnsiTheme="minorHAnsi" w:cstheme="minorBidi"/>
          <w:noProof/>
          <w:sz w:val="22"/>
          <w:szCs w:val="22"/>
          <w:lang w:val="en-US"/>
          <w14:ligatures w14:val="standardContextual"/>
        </w:rPr>
      </w:pPr>
      <w:hyperlink w:anchor="_Toc171084801" w:history="1">
        <w:r w:rsidRPr="003A16DC">
          <w:rPr>
            <w:rStyle w:val="Hyperlink"/>
            <w:noProof/>
          </w:rPr>
          <w:t>1.1 Introducere</w:t>
        </w:r>
        <w:r>
          <w:rPr>
            <w:noProof/>
            <w:webHidden/>
          </w:rPr>
          <w:tab/>
        </w:r>
        <w:r>
          <w:rPr>
            <w:noProof/>
            <w:webHidden/>
          </w:rPr>
          <w:fldChar w:fldCharType="begin"/>
        </w:r>
        <w:r>
          <w:rPr>
            <w:noProof/>
            <w:webHidden/>
          </w:rPr>
          <w:instrText xml:space="preserve"> PAGEREF _Toc171084801 \h </w:instrText>
        </w:r>
        <w:r>
          <w:rPr>
            <w:noProof/>
            <w:webHidden/>
          </w:rPr>
        </w:r>
        <w:r>
          <w:rPr>
            <w:noProof/>
            <w:webHidden/>
          </w:rPr>
          <w:fldChar w:fldCharType="separate"/>
        </w:r>
        <w:r>
          <w:rPr>
            <w:noProof/>
            <w:webHidden/>
          </w:rPr>
          <w:t>11</w:t>
        </w:r>
        <w:r>
          <w:rPr>
            <w:noProof/>
            <w:webHidden/>
          </w:rPr>
          <w:fldChar w:fldCharType="end"/>
        </w:r>
      </w:hyperlink>
    </w:p>
    <w:p w14:paraId="32EDB295" w14:textId="77777777" w:rsidR="00670FD4" w:rsidRDefault="00670FD4" w:rsidP="00670FD4">
      <w:pPr>
        <w:pStyle w:val="TOC2"/>
        <w:rPr>
          <w:rFonts w:asciiTheme="minorHAnsi" w:eastAsiaTheme="minorEastAsia" w:hAnsiTheme="minorHAnsi" w:cstheme="minorBidi"/>
          <w:noProof/>
          <w:sz w:val="22"/>
          <w:szCs w:val="22"/>
          <w:lang w:val="en-US"/>
          <w14:ligatures w14:val="standardContextual"/>
        </w:rPr>
      </w:pPr>
      <w:hyperlink w:anchor="_Toc171084802" w:history="1">
        <w:r w:rsidRPr="003A16DC">
          <w:rPr>
            <w:rStyle w:val="Hyperlink"/>
            <w:noProof/>
          </w:rPr>
          <w:t>1.2 Prioritățile, politicile și cadrul legal existente</w:t>
        </w:r>
        <w:r>
          <w:rPr>
            <w:noProof/>
            <w:webHidden/>
          </w:rPr>
          <w:tab/>
        </w:r>
        <w:r>
          <w:rPr>
            <w:noProof/>
            <w:webHidden/>
          </w:rPr>
          <w:fldChar w:fldCharType="begin"/>
        </w:r>
        <w:r>
          <w:rPr>
            <w:noProof/>
            <w:webHidden/>
          </w:rPr>
          <w:instrText xml:space="preserve"> PAGEREF _Toc171084802 \h </w:instrText>
        </w:r>
        <w:r>
          <w:rPr>
            <w:noProof/>
            <w:webHidden/>
          </w:rPr>
        </w:r>
        <w:r>
          <w:rPr>
            <w:noProof/>
            <w:webHidden/>
          </w:rPr>
          <w:fldChar w:fldCharType="separate"/>
        </w:r>
        <w:r>
          <w:rPr>
            <w:noProof/>
            <w:webHidden/>
          </w:rPr>
          <w:t>16</w:t>
        </w:r>
        <w:r>
          <w:rPr>
            <w:noProof/>
            <w:webHidden/>
          </w:rPr>
          <w:fldChar w:fldCharType="end"/>
        </w:r>
      </w:hyperlink>
    </w:p>
    <w:p w14:paraId="63E8C7B5" w14:textId="77777777" w:rsidR="00670FD4" w:rsidRDefault="00670FD4" w:rsidP="00670FD4">
      <w:pPr>
        <w:pStyle w:val="TOC2"/>
        <w:rPr>
          <w:rFonts w:asciiTheme="minorHAnsi" w:eastAsiaTheme="minorEastAsia" w:hAnsiTheme="minorHAnsi" w:cstheme="minorBidi"/>
          <w:noProof/>
          <w:sz w:val="22"/>
          <w:szCs w:val="22"/>
          <w:lang w:val="en-US"/>
          <w14:ligatures w14:val="standardContextual"/>
        </w:rPr>
      </w:pPr>
      <w:hyperlink w:anchor="_Toc171084803" w:history="1">
        <w:r w:rsidRPr="003A16DC">
          <w:rPr>
            <w:rStyle w:val="Hyperlink"/>
            <w:noProof/>
          </w:rPr>
          <w:t>1.3 Analiza contextului și definirea problemelor  actuale</w:t>
        </w:r>
        <w:r>
          <w:rPr>
            <w:noProof/>
            <w:webHidden/>
          </w:rPr>
          <w:tab/>
        </w:r>
        <w:r>
          <w:rPr>
            <w:noProof/>
            <w:webHidden/>
          </w:rPr>
          <w:fldChar w:fldCharType="begin"/>
        </w:r>
        <w:r>
          <w:rPr>
            <w:noProof/>
            <w:webHidden/>
          </w:rPr>
          <w:instrText xml:space="preserve"> PAGEREF _Toc171084803 \h </w:instrText>
        </w:r>
        <w:r>
          <w:rPr>
            <w:noProof/>
            <w:webHidden/>
          </w:rPr>
        </w:r>
        <w:r>
          <w:rPr>
            <w:noProof/>
            <w:webHidden/>
          </w:rPr>
          <w:fldChar w:fldCharType="separate"/>
        </w:r>
        <w:r>
          <w:rPr>
            <w:noProof/>
            <w:webHidden/>
          </w:rPr>
          <w:t>23</w:t>
        </w:r>
        <w:r>
          <w:rPr>
            <w:noProof/>
            <w:webHidden/>
          </w:rPr>
          <w:fldChar w:fldCharType="end"/>
        </w:r>
      </w:hyperlink>
    </w:p>
    <w:p w14:paraId="744252D4" w14:textId="77777777" w:rsidR="00670FD4" w:rsidRDefault="00670FD4" w:rsidP="00670FD4">
      <w:pPr>
        <w:pStyle w:val="TOC3"/>
        <w:rPr>
          <w:rFonts w:asciiTheme="minorHAnsi" w:eastAsiaTheme="minorEastAsia" w:hAnsiTheme="minorHAnsi" w:cstheme="minorBidi"/>
          <w:noProof/>
          <w:sz w:val="22"/>
          <w:szCs w:val="22"/>
          <w:lang w:val="en-US"/>
          <w14:ligatures w14:val="standardContextual"/>
        </w:rPr>
      </w:pPr>
      <w:hyperlink w:anchor="_Toc171084804" w:history="1">
        <w:r w:rsidRPr="003A16DC">
          <w:rPr>
            <w:rStyle w:val="Hyperlink"/>
            <w:noProof/>
          </w:rPr>
          <w:t>1.3.1. Cadrul natural</w:t>
        </w:r>
        <w:r>
          <w:rPr>
            <w:noProof/>
            <w:webHidden/>
          </w:rPr>
          <w:tab/>
        </w:r>
        <w:r>
          <w:rPr>
            <w:noProof/>
            <w:webHidden/>
          </w:rPr>
          <w:fldChar w:fldCharType="begin"/>
        </w:r>
        <w:r>
          <w:rPr>
            <w:noProof/>
            <w:webHidden/>
          </w:rPr>
          <w:instrText xml:space="preserve"> PAGEREF _Toc171084804 \h </w:instrText>
        </w:r>
        <w:r>
          <w:rPr>
            <w:noProof/>
            <w:webHidden/>
          </w:rPr>
        </w:r>
        <w:r>
          <w:rPr>
            <w:noProof/>
            <w:webHidden/>
          </w:rPr>
          <w:fldChar w:fldCharType="separate"/>
        </w:r>
        <w:r>
          <w:rPr>
            <w:noProof/>
            <w:webHidden/>
          </w:rPr>
          <w:t>26</w:t>
        </w:r>
        <w:r>
          <w:rPr>
            <w:noProof/>
            <w:webHidden/>
          </w:rPr>
          <w:fldChar w:fldCharType="end"/>
        </w:r>
      </w:hyperlink>
    </w:p>
    <w:p w14:paraId="2F707452" w14:textId="77777777" w:rsidR="00670FD4" w:rsidRDefault="00670FD4" w:rsidP="00670FD4">
      <w:pPr>
        <w:pStyle w:val="TOC3"/>
        <w:rPr>
          <w:rFonts w:asciiTheme="minorHAnsi" w:eastAsiaTheme="minorEastAsia" w:hAnsiTheme="minorHAnsi" w:cstheme="minorBidi"/>
          <w:noProof/>
          <w:sz w:val="22"/>
          <w:szCs w:val="22"/>
          <w:lang w:val="en-US"/>
          <w14:ligatures w14:val="standardContextual"/>
        </w:rPr>
      </w:pPr>
      <w:hyperlink w:anchor="_Toc171084805" w:history="1">
        <w:r w:rsidRPr="003A16DC">
          <w:rPr>
            <w:rStyle w:val="Hyperlink"/>
            <w:noProof/>
          </w:rPr>
          <w:t>1.3.2. Situația actuală a mediului, probleme și nevoi identificate</w:t>
        </w:r>
        <w:r>
          <w:rPr>
            <w:noProof/>
            <w:webHidden/>
          </w:rPr>
          <w:tab/>
        </w:r>
        <w:r>
          <w:rPr>
            <w:noProof/>
            <w:webHidden/>
          </w:rPr>
          <w:fldChar w:fldCharType="begin"/>
        </w:r>
        <w:r>
          <w:rPr>
            <w:noProof/>
            <w:webHidden/>
          </w:rPr>
          <w:instrText xml:space="preserve"> PAGEREF _Toc171084805 \h </w:instrText>
        </w:r>
        <w:r>
          <w:rPr>
            <w:noProof/>
            <w:webHidden/>
          </w:rPr>
        </w:r>
        <w:r>
          <w:rPr>
            <w:noProof/>
            <w:webHidden/>
          </w:rPr>
          <w:fldChar w:fldCharType="separate"/>
        </w:r>
        <w:r>
          <w:rPr>
            <w:noProof/>
            <w:webHidden/>
          </w:rPr>
          <w:t>28</w:t>
        </w:r>
        <w:r>
          <w:rPr>
            <w:noProof/>
            <w:webHidden/>
          </w:rPr>
          <w:fldChar w:fldCharType="end"/>
        </w:r>
      </w:hyperlink>
    </w:p>
    <w:p w14:paraId="082B3773" w14:textId="022DA925" w:rsidR="00670FD4" w:rsidRDefault="00670FD4" w:rsidP="00670FD4">
      <w:pPr>
        <w:pStyle w:val="TOC3"/>
        <w:rPr>
          <w:rFonts w:asciiTheme="minorHAnsi" w:eastAsiaTheme="minorEastAsia" w:hAnsiTheme="minorHAnsi" w:cstheme="minorBidi"/>
          <w:noProof/>
          <w:sz w:val="22"/>
          <w:szCs w:val="22"/>
          <w:lang w:val="en-US"/>
          <w14:ligatures w14:val="standardContextual"/>
        </w:rPr>
      </w:pPr>
      <w:hyperlink w:anchor="_Toc171084806" w:history="1">
        <w:r w:rsidRPr="003A16DC">
          <w:rPr>
            <w:rStyle w:val="Hyperlink"/>
            <w:noProof/>
          </w:rPr>
          <w:t>1.3.3. Aspecte socio-demografice</w:t>
        </w:r>
        <w:r>
          <w:rPr>
            <w:noProof/>
            <w:webHidden/>
          </w:rPr>
          <w:fldChar w:fldCharType="begin"/>
        </w:r>
        <w:r>
          <w:rPr>
            <w:noProof/>
            <w:webHidden/>
          </w:rPr>
          <w:instrText xml:space="preserve"> PAGEREF _Toc171084806 \h </w:instrText>
        </w:r>
        <w:r>
          <w:rPr>
            <w:noProof/>
            <w:webHidden/>
          </w:rPr>
        </w:r>
        <w:r>
          <w:rPr>
            <w:noProof/>
            <w:webHidden/>
          </w:rPr>
          <w:fldChar w:fldCharType="separate"/>
        </w:r>
        <w:r>
          <w:rPr>
            <w:noProof/>
            <w:webHidden/>
          </w:rPr>
          <w:t>35</w:t>
        </w:r>
        <w:r>
          <w:rPr>
            <w:noProof/>
            <w:webHidden/>
          </w:rPr>
          <w:fldChar w:fldCharType="end"/>
        </w:r>
      </w:hyperlink>
    </w:p>
    <w:p w14:paraId="7CFAD917" w14:textId="77777777" w:rsidR="00670FD4" w:rsidRDefault="00670FD4" w:rsidP="00670FD4">
      <w:pPr>
        <w:pStyle w:val="TOC3"/>
        <w:rPr>
          <w:rFonts w:asciiTheme="minorHAnsi" w:eastAsiaTheme="minorEastAsia" w:hAnsiTheme="minorHAnsi" w:cstheme="minorBidi"/>
          <w:noProof/>
          <w:sz w:val="22"/>
          <w:szCs w:val="22"/>
          <w:lang w:val="en-US"/>
          <w14:ligatures w14:val="standardContextual"/>
        </w:rPr>
      </w:pPr>
      <w:hyperlink w:anchor="_Toc171084807" w:history="1">
        <w:r w:rsidRPr="003A16DC">
          <w:rPr>
            <w:rStyle w:val="Hyperlink"/>
            <w:noProof/>
          </w:rPr>
          <w:t>1.3.4. Dezvoltare socio-economică</w:t>
        </w:r>
        <w:r>
          <w:rPr>
            <w:noProof/>
            <w:webHidden/>
          </w:rPr>
          <w:tab/>
        </w:r>
        <w:r>
          <w:rPr>
            <w:noProof/>
            <w:webHidden/>
          </w:rPr>
          <w:fldChar w:fldCharType="begin"/>
        </w:r>
        <w:r>
          <w:rPr>
            <w:noProof/>
            <w:webHidden/>
          </w:rPr>
          <w:instrText xml:space="preserve"> PAGEREF _Toc171084807 \h </w:instrText>
        </w:r>
        <w:r>
          <w:rPr>
            <w:noProof/>
            <w:webHidden/>
          </w:rPr>
        </w:r>
        <w:r>
          <w:rPr>
            <w:noProof/>
            <w:webHidden/>
          </w:rPr>
          <w:fldChar w:fldCharType="separate"/>
        </w:r>
        <w:r>
          <w:rPr>
            <w:noProof/>
            <w:webHidden/>
          </w:rPr>
          <w:t>36</w:t>
        </w:r>
        <w:r>
          <w:rPr>
            <w:noProof/>
            <w:webHidden/>
          </w:rPr>
          <w:fldChar w:fldCharType="end"/>
        </w:r>
      </w:hyperlink>
    </w:p>
    <w:p w14:paraId="3E674EE7" w14:textId="77777777" w:rsidR="00670FD4" w:rsidRDefault="00670FD4" w:rsidP="00670FD4">
      <w:pPr>
        <w:pStyle w:val="TOC3"/>
        <w:rPr>
          <w:rFonts w:asciiTheme="minorHAnsi" w:eastAsiaTheme="minorEastAsia" w:hAnsiTheme="minorHAnsi" w:cstheme="minorBidi"/>
          <w:noProof/>
          <w:sz w:val="22"/>
          <w:szCs w:val="22"/>
          <w:lang w:val="en-US"/>
          <w14:ligatures w14:val="standardContextual"/>
        </w:rPr>
      </w:pPr>
      <w:hyperlink w:anchor="_Toc171084808" w:history="1">
        <w:r w:rsidRPr="003A16DC">
          <w:rPr>
            <w:rStyle w:val="Hyperlink"/>
            <w:noProof/>
          </w:rPr>
          <w:t>1.3.5. Principalele presiuni în zona costieră</w:t>
        </w:r>
        <w:r>
          <w:rPr>
            <w:noProof/>
            <w:webHidden/>
          </w:rPr>
          <w:tab/>
        </w:r>
        <w:r>
          <w:rPr>
            <w:noProof/>
            <w:webHidden/>
          </w:rPr>
          <w:fldChar w:fldCharType="begin"/>
        </w:r>
        <w:r>
          <w:rPr>
            <w:noProof/>
            <w:webHidden/>
          </w:rPr>
          <w:instrText xml:space="preserve"> PAGEREF _Toc171084808 \h </w:instrText>
        </w:r>
        <w:r>
          <w:rPr>
            <w:noProof/>
            <w:webHidden/>
          </w:rPr>
        </w:r>
        <w:r>
          <w:rPr>
            <w:noProof/>
            <w:webHidden/>
          </w:rPr>
          <w:fldChar w:fldCharType="separate"/>
        </w:r>
        <w:r>
          <w:rPr>
            <w:noProof/>
            <w:webHidden/>
          </w:rPr>
          <w:t>45</w:t>
        </w:r>
        <w:r>
          <w:rPr>
            <w:noProof/>
            <w:webHidden/>
          </w:rPr>
          <w:fldChar w:fldCharType="end"/>
        </w:r>
      </w:hyperlink>
    </w:p>
    <w:p w14:paraId="1C4ABE06" w14:textId="77777777" w:rsidR="00670FD4" w:rsidRDefault="00670FD4" w:rsidP="00670FD4">
      <w:pPr>
        <w:pStyle w:val="TOC3"/>
        <w:rPr>
          <w:rFonts w:asciiTheme="minorHAnsi" w:eastAsiaTheme="minorEastAsia" w:hAnsiTheme="minorHAnsi" w:cstheme="minorBidi"/>
          <w:noProof/>
          <w:sz w:val="22"/>
          <w:szCs w:val="22"/>
          <w:lang w:val="en-US"/>
          <w14:ligatures w14:val="standardContextual"/>
        </w:rPr>
      </w:pPr>
      <w:hyperlink w:anchor="_Toc171084809" w:history="1">
        <w:r w:rsidRPr="003A16DC">
          <w:rPr>
            <w:rStyle w:val="Hyperlink"/>
            <w:noProof/>
          </w:rPr>
          <w:t>1.3.6. Cadrul instituțional și legislativ actual. Probleme și nevoi identificate</w:t>
        </w:r>
        <w:r>
          <w:rPr>
            <w:noProof/>
            <w:webHidden/>
          </w:rPr>
          <w:tab/>
        </w:r>
        <w:r>
          <w:rPr>
            <w:noProof/>
            <w:webHidden/>
          </w:rPr>
          <w:fldChar w:fldCharType="begin"/>
        </w:r>
        <w:r>
          <w:rPr>
            <w:noProof/>
            <w:webHidden/>
          </w:rPr>
          <w:instrText xml:space="preserve"> PAGEREF _Toc171084809 \h </w:instrText>
        </w:r>
        <w:r>
          <w:rPr>
            <w:noProof/>
            <w:webHidden/>
          </w:rPr>
        </w:r>
        <w:r>
          <w:rPr>
            <w:noProof/>
            <w:webHidden/>
          </w:rPr>
          <w:fldChar w:fldCharType="separate"/>
        </w:r>
        <w:r>
          <w:rPr>
            <w:noProof/>
            <w:webHidden/>
          </w:rPr>
          <w:t>53</w:t>
        </w:r>
        <w:r>
          <w:rPr>
            <w:noProof/>
            <w:webHidden/>
          </w:rPr>
          <w:fldChar w:fldCharType="end"/>
        </w:r>
      </w:hyperlink>
    </w:p>
    <w:p w14:paraId="7A68B84E" w14:textId="77777777" w:rsidR="00670FD4" w:rsidRDefault="00670FD4" w:rsidP="00670FD4">
      <w:pPr>
        <w:pStyle w:val="TOC2"/>
        <w:tabs>
          <w:tab w:val="left" w:pos="720"/>
        </w:tabs>
        <w:rPr>
          <w:rFonts w:asciiTheme="minorHAnsi" w:eastAsiaTheme="minorEastAsia" w:hAnsiTheme="minorHAnsi" w:cstheme="minorBidi"/>
          <w:noProof/>
          <w:sz w:val="22"/>
          <w:szCs w:val="22"/>
          <w:lang w:val="en-US"/>
          <w14:ligatures w14:val="standardContextual"/>
        </w:rPr>
      </w:pPr>
      <w:hyperlink w:anchor="_Toc171084810" w:history="1">
        <w:r w:rsidRPr="003A16DC">
          <w:rPr>
            <w:rStyle w:val="Hyperlink"/>
            <w:noProof/>
          </w:rPr>
          <w:t>1.4</w:t>
        </w:r>
        <w:r>
          <w:rPr>
            <w:rFonts w:asciiTheme="minorHAnsi" w:eastAsiaTheme="minorEastAsia" w:hAnsiTheme="minorHAnsi" w:cstheme="minorBidi"/>
            <w:noProof/>
            <w:sz w:val="22"/>
            <w:szCs w:val="22"/>
            <w:lang w:val="en-US"/>
            <w14:ligatures w14:val="standardContextual"/>
          </w:rPr>
          <w:tab/>
        </w:r>
        <w:r w:rsidRPr="003A16DC">
          <w:rPr>
            <w:rStyle w:val="Hyperlink"/>
            <w:noProof/>
          </w:rPr>
          <w:t>Viziunea</w:t>
        </w:r>
        <w:r>
          <w:rPr>
            <w:noProof/>
            <w:webHidden/>
          </w:rPr>
          <w:tab/>
        </w:r>
        <w:r>
          <w:rPr>
            <w:noProof/>
            <w:webHidden/>
          </w:rPr>
          <w:fldChar w:fldCharType="begin"/>
        </w:r>
        <w:r>
          <w:rPr>
            <w:noProof/>
            <w:webHidden/>
          </w:rPr>
          <w:instrText xml:space="preserve"> PAGEREF _Toc171084810 \h </w:instrText>
        </w:r>
        <w:r>
          <w:rPr>
            <w:noProof/>
            <w:webHidden/>
          </w:rPr>
        </w:r>
        <w:r>
          <w:rPr>
            <w:noProof/>
            <w:webHidden/>
          </w:rPr>
          <w:fldChar w:fldCharType="separate"/>
        </w:r>
        <w:r>
          <w:rPr>
            <w:noProof/>
            <w:webHidden/>
          </w:rPr>
          <w:t>57</w:t>
        </w:r>
        <w:r>
          <w:rPr>
            <w:noProof/>
            <w:webHidden/>
          </w:rPr>
          <w:fldChar w:fldCharType="end"/>
        </w:r>
      </w:hyperlink>
    </w:p>
    <w:p w14:paraId="1E737728" w14:textId="77777777" w:rsidR="00670FD4" w:rsidRDefault="00670FD4" w:rsidP="00670FD4">
      <w:pPr>
        <w:pStyle w:val="TOC2"/>
        <w:tabs>
          <w:tab w:val="left" w:pos="720"/>
        </w:tabs>
        <w:rPr>
          <w:rFonts w:asciiTheme="minorHAnsi" w:eastAsiaTheme="minorEastAsia" w:hAnsiTheme="minorHAnsi" w:cstheme="minorBidi"/>
          <w:noProof/>
          <w:sz w:val="22"/>
          <w:szCs w:val="22"/>
          <w:lang w:val="en-US"/>
          <w14:ligatures w14:val="standardContextual"/>
        </w:rPr>
      </w:pPr>
      <w:hyperlink w:anchor="_Toc171084811" w:history="1">
        <w:r w:rsidRPr="003A16DC">
          <w:rPr>
            <w:rStyle w:val="Hyperlink"/>
            <w:noProof/>
          </w:rPr>
          <w:t>1.5</w:t>
        </w:r>
        <w:r>
          <w:rPr>
            <w:rFonts w:asciiTheme="minorHAnsi" w:eastAsiaTheme="minorEastAsia" w:hAnsiTheme="minorHAnsi" w:cstheme="minorBidi"/>
            <w:noProof/>
            <w:sz w:val="22"/>
            <w:szCs w:val="22"/>
            <w:lang w:val="en-US"/>
            <w14:ligatures w14:val="standardContextual"/>
          </w:rPr>
          <w:tab/>
        </w:r>
        <w:r w:rsidRPr="003A16DC">
          <w:rPr>
            <w:rStyle w:val="Hyperlink"/>
            <w:noProof/>
          </w:rPr>
          <w:t>Obiectivele generale și specifice</w:t>
        </w:r>
        <w:r>
          <w:rPr>
            <w:noProof/>
            <w:webHidden/>
          </w:rPr>
          <w:tab/>
        </w:r>
        <w:r>
          <w:rPr>
            <w:noProof/>
            <w:webHidden/>
          </w:rPr>
          <w:fldChar w:fldCharType="begin"/>
        </w:r>
        <w:r>
          <w:rPr>
            <w:noProof/>
            <w:webHidden/>
          </w:rPr>
          <w:instrText xml:space="preserve"> PAGEREF _Toc171084811 \h </w:instrText>
        </w:r>
        <w:r>
          <w:rPr>
            <w:noProof/>
            <w:webHidden/>
          </w:rPr>
        </w:r>
        <w:r>
          <w:rPr>
            <w:noProof/>
            <w:webHidden/>
          </w:rPr>
          <w:fldChar w:fldCharType="separate"/>
        </w:r>
        <w:r>
          <w:rPr>
            <w:noProof/>
            <w:webHidden/>
          </w:rPr>
          <w:t>58</w:t>
        </w:r>
        <w:r>
          <w:rPr>
            <w:noProof/>
            <w:webHidden/>
          </w:rPr>
          <w:fldChar w:fldCharType="end"/>
        </w:r>
      </w:hyperlink>
    </w:p>
    <w:p w14:paraId="4EAF05E2" w14:textId="77777777" w:rsidR="00670FD4" w:rsidRDefault="00670FD4" w:rsidP="00670FD4">
      <w:pPr>
        <w:pStyle w:val="TOC2"/>
        <w:tabs>
          <w:tab w:val="left" w:pos="720"/>
        </w:tabs>
        <w:rPr>
          <w:rFonts w:asciiTheme="minorHAnsi" w:eastAsiaTheme="minorEastAsia" w:hAnsiTheme="minorHAnsi" w:cstheme="minorBidi"/>
          <w:noProof/>
          <w:sz w:val="22"/>
          <w:szCs w:val="22"/>
          <w:lang w:val="en-US"/>
          <w14:ligatures w14:val="standardContextual"/>
        </w:rPr>
      </w:pPr>
      <w:hyperlink w:anchor="_Toc171084812" w:history="1">
        <w:r w:rsidRPr="003A16DC">
          <w:rPr>
            <w:rStyle w:val="Hyperlink"/>
            <w:noProof/>
          </w:rPr>
          <w:t>1.6</w:t>
        </w:r>
        <w:r>
          <w:rPr>
            <w:rFonts w:asciiTheme="minorHAnsi" w:eastAsiaTheme="minorEastAsia" w:hAnsiTheme="minorHAnsi" w:cstheme="minorBidi"/>
            <w:noProof/>
            <w:sz w:val="22"/>
            <w:szCs w:val="22"/>
            <w:lang w:val="en-US"/>
            <w14:ligatures w14:val="standardContextual"/>
          </w:rPr>
          <w:tab/>
        </w:r>
        <w:r w:rsidRPr="003A16DC">
          <w:rPr>
            <w:rStyle w:val="Hyperlink"/>
            <w:noProof/>
          </w:rPr>
          <w:t>Program / Plan de Acțiune</w:t>
        </w:r>
        <w:r>
          <w:rPr>
            <w:noProof/>
            <w:webHidden/>
          </w:rPr>
          <w:tab/>
        </w:r>
        <w:r>
          <w:rPr>
            <w:noProof/>
            <w:webHidden/>
          </w:rPr>
          <w:fldChar w:fldCharType="begin"/>
        </w:r>
        <w:r>
          <w:rPr>
            <w:noProof/>
            <w:webHidden/>
          </w:rPr>
          <w:instrText xml:space="preserve"> PAGEREF _Toc171084812 \h </w:instrText>
        </w:r>
        <w:r>
          <w:rPr>
            <w:noProof/>
            <w:webHidden/>
          </w:rPr>
        </w:r>
        <w:r>
          <w:rPr>
            <w:noProof/>
            <w:webHidden/>
          </w:rPr>
          <w:fldChar w:fldCharType="separate"/>
        </w:r>
        <w:r>
          <w:rPr>
            <w:noProof/>
            <w:webHidden/>
          </w:rPr>
          <w:t>64</w:t>
        </w:r>
        <w:r>
          <w:rPr>
            <w:noProof/>
            <w:webHidden/>
          </w:rPr>
          <w:fldChar w:fldCharType="end"/>
        </w:r>
      </w:hyperlink>
    </w:p>
    <w:p w14:paraId="2B818C77" w14:textId="77777777" w:rsidR="00670FD4" w:rsidRDefault="00670FD4" w:rsidP="00670FD4">
      <w:pPr>
        <w:pStyle w:val="TOC2"/>
        <w:tabs>
          <w:tab w:val="left" w:pos="720"/>
        </w:tabs>
        <w:rPr>
          <w:rFonts w:asciiTheme="minorHAnsi" w:eastAsiaTheme="minorEastAsia" w:hAnsiTheme="minorHAnsi" w:cstheme="minorBidi"/>
          <w:noProof/>
          <w:sz w:val="22"/>
          <w:szCs w:val="22"/>
          <w:lang w:val="en-US"/>
          <w14:ligatures w14:val="standardContextual"/>
        </w:rPr>
      </w:pPr>
      <w:hyperlink w:anchor="_Toc171084813" w:history="1">
        <w:r w:rsidRPr="003A16DC">
          <w:rPr>
            <w:rStyle w:val="Hyperlink"/>
            <w:noProof/>
          </w:rPr>
          <w:t>1.7</w:t>
        </w:r>
        <w:r>
          <w:rPr>
            <w:rFonts w:asciiTheme="minorHAnsi" w:eastAsiaTheme="minorEastAsia" w:hAnsiTheme="minorHAnsi" w:cstheme="minorBidi"/>
            <w:noProof/>
            <w:sz w:val="22"/>
            <w:szCs w:val="22"/>
            <w:lang w:val="en-US"/>
            <w14:ligatures w14:val="standardContextual"/>
          </w:rPr>
          <w:tab/>
        </w:r>
        <w:r w:rsidRPr="003A16DC">
          <w:rPr>
            <w:rStyle w:val="Hyperlink"/>
            <w:noProof/>
          </w:rPr>
          <w:t>Rezultatele așteptate</w:t>
        </w:r>
        <w:r>
          <w:rPr>
            <w:noProof/>
            <w:webHidden/>
          </w:rPr>
          <w:tab/>
        </w:r>
        <w:r>
          <w:rPr>
            <w:noProof/>
            <w:webHidden/>
          </w:rPr>
          <w:fldChar w:fldCharType="begin"/>
        </w:r>
        <w:r>
          <w:rPr>
            <w:noProof/>
            <w:webHidden/>
          </w:rPr>
          <w:instrText xml:space="preserve"> PAGEREF _Toc171084813 \h </w:instrText>
        </w:r>
        <w:r>
          <w:rPr>
            <w:noProof/>
            <w:webHidden/>
          </w:rPr>
        </w:r>
        <w:r>
          <w:rPr>
            <w:noProof/>
            <w:webHidden/>
          </w:rPr>
          <w:fldChar w:fldCharType="separate"/>
        </w:r>
        <w:r>
          <w:rPr>
            <w:noProof/>
            <w:webHidden/>
          </w:rPr>
          <w:t>77</w:t>
        </w:r>
        <w:r>
          <w:rPr>
            <w:noProof/>
            <w:webHidden/>
          </w:rPr>
          <w:fldChar w:fldCharType="end"/>
        </w:r>
      </w:hyperlink>
    </w:p>
    <w:p w14:paraId="23F67125" w14:textId="77777777" w:rsidR="00670FD4" w:rsidRDefault="00670FD4" w:rsidP="00670FD4">
      <w:pPr>
        <w:pStyle w:val="TOC2"/>
        <w:tabs>
          <w:tab w:val="left" w:pos="720"/>
        </w:tabs>
        <w:rPr>
          <w:rFonts w:asciiTheme="minorHAnsi" w:eastAsiaTheme="minorEastAsia" w:hAnsiTheme="minorHAnsi" w:cstheme="minorBidi"/>
          <w:noProof/>
          <w:sz w:val="22"/>
          <w:szCs w:val="22"/>
          <w:lang w:val="en-US"/>
          <w14:ligatures w14:val="standardContextual"/>
        </w:rPr>
      </w:pPr>
      <w:hyperlink w:anchor="_Toc171084814" w:history="1">
        <w:r w:rsidRPr="003A16DC">
          <w:rPr>
            <w:rStyle w:val="Hyperlink"/>
            <w:noProof/>
          </w:rPr>
          <w:t>1.8</w:t>
        </w:r>
        <w:r>
          <w:rPr>
            <w:rFonts w:asciiTheme="minorHAnsi" w:eastAsiaTheme="minorEastAsia" w:hAnsiTheme="minorHAnsi" w:cstheme="minorBidi"/>
            <w:noProof/>
            <w:sz w:val="22"/>
            <w:szCs w:val="22"/>
            <w:lang w:val="en-US"/>
            <w14:ligatures w14:val="standardContextual"/>
          </w:rPr>
          <w:tab/>
        </w:r>
        <w:r w:rsidRPr="003A16DC">
          <w:rPr>
            <w:rStyle w:val="Hyperlink"/>
            <w:noProof/>
          </w:rPr>
          <w:t>Indicatori</w:t>
        </w:r>
        <w:r>
          <w:rPr>
            <w:noProof/>
            <w:webHidden/>
          </w:rPr>
          <w:tab/>
        </w:r>
        <w:r>
          <w:rPr>
            <w:noProof/>
            <w:webHidden/>
          </w:rPr>
          <w:fldChar w:fldCharType="begin"/>
        </w:r>
        <w:r>
          <w:rPr>
            <w:noProof/>
            <w:webHidden/>
          </w:rPr>
          <w:instrText xml:space="preserve"> PAGEREF _Toc171084814 \h </w:instrText>
        </w:r>
        <w:r>
          <w:rPr>
            <w:noProof/>
            <w:webHidden/>
          </w:rPr>
        </w:r>
        <w:r>
          <w:rPr>
            <w:noProof/>
            <w:webHidden/>
          </w:rPr>
          <w:fldChar w:fldCharType="separate"/>
        </w:r>
        <w:r>
          <w:rPr>
            <w:noProof/>
            <w:webHidden/>
          </w:rPr>
          <w:t>78</w:t>
        </w:r>
        <w:r>
          <w:rPr>
            <w:noProof/>
            <w:webHidden/>
          </w:rPr>
          <w:fldChar w:fldCharType="end"/>
        </w:r>
      </w:hyperlink>
    </w:p>
    <w:p w14:paraId="405F6FF5" w14:textId="77777777" w:rsidR="00670FD4" w:rsidRDefault="00670FD4" w:rsidP="00670FD4">
      <w:pPr>
        <w:pStyle w:val="TOC2"/>
        <w:tabs>
          <w:tab w:val="left" w:pos="720"/>
        </w:tabs>
        <w:rPr>
          <w:rFonts w:asciiTheme="minorHAnsi" w:eastAsiaTheme="minorEastAsia" w:hAnsiTheme="minorHAnsi" w:cstheme="minorBidi"/>
          <w:noProof/>
          <w:sz w:val="22"/>
          <w:szCs w:val="22"/>
          <w:lang w:val="en-US"/>
          <w14:ligatures w14:val="standardContextual"/>
        </w:rPr>
      </w:pPr>
      <w:hyperlink w:anchor="_Toc171084815" w:history="1">
        <w:r w:rsidRPr="003A16DC">
          <w:rPr>
            <w:rStyle w:val="Hyperlink"/>
            <w:noProof/>
          </w:rPr>
          <w:t>1.9</w:t>
        </w:r>
        <w:r>
          <w:rPr>
            <w:rFonts w:asciiTheme="minorHAnsi" w:eastAsiaTheme="minorEastAsia" w:hAnsiTheme="minorHAnsi" w:cstheme="minorBidi"/>
            <w:noProof/>
            <w:sz w:val="22"/>
            <w:szCs w:val="22"/>
            <w:lang w:val="en-US"/>
            <w14:ligatures w14:val="standardContextual"/>
          </w:rPr>
          <w:tab/>
        </w:r>
        <w:r w:rsidRPr="003A16DC">
          <w:rPr>
            <w:rStyle w:val="Hyperlink"/>
            <w:noProof/>
          </w:rPr>
          <w:t>Procedurile de monitorizare și evaluare</w:t>
        </w:r>
        <w:r>
          <w:rPr>
            <w:noProof/>
            <w:webHidden/>
          </w:rPr>
          <w:tab/>
        </w:r>
        <w:r>
          <w:rPr>
            <w:noProof/>
            <w:webHidden/>
          </w:rPr>
          <w:fldChar w:fldCharType="begin"/>
        </w:r>
        <w:r>
          <w:rPr>
            <w:noProof/>
            <w:webHidden/>
          </w:rPr>
          <w:instrText xml:space="preserve"> PAGEREF _Toc171084815 \h </w:instrText>
        </w:r>
        <w:r>
          <w:rPr>
            <w:noProof/>
            <w:webHidden/>
          </w:rPr>
        </w:r>
        <w:r>
          <w:rPr>
            <w:noProof/>
            <w:webHidden/>
          </w:rPr>
          <w:fldChar w:fldCharType="separate"/>
        </w:r>
        <w:r>
          <w:rPr>
            <w:noProof/>
            <w:webHidden/>
          </w:rPr>
          <w:t>78</w:t>
        </w:r>
        <w:r>
          <w:rPr>
            <w:noProof/>
            <w:webHidden/>
          </w:rPr>
          <w:fldChar w:fldCharType="end"/>
        </w:r>
      </w:hyperlink>
    </w:p>
    <w:p w14:paraId="2856E9D7" w14:textId="77777777" w:rsidR="00670FD4" w:rsidRDefault="00670FD4" w:rsidP="00670FD4">
      <w:pPr>
        <w:pStyle w:val="TOC2"/>
        <w:tabs>
          <w:tab w:val="left" w:pos="880"/>
        </w:tabs>
        <w:rPr>
          <w:rFonts w:asciiTheme="minorHAnsi" w:eastAsiaTheme="minorEastAsia" w:hAnsiTheme="minorHAnsi" w:cstheme="minorBidi"/>
          <w:noProof/>
          <w:sz w:val="22"/>
          <w:szCs w:val="22"/>
          <w:lang w:val="en-US"/>
          <w14:ligatures w14:val="standardContextual"/>
        </w:rPr>
      </w:pPr>
      <w:hyperlink w:anchor="_Toc171084816" w:history="1">
        <w:r w:rsidRPr="003A16DC">
          <w:rPr>
            <w:rStyle w:val="Hyperlink"/>
            <w:noProof/>
          </w:rPr>
          <w:t>1.10</w:t>
        </w:r>
        <w:r>
          <w:rPr>
            <w:rFonts w:asciiTheme="minorHAnsi" w:eastAsiaTheme="minorEastAsia" w:hAnsiTheme="minorHAnsi" w:cstheme="minorBidi"/>
            <w:noProof/>
            <w:sz w:val="22"/>
            <w:szCs w:val="22"/>
            <w:lang w:val="en-US"/>
            <w14:ligatures w14:val="standardContextual"/>
          </w:rPr>
          <w:tab/>
        </w:r>
        <w:r w:rsidRPr="003A16DC">
          <w:rPr>
            <w:rStyle w:val="Hyperlink"/>
            <w:noProof/>
          </w:rPr>
          <w:t>Instituțiile responsabile</w:t>
        </w:r>
        <w:r>
          <w:rPr>
            <w:noProof/>
            <w:webHidden/>
          </w:rPr>
          <w:tab/>
        </w:r>
        <w:r>
          <w:rPr>
            <w:noProof/>
            <w:webHidden/>
          </w:rPr>
          <w:fldChar w:fldCharType="begin"/>
        </w:r>
        <w:r>
          <w:rPr>
            <w:noProof/>
            <w:webHidden/>
          </w:rPr>
          <w:instrText xml:space="preserve"> PAGEREF _Toc171084816 \h </w:instrText>
        </w:r>
        <w:r>
          <w:rPr>
            <w:noProof/>
            <w:webHidden/>
          </w:rPr>
        </w:r>
        <w:r>
          <w:rPr>
            <w:noProof/>
            <w:webHidden/>
          </w:rPr>
          <w:fldChar w:fldCharType="separate"/>
        </w:r>
        <w:r>
          <w:rPr>
            <w:noProof/>
            <w:webHidden/>
          </w:rPr>
          <w:t>80</w:t>
        </w:r>
        <w:r>
          <w:rPr>
            <w:noProof/>
            <w:webHidden/>
          </w:rPr>
          <w:fldChar w:fldCharType="end"/>
        </w:r>
      </w:hyperlink>
    </w:p>
    <w:p w14:paraId="29559CCC" w14:textId="77777777" w:rsidR="00670FD4" w:rsidRDefault="00670FD4" w:rsidP="00670FD4">
      <w:pPr>
        <w:pStyle w:val="TOC2"/>
        <w:rPr>
          <w:rFonts w:asciiTheme="minorHAnsi" w:eastAsiaTheme="minorEastAsia" w:hAnsiTheme="minorHAnsi" w:cstheme="minorBidi"/>
          <w:noProof/>
          <w:sz w:val="22"/>
          <w:szCs w:val="22"/>
          <w:lang w:val="en-US"/>
          <w14:ligatures w14:val="standardContextual"/>
        </w:rPr>
      </w:pPr>
      <w:hyperlink w:anchor="_Toc171084817" w:history="1">
        <w:r w:rsidRPr="003A16DC">
          <w:rPr>
            <w:rStyle w:val="Hyperlink"/>
            <w:noProof/>
          </w:rPr>
          <w:t>1.11 Implicațiile bugetare și sursele de finanțare</w:t>
        </w:r>
        <w:r>
          <w:rPr>
            <w:noProof/>
            <w:webHidden/>
          </w:rPr>
          <w:tab/>
        </w:r>
        <w:r>
          <w:rPr>
            <w:noProof/>
            <w:webHidden/>
          </w:rPr>
          <w:fldChar w:fldCharType="begin"/>
        </w:r>
        <w:r>
          <w:rPr>
            <w:noProof/>
            <w:webHidden/>
          </w:rPr>
          <w:instrText xml:space="preserve"> PAGEREF _Toc171084817 \h </w:instrText>
        </w:r>
        <w:r>
          <w:rPr>
            <w:noProof/>
            <w:webHidden/>
          </w:rPr>
        </w:r>
        <w:r>
          <w:rPr>
            <w:noProof/>
            <w:webHidden/>
          </w:rPr>
          <w:fldChar w:fldCharType="separate"/>
        </w:r>
        <w:r>
          <w:rPr>
            <w:noProof/>
            <w:webHidden/>
          </w:rPr>
          <w:t>83</w:t>
        </w:r>
        <w:r>
          <w:rPr>
            <w:noProof/>
            <w:webHidden/>
          </w:rPr>
          <w:fldChar w:fldCharType="end"/>
        </w:r>
      </w:hyperlink>
    </w:p>
    <w:p w14:paraId="546D00B8" w14:textId="77777777" w:rsidR="00670FD4" w:rsidRDefault="00670FD4" w:rsidP="00670FD4">
      <w:pPr>
        <w:pStyle w:val="TOC2"/>
        <w:rPr>
          <w:rFonts w:asciiTheme="minorHAnsi" w:eastAsiaTheme="minorEastAsia" w:hAnsiTheme="minorHAnsi" w:cstheme="minorBidi"/>
          <w:noProof/>
          <w:sz w:val="22"/>
          <w:szCs w:val="22"/>
          <w:lang w:val="en-US"/>
          <w14:ligatures w14:val="standardContextual"/>
        </w:rPr>
      </w:pPr>
      <w:hyperlink w:anchor="_Toc171084818" w:history="1">
        <w:r w:rsidRPr="003A16DC">
          <w:rPr>
            <w:rStyle w:val="Hyperlink"/>
            <w:noProof/>
          </w:rPr>
          <w:t>1.12 Implicațiile asupra cadrului juridic</w:t>
        </w:r>
        <w:r>
          <w:rPr>
            <w:noProof/>
            <w:webHidden/>
          </w:rPr>
          <w:tab/>
        </w:r>
        <w:r>
          <w:rPr>
            <w:noProof/>
            <w:webHidden/>
          </w:rPr>
          <w:fldChar w:fldCharType="begin"/>
        </w:r>
        <w:r>
          <w:rPr>
            <w:noProof/>
            <w:webHidden/>
          </w:rPr>
          <w:instrText xml:space="preserve"> PAGEREF _Toc171084818 \h </w:instrText>
        </w:r>
        <w:r>
          <w:rPr>
            <w:noProof/>
            <w:webHidden/>
          </w:rPr>
        </w:r>
        <w:r>
          <w:rPr>
            <w:noProof/>
            <w:webHidden/>
          </w:rPr>
          <w:fldChar w:fldCharType="separate"/>
        </w:r>
        <w:r>
          <w:rPr>
            <w:noProof/>
            <w:webHidden/>
          </w:rPr>
          <w:t>91</w:t>
        </w:r>
        <w:r>
          <w:rPr>
            <w:noProof/>
            <w:webHidden/>
          </w:rPr>
          <w:fldChar w:fldCharType="end"/>
        </w:r>
      </w:hyperlink>
    </w:p>
    <w:p w14:paraId="74C17F0A" w14:textId="77777777" w:rsidR="00670FD4" w:rsidRDefault="00670FD4" w:rsidP="00670FD4">
      <w:pPr>
        <w:pStyle w:val="TOC1"/>
        <w:tabs>
          <w:tab w:val="left" w:pos="480"/>
        </w:tabs>
        <w:rPr>
          <w:rFonts w:asciiTheme="minorHAnsi" w:eastAsiaTheme="minorEastAsia" w:hAnsiTheme="minorHAnsi" w:cstheme="minorBidi"/>
          <w:noProof/>
          <w:sz w:val="22"/>
          <w:szCs w:val="22"/>
          <w:lang w:val="en-US"/>
          <w14:ligatures w14:val="standardContextual"/>
        </w:rPr>
      </w:pPr>
      <w:hyperlink w:anchor="_Toc171084819" w:history="1">
        <w:r w:rsidRPr="003A16DC">
          <w:rPr>
            <w:rStyle w:val="Hyperlink"/>
            <w:noProof/>
            <w:lang w:val="ro-RO"/>
          </w:rPr>
          <w:t>2</w:t>
        </w:r>
        <w:r>
          <w:rPr>
            <w:rFonts w:asciiTheme="minorHAnsi" w:eastAsiaTheme="minorEastAsia" w:hAnsiTheme="minorHAnsi" w:cstheme="minorBidi"/>
            <w:noProof/>
            <w:sz w:val="22"/>
            <w:szCs w:val="22"/>
            <w:lang w:val="en-US"/>
            <w14:ligatures w14:val="standardContextual"/>
          </w:rPr>
          <w:tab/>
        </w:r>
        <w:r w:rsidRPr="003A16DC">
          <w:rPr>
            <w:rStyle w:val="Hyperlink"/>
            <w:noProof/>
            <w:lang w:val="ro-RO"/>
          </w:rPr>
          <w:t>Planul de Management integrat al zonei costiere</w:t>
        </w:r>
        <w:r>
          <w:rPr>
            <w:noProof/>
            <w:webHidden/>
          </w:rPr>
          <w:tab/>
        </w:r>
        <w:r>
          <w:rPr>
            <w:noProof/>
            <w:webHidden/>
          </w:rPr>
          <w:fldChar w:fldCharType="begin"/>
        </w:r>
        <w:r>
          <w:rPr>
            <w:noProof/>
            <w:webHidden/>
          </w:rPr>
          <w:instrText xml:space="preserve"> PAGEREF _Toc171084819 \h </w:instrText>
        </w:r>
        <w:r>
          <w:rPr>
            <w:noProof/>
            <w:webHidden/>
          </w:rPr>
        </w:r>
        <w:r>
          <w:rPr>
            <w:noProof/>
            <w:webHidden/>
          </w:rPr>
          <w:fldChar w:fldCharType="separate"/>
        </w:r>
        <w:r>
          <w:rPr>
            <w:noProof/>
            <w:webHidden/>
          </w:rPr>
          <w:t>93</w:t>
        </w:r>
        <w:r>
          <w:rPr>
            <w:noProof/>
            <w:webHidden/>
          </w:rPr>
          <w:fldChar w:fldCharType="end"/>
        </w:r>
      </w:hyperlink>
    </w:p>
    <w:p w14:paraId="3E338790" w14:textId="77777777" w:rsidR="00670FD4" w:rsidRDefault="00670FD4" w:rsidP="00670FD4">
      <w:pPr>
        <w:pStyle w:val="TOC2"/>
        <w:tabs>
          <w:tab w:val="left" w:pos="720"/>
        </w:tabs>
        <w:rPr>
          <w:rFonts w:asciiTheme="minorHAnsi" w:eastAsiaTheme="minorEastAsia" w:hAnsiTheme="minorHAnsi" w:cstheme="minorBidi"/>
          <w:noProof/>
          <w:sz w:val="22"/>
          <w:szCs w:val="22"/>
          <w:lang w:val="en-US"/>
          <w14:ligatures w14:val="standardContextual"/>
        </w:rPr>
      </w:pPr>
      <w:hyperlink w:anchor="_Toc171084820" w:history="1">
        <w:r w:rsidRPr="003A16DC">
          <w:rPr>
            <w:rStyle w:val="Hyperlink"/>
            <w:noProof/>
          </w:rPr>
          <w:t>2.4</w:t>
        </w:r>
        <w:r>
          <w:rPr>
            <w:rFonts w:asciiTheme="minorHAnsi" w:eastAsiaTheme="minorEastAsia" w:hAnsiTheme="minorHAnsi" w:cstheme="minorBidi"/>
            <w:noProof/>
            <w:sz w:val="22"/>
            <w:szCs w:val="22"/>
            <w:lang w:val="en-US"/>
            <w14:ligatures w14:val="standardContextual"/>
          </w:rPr>
          <w:tab/>
        </w:r>
        <w:r w:rsidRPr="003A16DC">
          <w:rPr>
            <w:rStyle w:val="Hyperlink"/>
            <w:noProof/>
          </w:rPr>
          <w:t>Introducere</w:t>
        </w:r>
        <w:r>
          <w:rPr>
            <w:noProof/>
            <w:webHidden/>
          </w:rPr>
          <w:tab/>
        </w:r>
        <w:r>
          <w:rPr>
            <w:noProof/>
            <w:webHidden/>
          </w:rPr>
          <w:fldChar w:fldCharType="begin"/>
        </w:r>
        <w:r>
          <w:rPr>
            <w:noProof/>
            <w:webHidden/>
          </w:rPr>
          <w:instrText xml:space="preserve"> PAGEREF _Toc171084820 \h </w:instrText>
        </w:r>
        <w:r>
          <w:rPr>
            <w:noProof/>
            <w:webHidden/>
          </w:rPr>
        </w:r>
        <w:r>
          <w:rPr>
            <w:noProof/>
            <w:webHidden/>
          </w:rPr>
          <w:fldChar w:fldCharType="separate"/>
        </w:r>
        <w:r>
          <w:rPr>
            <w:noProof/>
            <w:webHidden/>
          </w:rPr>
          <w:t>93</w:t>
        </w:r>
        <w:r>
          <w:rPr>
            <w:noProof/>
            <w:webHidden/>
          </w:rPr>
          <w:fldChar w:fldCharType="end"/>
        </w:r>
      </w:hyperlink>
    </w:p>
    <w:p w14:paraId="59E46C90" w14:textId="77777777" w:rsidR="00670FD4" w:rsidRDefault="00670FD4" w:rsidP="00670FD4">
      <w:pPr>
        <w:pStyle w:val="TOC2"/>
        <w:rPr>
          <w:rFonts w:asciiTheme="minorHAnsi" w:eastAsiaTheme="minorEastAsia" w:hAnsiTheme="minorHAnsi" w:cstheme="minorBidi"/>
          <w:noProof/>
          <w:sz w:val="22"/>
          <w:szCs w:val="22"/>
          <w:lang w:val="en-US"/>
          <w14:ligatures w14:val="standardContextual"/>
        </w:rPr>
      </w:pPr>
      <w:hyperlink w:anchor="_Toc171084821" w:history="1">
        <w:r w:rsidRPr="003A16DC">
          <w:rPr>
            <w:rStyle w:val="Hyperlink"/>
            <w:noProof/>
          </w:rPr>
          <w:t>2.2 Cadrul instituțional și legislativ actual referitor la managementul integrat al zonei costiere și problemele identificate</w:t>
        </w:r>
        <w:r>
          <w:rPr>
            <w:noProof/>
            <w:webHidden/>
          </w:rPr>
          <w:tab/>
        </w:r>
        <w:r>
          <w:rPr>
            <w:noProof/>
            <w:webHidden/>
          </w:rPr>
          <w:fldChar w:fldCharType="begin"/>
        </w:r>
        <w:r>
          <w:rPr>
            <w:noProof/>
            <w:webHidden/>
          </w:rPr>
          <w:instrText xml:space="preserve"> PAGEREF _Toc171084821 \h </w:instrText>
        </w:r>
        <w:r>
          <w:rPr>
            <w:noProof/>
            <w:webHidden/>
          </w:rPr>
        </w:r>
        <w:r>
          <w:rPr>
            <w:noProof/>
            <w:webHidden/>
          </w:rPr>
          <w:fldChar w:fldCharType="separate"/>
        </w:r>
        <w:r>
          <w:rPr>
            <w:noProof/>
            <w:webHidden/>
          </w:rPr>
          <w:t>95</w:t>
        </w:r>
        <w:r>
          <w:rPr>
            <w:noProof/>
            <w:webHidden/>
          </w:rPr>
          <w:fldChar w:fldCharType="end"/>
        </w:r>
      </w:hyperlink>
    </w:p>
    <w:p w14:paraId="2B25B491" w14:textId="77777777" w:rsidR="00670FD4" w:rsidRDefault="00670FD4" w:rsidP="00670FD4">
      <w:pPr>
        <w:pStyle w:val="TOC3"/>
        <w:rPr>
          <w:rFonts w:asciiTheme="minorHAnsi" w:eastAsiaTheme="minorEastAsia" w:hAnsiTheme="minorHAnsi" w:cstheme="minorBidi"/>
          <w:noProof/>
          <w:sz w:val="22"/>
          <w:szCs w:val="22"/>
          <w:lang w:val="en-US"/>
          <w14:ligatures w14:val="standardContextual"/>
        </w:rPr>
      </w:pPr>
      <w:hyperlink w:anchor="_Toc171084822" w:history="1">
        <w:r w:rsidRPr="003A16DC">
          <w:rPr>
            <w:rStyle w:val="Hyperlink"/>
            <w:noProof/>
          </w:rPr>
          <w:t>2.2.1 Cadrul instituțional actual și problemele identificate</w:t>
        </w:r>
        <w:r>
          <w:rPr>
            <w:noProof/>
            <w:webHidden/>
          </w:rPr>
          <w:tab/>
        </w:r>
        <w:r>
          <w:rPr>
            <w:noProof/>
            <w:webHidden/>
          </w:rPr>
          <w:fldChar w:fldCharType="begin"/>
        </w:r>
        <w:r>
          <w:rPr>
            <w:noProof/>
            <w:webHidden/>
          </w:rPr>
          <w:instrText xml:space="preserve"> PAGEREF _Toc171084822 \h </w:instrText>
        </w:r>
        <w:r>
          <w:rPr>
            <w:noProof/>
            <w:webHidden/>
          </w:rPr>
        </w:r>
        <w:r>
          <w:rPr>
            <w:noProof/>
            <w:webHidden/>
          </w:rPr>
          <w:fldChar w:fldCharType="separate"/>
        </w:r>
        <w:r>
          <w:rPr>
            <w:noProof/>
            <w:webHidden/>
          </w:rPr>
          <w:t>95</w:t>
        </w:r>
        <w:r>
          <w:rPr>
            <w:noProof/>
            <w:webHidden/>
          </w:rPr>
          <w:fldChar w:fldCharType="end"/>
        </w:r>
      </w:hyperlink>
    </w:p>
    <w:p w14:paraId="608CF9DD" w14:textId="77777777" w:rsidR="00670FD4" w:rsidRDefault="00670FD4" w:rsidP="00670FD4">
      <w:pPr>
        <w:pStyle w:val="TOC3"/>
        <w:rPr>
          <w:rFonts w:asciiTheme="minorHAnsi" w:eastAsiaTheme="minorEastAsia" w:hAnsiTheme="minorHAnsi" w:cstheme="minorBidi"/>
          <w:noProof/>
          <w:sz w:val="22"/>
          <w:szCs w:val="22"/>
          <w:lang w:val="en-US"/>
          <w14:ligatures w14:val="standardContextual"/>
        </w:rPr>
      </w:pPr>
      <w:hyperlink w:anchor="_Toc171084823" w:history="1">
        <w:r w:rsidRPr="003A16DC">
          <w:rPr>
            <w:rStyle w:val="Hyperlink"/>
            <w:noProof/>
          </w:rPr>
          <w:t>2.2.2 Cadrul legislativ actual și problemele identificate</w:t>
        </w:r>
        <w:r>
          <w:rPr>
            <w:noProof/>
            <w:webHidden/>
          </w:rPr>
          <w:tab/>
        </w:r>
        <w:r>
          <w:rPr>
            <w:noProof/>
            <w:webHidden/>
          </w:rPr>
          <w:fldChar w:fldCharType="begin"/>
        </w:r>
        <w:r>
          <w:rPr>
            <w:noProof/>
            <w:webHidden/>
          </w:rPr>
          <w:instrText xml:space="preserve"> PAGEREF _Toc171084823 \h </w:instrText>
        </w:r>
        <w:r>
          <w:rPr>
            <w:noProof/>
            <w:webHidden/>
          </w:rPr>
        </w:r>
        <w:r>
          <w:rPr>
            <w:noProof/>
            <w:webHidden/>
          </w:rPr>
          <w:fldChar w:fldCharType="separate"/>
        </w:r>
        <w:r>
          <w:rPr>
            <w:noProof/>
            <w:webHidden/>
          </w:rPr>
          <w:t>98</w:t>
        </w:r>
        <w:r>
          <w:rPr>
            <w:noProof/>
            <w:webHidden/>
          </w:rPr>
          <w:fldChar w:fldCharType="end"/>
        </w:r>
      </w:hyperlink>
    </w:p>
    <w:p w14:paraId="1B5A6F4D" w14:textId="77777777" w:rsidR="00670FD4" w:rsidRDefault="00670FD4" w:rsidP="00670FD4">
      <w:pPr>
        <w:pStyle w:val="TOC2"/>
        <w:rPr>
          <w:rFonts w:asciiTheme="minorHAnsi" w:eastAsiaTheme="minorEastAsia" w:hAnsiTheme="minorHAnsi" w:cstheme="minorBidi"/>
          <w:noProof/>
          <w:sz w:val="22"/>
          <w:szCs w:val="22"/>
          <w:lang w:val="en-US"/>
          <w14:ligatures w14:val="standardContextual"/>
        </w:rPr>
      </w:pPr>
      <w:hyperlink w:anchor="_Toc171084824" w:history="1">
        <w:r w:rsidRPr="003A16DC">
          <w:rPr>
            <w:rStyle w:val="Hyperlink"/>
            <w:noProof/>
          </w:rPr>
          <w:t>2.3 Delimitarea zonei costiere</w:t>
        </w:r>
        <w:r>
          <w:rPr>
            <w:noProof/>
            <w:webHidden/>
          </w:rPr>
          <w:tab/>
        </w:r>
        <w:r>
          <w:rPr>
            <w:noProof/>
            <w:webHidden/>
          </w:rPr>
          <w:fldChar w:fldCharType="begin"/>
        </w:r>
        <w:r>
          <w:rPr>
            <w:noProof/>
            <w:webHidden/>
          </w:rPr>
          <w:instrText xml:space="preserve"> PAGEREF _Toc171084824 \h </w:instrText>
        </w:r>
        <w:r>
          <w:rPr>
            <w:noProof/>
            <w:webHidden/>
          </w:rPr>
        </w:r>
        <w:r>
          <w:rPr>
            <w:noProof/>
            <w:webHidden/>
          </w:rPr>
          <w:fldChar w:fldCharType="separate"/>
        </w:r>
        <w:r>
          <w:rPr>
            <w:noProof/>
            <w:webHidden/>
          </w:rPr>
          <w:t>100</w:t>
        </w:r>
        <w:r>
          <w:rPr>
            <w:noProof/>
            <w:webHidden/>
          </w:rPr>
          <w:fldChar w:fldCharType="end"/>
        </w:r>
      </w:hyperlink>
    </w:p>
    <w:p w14:paraId="776C928B" w14:textId="77777777" w:rsidR="00670FD4" w:rsidRDefault="00670FD4" w:rsidP="00670FD4">
      <w:pPr>
        <w:pStyle w:val="TOC2"/>
        <w:tabs>
          <w:tab w:val="left" w:pos="720"/>
        </w:tabs>
        <w:rPr>
          <w:rFonts w:asciiTheme="minorHAnsi" w:eastAsiaTheme="minorEastAsia" w:hAnsiTheme="minorHAnsi" w:cstheme="minorBidi"/>
          <w:noProof/>
          <w:sz w:val="22"/>
          <w:szCs w:val="22"/>
          <w:lang w:val="en-US"/>
          <w14:ligatures w14:val="standardContextual"/>
        </w:rPr>
      </w:pPr>
      <w:hyperlink w:anchor="_Toc171084825" w:history="1">
        <w:r w:rsidRPr="003A16DC">
          <w:rPr>
            <w:rStyle w:val="Hyperlink"/>
            <w:noProof/>
          </w:rPr>
          <w:t>2.5</w:t>
        </w:r>
        <w:r>
          <w:rPr>
            <w:rFonts w:asciiTheme="minorHAnsi" w:eastAsiaTheme="minorEastAsia" w:hAnsiTheme="minorHAnsi" w:cstheme="minorBidi"/>
            <w:noProof/>
            <w:sz w:val="22"/>
            <w:szCs w:val="22"/>
            <w:lang w:val="en-US"/>
            <w14:ligatures w14:val="standardContextual"/>
          </w:rPr>
          <w:tab/>
        </w:r>
        <w:r w:rsidRPr="003A16DC">
          <w:rPr>
            <w:rStyle w:val="Hyperlink"/>
            <w:noProof/>
          </w:rPr>
          <w:t>Descrierea generală a caracteristicilor zonei costiere</w:t>
        </w:r>
        <w:r>
          <w:rPr>
            <w:noProof/>
            <w:webHidden/>
          </w:rPr>
          <w:tab/>
        </w:r>
        <w:r>
          <w:rPr>
            <w:noProof/>
            <w:webHidden/>
          </w:rPr>
          <w:fldChar w:fldCharType="begin"/>
        </w:r>
        <w:r>
          <w:rPr>
            <w:noProof/>
            <w:webHidden/>
          </w:rPr>
          <w:instrText xml:space="preserve"> PAGEREF _Toc171084825 \h </w:instrText>
        </w:r>
        <w:r>
          <w:rPr>
            <w:noProof/>
            <w:webHidden/>
          </w:rPr>
        </w:r>
        <w:r>
          <w:rPr>
            <w:noProof/>
            <w:webHidden/>
          </w:rPr>
          <w:fldChar w:fldCharType="separate"/>
        </w:r>
        <w:r>
          <w:rPr>
            <w:noProof/>
            <w:webHidden/>
          </w:rPr>
          <w:t>102</w:t>
        </w:r>
        <w:r>
          <w:rPr>
            <w:noProof/>
            <w:webHidden/>
          </w:rPr>
          <w:fldChar w:fldCharType="end"/>
        </w:r>
      </w:hyperlink>
    </w:p>
    <w:p w14:paraId="1B3ED9D5" w14:textId="77777777" w:rsidR="00670FD4" w:rsidRDefault="00670FD4" w:rsidP="00670FD4">
      <w:pPr>
        <w:pStyle w:val="TOC3"/>
        <w:rPr>
          <w:rFonts w:asciiTheme="minorHAnsi" w:eastAsiaTheme="minorEastAsia" w:hAnsiTheme="minorHAnsi" w:cstheme="minorBidi"/>
          <w:noProof/>
          <w:sz w:val="22"/>
          <w:szCs w:val="22"/>
          <w:lang w:val="en-US"/>
          <w14:ligatures w14:val="standardContextual"/>
        </w:rPr>
      </w:pPr>
      <w:hyperlink w:anchor="_Toc171084826" w:history="1">
        <w:r w:rsidRPr="003A16DC">
          <w:rPr>
            <w:rStyle w:val="Hyperlink"/>
            <w:noProof/>
          </w:rPr>
          <w:t>2.4.1 Cadrul natural</w:t>
        </w:r>
        <w:r>
          <w:rPr>
            <w:noProof/>
            <w:webHidden/>
          </w:rPr>
          <w:tab/>
        </w:r>
        <w:r>
          <w:rPr>
            <w:noProof/>
            <w:webHidden/>
          </w:rPr>
          <w:fldChar w:fldCharType="begin"/>
        </w:r>
        <w:r>
          <w:rPr>
            <w:noProof/>
            <w:webHidden/>
          </w:rPr>
          <w:instrText xml:space="preserve"> PAGEREF _Toc171084826 \h </w:instrText>
        </w:r>
        <w:r>
          <w:rPr>
            <w:noProof/>
            <w:webHidden/>
          </w:rPr>
        </w:r>
        <w:r>
          <w:rPr>
            <w:noProof/>
            <w:webHidden/>
          </w:rPr>
          <w:fldChar w:fldCharType="separate"/>
        </w:r>
        <w:r>
          <w:rPr>
            <w:noProof/>
            <w:webHidden/>
          </w:rPr>
          <w:t>102</w:t>
        </w:r>
        <w:r>
          <w:rPr>
            <w:noProof/>
            <w:webHidden/>
          </w:rPr>
          <w:fldChar w:fldCharType="end"/>
        </w:r>
      </w:hyperlink>
    </w:p>
    <w:p w14:paraId="55377341" w14:textId="77777777" w:rsidR="00670FD4" w:rsidRDefault="00670FD4" w:rsidP="00670FD4">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71084827" w:history="1">
        <w:r w:rsidRPr="003A16DC">
          <w:rPr>
            <w:rStyle w:val="Hyperlink"/>
            <w:noProof/>
          </w:rPr>
          <w:t>2.4.1.1 Relief și climă</w:t>
        </w:r>
        <w:r>
          <w:rPr>
            <w:noProof/>
            <w:webHidden/>
          </w:rPr>
          <w:tab/>
        </w:r>
        <w:r>
          <w:rPr>
            <w:noProof/>
            <w:webHidden/>
          </w:rPr>
          <w:fldChar w:fldCharType="begin"/>
        </w:r>
        <w:r>
          <w:rPr>
            <w:noProof/>
            <w:webHidden/>
          </w:rPr>
          <w:instrText xml:space="preserve"> PAGEREF _Toc171084827 \h </w:instrText>
        </w:r>
        <w:r>
          <w:rPr>
            <w:noProof/>
            <w:webHidden/>
          </w:rPr>
        </w:r>
        <w:r>
          <w:rPr>
            <w:noProof/>
            <w:webHidden/>
          </w:rPr>
          <w:fldChar w:fldCharType="separate"/>
        </w:r>
        <w:r>
          <w:rPr>
            <w:noProof/>
            <w:webHidden/>
          </w:rPr>
          <w:t>102</w:t>
        </w:r>
        <w:r>
          <w:rPr>
            <w:noProof/>
            <w:webHidden/>
          </w:rPr>
          <w:fldChar w:fldCharType="end"/>
        </w:r>
      </w:hyperlink>
    </w:p>
    <w:p w14:paraId="4B4D6B44" w14:textId="77777777" w:rsidR="00670FD4" w:rsidRDefault="00670FD4" w:rsidP="00670FD4">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71084828" w:history="1">
        <w:r w:rsidRPr="003A16DC">
          <w:rPr>
            <w:rStyle w:val="Hyperlink"/>
            <w:noProof/>
          </w:rPr>
          <w:t>2.4.1.2 Geologie</w:t>
        </w:r>
        <w:r>
          <w:rPr>
            <w:noProof/>
            <w:webHidden/>
          </w:rPr>
          <w:tab/>
        </w:r>
        <w:r>
          <w:rPr>
            <w:noProof/>
            <w:webHidden/>
          </w:rPr>
          <w:fldChar w:fldCharType="begin"/>
        </w:r>
        <w:r>
          <w:rPr>
            <w:noProof/>
            <w:webHidden/>
          </w:rPr>
          <w:instrText xml:space="preserve"> PAGEREF _Toc171084828 \h </w:instrText>
        </w:r>
        <w:r>
          <w:rPr>
            <w:noProof/>
            <w:webHidden/>
          </w:rPr>
        </w:r>
        <w:r>
          <w:rPr>
            <w:noProof/>
            <w:webHidden/>
          </w:rPr>
          <w:fldChar w:fldCharType="separate"/>
        </w:r>
        <w:r>
          <w:rPr>
            <w:noProof/>
            <w:webHidden/>
          </w:rPr>
          <w:t>106</w:t>
        </w:r>
        <w:r>
          <w:rPr>
            <w:noProof/>
            <w:webHidden/>
          </w:rPr>
          <w:fldChar w:fldCharType="end"/>
        </w:r>
      </w:hyperlink>
    </w:p>
    <w:p w14:paraId="7418E3B2" w14:textId="77777777" w:rsidR="00670FD4" w:rsidRDefault="00670FD4" w:rsidP="00670FD4">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71084829" w:history="1">
        <w:r w:rsidRPr="003A16DC">
          <w:rPr>
            <w:rStyle w:val="Hyperlink"/>
            <w:noProof/>
          </w:rPr>
          <w:t>2.4.1.3 Hidrologie</w:t>
        </w:r>
        <w:r>
          <w:rPr>
            <w:noProof/>
            <w:webHidden/>
          </w:rPr>
          <w:tab/>
        </w:r>
        <w:r>
          <w:rPr>
            <w:noProof/>
            <w:webHidden/>
          </w:rPr>
          <w:fldChar w:fldCharType="begin"/>
        </w:r>
        <w:r>
          <w:rPr>
            <w:noProof/>
            <w:webHidden/>
          </w:rPr>
          <w:instrText xml:space="preserve"> PAGEREF _Toc171084829 \h </w:instrText>
        </w:r>
        <w:r>
          <w:rPr>
            <w:noProof/>
            <w:webHidden/>
          </w:rPr>
        </w:r>
        <w:r>
          <w:rPr>
            <w:noProof/>
            <w:webHidden/>
          </w:rPr>
          <w:fldChar w:fldCharType="separate"/>
        </w:r>
        <w:r>
          <w:rPr>
            <w:noProof/>
            <w:webHidden/>
          </w:rPr>
          <w:t>109</w:t>
        </w:r>
        <w:r>
          <w:rPr>
            <w:noProof/>
            <w:webHidden/>
          </w:rPr>
          <w:fldChar w:fldCharType="end"/>
        </w:r>
      </w:hyperlink>
    </w:p>
    <w:p w14:paraId="79E41541" w14:textId="77777777" w:rsidR="00670FD4" w:rsidRDefault="00670FD4" w:rsidP="00670FD4">
      <w:pPr>
        <w:pStyle w:val="TOC3"/>
        <w:rPr>
          <w:rFonts w:asciiTheme="minorHAnsi" w:eastAsiaTheme="minorEastAsia" w:hAnsiTheme="minorHAnsi" w:cstheme="minorBidi"/>
          <w:noProof/>
          <w:sz w:val="22"/>
          <w:szCs w:val="22"/>
          <w:lang w:val="en-US"/>
          <w14:ligatures w14:val="standardContextual"/>
        </w:rPr>
      </w:pPr>
      <w:hyperlink w:anchor="_Toc171084830" w:history="1">
        <w:r w:rsidRPr="003A16DC">
          <w:rPr>
            <w:rStyle w:val="Hyperlink"/>
            <w:noProof/>
          </w:rPr>
          <w:t>2.4.2 Calitatea aerului, apelor și solurilor</w:t>
        </w:r>
        <w:r>
          <w:rPr>
            <w:noProof/>
            <w:webHidden/>
          </w:rPr>
          <w:tab/>
        </w:r>
        <w:r>
          <w:rPr>
            <w:noProof/>
            <w:webHidden/>
          </w:rPr>
          <w:fldChar w:fldCharType="begin"/>
        </w:r>
        <w:r>
          <w:rPr>
            <w:noProof/>
            <w:webHidden/>
          </w:rPr>
          <w:instrText xml:space="preserve"> PAGEREF _Toc171084830 \h </w:instrText>
        </w:r>
        <w:r>
          <w:rPr>
            <w:noProof/>
            <w:webHidden/>
          </w:rPr>
        </w:r>
        <w:r>
          <w:rPr>
            <w:noProof/>
            <w:webHidden/>
          </w:rPr>
          <w:fldChar w:fldCharType="separate"/>
        </w:r>
        <w:r>
          <w:rPr>
            <w:noProof/>
            <w:webHidden/>
          </w:rPr>
          <w:t>111</w:t>
        </w:r>
        <w:r>
          <w:rPr>
            <w:noProof/>
            <w:webHidden/>
          </w:rPr>
          <w:fldChar w:fldCharType="end"/>
        </w:r>
      </w:hyperlink>
    </w:p>
    <w:p w14:paraId="3E10468A" w14:textId="77777777" w:rsidR="00670FD4" w:rsidRDefault="00670FD4" w:rsidP="00670FD4">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71084831" w:history="1">
        <w:r w:rsidRPr="003A16DC">
          <w:rPr>
            <w:rStyle w:val="Hyperlink"/>
            <w:noProof/>
          </w:rPr>
          <w:t>2.4.2.1 Aer</w:t>
        </w:r>
        <w:r>
          <w:rPr>
            <w:noProof/>
            <w:webHidden/>
          </w:rPr>
          <w:tab/>
        </w:r>
        <w:r>
          <w:rPr>
            <w:noProof/>
            <w:webHidden/>
          </w:rPr>
          <w:fldChar w:fldCharType="begin"/>
        </w:r>
        <w:r>
          <w:rPr>
            <w:noProof/>
            <w:webHidden/>
          </w:rPr>
          <w:instrText xml:space="preserve"> PAGEREF _Toc171084831 \h </w:instrText>
        </w:r>
        <w:r>
          <w:rPr>
            <w:noProof/>
            <w:webHidden/>
          </w:rPr>
        </w:r>
        <w:r>
          <w:rPr>
            <w:noProof/>
            <w:webHidden/>
          </w:rPr>
          <w:fldChar w:fldCharType="separate"/>
        </w:r>
        <w:r>
          <w:rPr>
            <w:noProof/>
            <w:webHidden/>
          </w:rPr>
          <w:t>111</w:t>
        </w:r>
        <w:r>
          <w:rPr>
            <w:noProof/>
            <w:webHidden/>
          </w:rPr>
          <w:fldChar w:fldCharType="end"/>
        </w:r>
      </w:hyperlink>
    </w:p>
    <w:p w14:paraId="116EF394" w14:textId="77777777" w:rsidR="00670FD4" w:rsidRDefault="00670FD4" w:rsidP="00670FD4">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71084832" w:history="1">
        <w:r w:rsidRPr="003A16DC">
          <w:rPr>
            <w:rStyle w:val="Hyperlink"/>
            <w:noProof/>
          </w:rPr>
          <w:t>2.4.2.2 Ape</w:t>
        </w:r>
        <w:r>
          <w:rPr>
            <w:noProof/>
            <w:webHidden/>
          </w:rPr>
          <w:tab/>
        </w:r>
        <w:r>
          <w:rPr>
            <w:noProof/>
            <w:webHidden/>
          </w:rPr>
          <w:fldChar w:fldCharType="begin"/>
        </w:r>
        <w:r>
          <w:rPr>
            <w:noProof/>
            <w:webHidden/>
          </w:rPr>
          <w:instrText xml:space="preserve"> PAGEREF _Toc171084832 \h </w:instrText>
        </w:r>
        <w:r>
          <w:rPr>
            <w:noProof/>
            <w:webHidden/>
          </w:rPr>
        </w:r>
        <w:r>
          <w:rPr>
            <w:noProof/>
            <w:webHidden/>
          </w:rPr>
          <w:fldChar w:fldCharType="separate"/>
        </w:r>
        <w:r>
          <w:rPr>
            <w:noProof/>
            <w:webHidden/>
          </w:rPr>
          <w:t>112</w:t>
        </w:r>
        <w:r>
          <w:rPr>
            <w:noProof/>
            <w:webHidden/>
          </w:rPr>
          <w:fldChar w:fldCharType="end"/>
        </w:r>
      </w:hyperlink>
    </w:p>
    <w:p w14:paraId="68832744" w14:textId="77777777" w:rsidR="00670FD4" w:rsidRDefault="00670FD4" w:rsidP="00670FD4">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71084833" w:history="1">
        <w:r w:rsidRPr="003A16DC">
          <w:rPr>
            <w:rStyle w:val="Hyperlink"/>
            <w:noProof/>
          </w:rPr>
          <w:t>2.4.2.3 Soluri</w:t>
        </w:r>
        <w:r>
          <w:rPr>
            <w:noProof/>
            <w:webHidden/>
          </w:rPr>
          <w:tab/>
        </w:r>
        <w:r>
          <w:rPr>
            <w:noProof/>
            <w:webHidden/>
          </w:rPr>
          <w:fldChar w:fldCharType="begin"/>
        </w:r>
        <w:r>
          <w:rPr>
            <w:noProof/>
            <w:webHidden/>
          </w:rPr>
          <w:instrText xml:space="preserve"> PAGEREF _Toc171084833 \h </w:instrText>
        </w:r>
        <w:r>
          <w:rPr>
            <w:noProof/>
            <w:webHidden/>
          </w:rPr>
        </w:r>
        <w:r>
          <w:rPr>
            <w:noProof/>
            <w:webHidden/>
          </w:rPr>
          <w:fldChar w:fldCharType="separate"/>
        </w:r>
        <w:r>
          <w:rPr>
            <w:noProof/>
            <w:webHidden/>
          </w:rPr>
          <w:t>120</w:t>
        </w:r>
        <w:r>
          <w:rPr>
            <w:noProof/>
            <w:webHidden/>
          </w:rPr>
          <w:fldChar w:fldCharType="end"/>
        </w:r>
      </w:hyperlink>
    </w:p>
    <w:p w14:paraId="0A8645E1" w14:textId="77777777" w:rsidR="00670FD4" w:rsidRDefault="00670FD4" w:rsidP="00670FD4">
      <w:pPr>
        <w:pStyle w:val="TOC3"/>
        <w:rPr>
          <w:rFonts w:asciiTheme="minorHAnsi" w:eastAsiaTheme="minorEastAsia" w:hAnsiTheme="minorHAnsi" w:cstheme="minorBidi"/>
          <w:noProof/>
          <w:sz w:val="22"/>
          <w:szCs w:val="22"/>
          <w:lang w:val="en-US"/>
          <w14:ligatures w14:val="standardContextual"/>
        </w:rPr>
      </w:pPr>
      <w:hyperlink w:anchor="_Toc171084834" w:history="1">
        <w:r w:rsidRPr="003A16DC">
          <w:rPr>
            <w:rStyle w:val="Hyperlink"/>
            <w:noProof/>
          </w:rPr>
          <w:t>2.4.3 Biodiversitate</w:t>
        </w:r>
        <w:r>
          <w:rPr>
            <w:noProof/>
            <w:webHidden/>
          </w:rPr>
          <w:tab/>
        </w:r>
        <w:r>
          <w:rPr>
            <w:noProof/>
            <w:webHidden/>
          </w:rPr>
          <w:fldChar w:fldCharType="begin"/>
        </w:r>
        <w:r>
          <w:rPr>
            <w:noProof/>
            <w:webHidden/>
          </w:rPr>
          <w:instrText xml:space="preserve"> PAGEREF _Toc171084834 \h </w:instrText>
        </w:r>
        <w:r>
          <w:rPr>
            <w:noProof/>
            <w:webHidden/>
          </w:rPr>
        </w:r>
        <w:r>
          <w:rPr>
            <w:noProof/>
            <w:webHidden/>
          </w:rPr>
          <w:fldChar w:fldCharType="separate"/>
        </w:r>
        <w:r>
          <w:rPr>
            <w:noProof/>
            <w:webHidden/>
          </w:rPr>
          <w:t>121</w:t>
        </w:r>
        <w:r>
          <w:rPr>
            <w:noProof/>
            <w:webHidden/>
          </w:rPr>
          <w:fldChar w:fldCharType="end"/>
        </w:r>
      </w:hyperlink>
    </w:p>
    <w:p w14:paraId="5C338AF9" w14:textId="77777777" w:rsidR="00670FD4" w:rsidRDefault="00670FD4" w:rsidP="00670FD4">
      <w:pPr>
        <w:pStyle w:val="TOC3"/>
        <w:rPr>
          <w:rFonts w:asciiTheme="minorHAnsi" w:eastAsiaTheme="minorEastAsia" w:hAnsiTheme="minorHAnsi" w:cstheme="minorBidi"/>
          <w:noProof/>
          <w:sz w:val="22"/>
          <w:szCs w:val="22"/>
          <w:lang w:val="en-US"/>
          <w14:ligatures w14:val="standardContextual"/>
        </w:rPr>
      </w:pPr>
      <w:hyperlink w:anchor="_Toc171084835" w:history="1">
        <w:r w:rsidRPr="003A16DC">
          <w:rPr>
            <w:rStyle w:val="Hyperlink"/>
            <w:noProof/>
          </w:rPr>
          <w:t>2.4.4. Resurse naturale</w:t>
        </w:r>
        <w:r>
          <w:rPr>
            <w:noProof/>
            <w:webHidden/>
          </w:rPr>
          <w:tab/>
        </w:r>
        <w:r>
          <w:rPr>
            <w:noProof/>
            <w:webHidden/>
          </w:rPr>
          <w:fldChar w:fldCharType="begin"/>
        </w:r>
        <w:r>
          <w:rPr>
            <w:noProof/>
            <w:webHidden/>
          </w:rPr>
          <w:instrText xml:space="preserve"> PAGEREF _Toc171084835 \h </w:instrText>
        </w:r>
        <w:r>
          <w:rPr>
            <w:noProof/>
            <w:webHidden/>
          </w:rPr>
        </w:r>
        <w:r>
          <w:rPr>
            <w:noProof/>
            <w:webHidden/>
          </w:rPr>
          <w:fldChar w:fldCharType="separate"/>
        </w:r>
        <w:r>
          <w:rPr>
            <w:noProof/>
            <w:webHidden/>
          </w:rPr>
          <w:t>127</w:t>
        </w:r>
        <w:r>
          <w:rPr>
            <w:noProof/>
            <w:webHidden/>
          </w:rPr>
          <w:fldChar w:fldCharType="end"/>
        </w:r>
      </w:hyperlink>
    </w:p>
    <w:p w14:paraId="4067622D" w14:textId="77777777" w:rsidR="00670FD4" w:rsidRDefault="00670FD4" w:rsidP="00670FD4">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71084836" w:history="1">
        <w:r w:rsidRPr="003A16DC">
          <w:rPr>
            <w:rStyle w:val="Hyperlink"/>
            <w:noProof/>
          </w:rPr>
          <w:t>2.4.4.1 Resursa stuficolă</w:t>
        </w:r>
        <w:r>
          <w:rPr>
            <w:noProof/>
            <w:webHidden/>
          </w:rPr>
          <w:tab/>
        </w:r>
        <w:r>
          <w:rPr>
            <w:noProof/>
            <w:webHidden/>
          </w:rPr>
          <w:fldChar w:fldCharType="begin"/>
        </w:r>
        <w:r>
          <w:rPr>
            <w:noProof/>
            <w:webHidden/>
          </w:rPr>
          <w:instrText xml:space="preserve"> PAGEREF _Toc171084836 \h </w:instrText>
        </w:r>
        <w:r>
          <w:rPr>
            <w:noProof/>
            <w:webHidden/>
          </w:rPr>
        </w:r>
        <w:r>
          <w:rPr>
            <w:noProof/>
            <w:webHidden/>
          </w:rPr>
          <w:fldChar w:fldCharType="separate"/>
        </w:r>
        <w:r>
          <w:rPr>
            <w:noProof/>
            <w:webHidden/>
          </w:rPr>
          <w:t>127</w:t>
        </w:r>
        <w:r>
          <w:rPr>
            <w:noProof/>
            <w:webHidden/>
          </w:rPr>
          <w:fldChar w:fldCharType="end"/>
        </w:r>
      </w:hyperlink>
    </w:p>
    <w:p w14:paraId="592E2B84" w14:textId="77777777" w:rsidR="00670FD4" w:rsidRDefault="00670FD4" w:rsidP="00670FD4">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71084837" w:history="1">
        <w:r w:rsidRPr="003A16DC">
          <w:rPr>
            <w:rStyle w:val="Hyperlink"/>
            <w:noProof/>
          </w:rPr>
          <w:t>2.4.4.2 Resursa piscicolă</w:t>
        </w:r>
        <w:r>
          <w:rPr>
            <w:noProof/>
            <w:webHidden/>
          </w:rPr>
          <w:tab/>
        </w:r>
        <w:r>
          <w:rPr>
            <w:noProof/>
            <w:webHidden/>
          </w:rPr>
          <w:fldChar w:fldCharType="begin"/>
        </w:r>
        <w:r>
          <w:rPr>
            <w:noProof/>
            <w:webHidden/>
          </w:rPr>
          <w:instrText xml:space="preserve"> PAGEREF _Toc171084837 \h </w:instrText>
        </w:r>
        <w:r>
          <w:rPr>
            <w:noProof/>
            <w:webHidden/>
          </w:rPr>
        </w:r>
        <w:r>
          <w:rPr>
            <w:noProof/>
            <w:webHidden/>
          </w:rPr>
          <w:fldChar w:fldCharType="separate"/>
        </w:r>
        <w:r>
          <w:rPr>
            <w:noProof/>
            <w:webHidden/>
          </w:rPr>
          <w:t>131</w:t>
        </w:r>
        <w:r>
          <w:rPr>
            <w:noProof/>
            <w:webHidden/>
          </w:rPr>
          <w:fldChar w:fldCharType="end"/>
        </w:r>
      </w:hyperlink>
    </w:p>
    <w:p w14:paraId="5B48589E" w14:textId="77777777" w:rsidR="00670FD4" w:rsidRDefault="00670FD4" w:rsidP="00670FD4">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71084838" w:history="1">
        <w:r w:rsidRPr="003A16DC">
          <w:rPr>
            <w:rStyle w:val="Hyperlink"/>
            <w:noProof/>
          </w:rPr>
          <w:t>2.4.4.3 Resursa de apă subterană</w:t>
        </w:r>
        <w:r>
          <w:rPr>
            <w:noProof/>
            <w:webHidden/>
          </w:rPr>
          <w:tab/>
        </w:r>
        <w:r>
          <w:rPr>
            <w:noProof/>
            <w:webHidden/>
          </w:rPr>
          <w:fldChar w:fldCharType="begin"/>
        </w:r>
        <w:r>
          <w:rPr>
            <w:noProof/>
            <w:webHidden/>
          </w:rPr>
          <w:instrText xml:space="preserve"> PAGEREF _Toc171084838 \h </w:instrText>
        </w:r>
        <w:r>
          <w:rPr>
            <w:noProof/>
            <w:webHidden/>
          </w:rPr>
        </w:r>
        <w:r>
          <w:rPr>
            <w:noProof/>
            <w:webHidden/>
          </w:rPr>
          <w:fldChar w:fldCharType="separate"/>
        </w:r>
        <w:r>
          <w:rPr>
            <w:noProof/>
            <w:webHidden/>
          </w:rPr>
          <w:t>134</w:t>
        </w:r>
        <w:r>
          <w:rPr>
            <w:noProof/>
            <w:webHidden/>
          </w:rPr>
          <w:fldChar w:fldCharType="end"/>
        </w:r>
      </w:hyperlink>
    </w:p>
    <w:p w14:paraId="017C944C" w14:textId="77777777" w:rsidR="00670FD4" w:rsidRDefault="00670FD4" w:rsidP="00670FD4">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71084839" w:history="1">
        <w:r w:rsidRPr="003A16DC">
          <w:rPr>
            <w:rStyle w:val="Hyperlink"/>
            <w:noProof/>
          </w:rPr>
          <w:t>2.4.4.4. Calcare și șisturi verzi</w:t>
        </w:r>
        <w:r>
          <w:rPr>
            <w:noProof/>
            <w:webHidden/>
          </w:rPr>
          <w:tab/>
        </w:r>
        <w:r>
          <w:rPr>
            <w:noProof/>
            <w:webHidden/>
          </w:rPr>
          <w:fldChar w:fldCharType="begin"/>
        </w:r>
        <w:r>
          <w:rPr>
            <w:noProof/>
            <w:webHidden/>
          </w:rPr>
          <w:instrText xml:space="preserve"> PAGEREF _Toc171084839 \h </w:instrText>
        </w:r>
        <w:r>
          <w:rPr>
            <w:noProof/>
            <w:webHidden/>
          </w:rPr>
        </w:r>
        <w:r>
          <w:rPr>
            <w:noProof/>
            <w:webHidden/>
          </w:rPr>
          <w:fldChar w:fldCharType="separate"/>
        </w:r>
        <w:r>
          <w:rPr>
            <w:noProof/>
            <w:webHidden/>
          </w:rPr>
          <w:t>137</w:t>
        </w:r>
        <w:r>
          <w:rPr>
            <w:noProof/>
            <w:webHidden/>
          </w:rPr>
          <w:fldChar w:fldCharType="end"/>
        </w:r>
      </w:hyperlink>
    </w:p>
    <w:p w14:paraId="2351D47E" w14:textId="77777777" w:rsidR="00670FD4" w:rsidRDefault="00670FD4" w:rsidP="00670FD4">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71084840" w:history="1">
        <w:r w:rsidRPr="003A16DC">
          <w:rPr>
            <w:rStyle w:val="Hyperlink"/>
            <w:noProof/>
          </w:rPr>
          <w:t>2.4.4.5 Nisip</w:t>
        </w:r>
        <w:r>
          <w:rPr>
            <w:noProof/>
            <w:webHidden/>
          </w:rPr>
          <w:tab/>
        </w:r>
        <w:r>
          <w:rPr>
            <w:noProof/>
            <w:webHidden/>
          </w:rPr>
          <w:fldChar w:fldCharType="begin"/>
        </w:r>
        <w:r>
          <w:rPr>
            <w:noProof/>
            <w:webHidden/>
          </w:rPr>
          <w:instrText xml:space="preserve"> PAGEREF _Toc171084840 \h </w:instrText>
        </w:r>
        <w:r>
          <w:rPr>
            <w:noProof/>
            <w:webHidden/>
          </w:rPr>
        </w:r>
        <w:r>
          <w:rPr>
            <w:noProof/>
            <w:webHidden/>
          </w:rPr>
          <w:fldChar w:fldCharType="separate"/>
        </w:r>
        <w:r>
          <w:rPr>
            <w:noProof/>
            <w:webHidden/>
          </w:rPr>
          <w:t>137</w:t>
        </w:r>
        <w:r>
          <w:rPr>
            <w:noProof/>
            <w:webHidden/>
          </w:rPr>
          <w:fldChar w:fldCharType="end"/>
        </w:r>
      </w:hyperlink>
    </w:p>
    <w:p w14:paraId="1551B80C" w14:textId="77777777" w:rsidR="00670FD4" w:rsidRDefault="00670FD4" w:rsidP="00670FD4">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71084841" w:history="1">
        <w:r w:rsidRPr="003A16DC">
          <w:rPr>
            <w:rStyle w:val="Hyperlink"/>
            <w:noProof/>
          </w:rPr>
          <w:t>2.4.4.6 Nămol sapropelic</w:t>
        </w:r>
        <w:r>
          <w:rPr>
            <w:noProof/>
            <w:webHidden/>
          </w:rPr>
          <w:tab/>
        </w:r>
        <w:r>
          <w:rPr>
            <w:noProof/>
            <w:webHidden/>
          </w:rPr>
          <w:fldChar w:fldCharType="begin"/>
        </w:r>
        <w:r>
          <w:rPr>
            <w:noProof/>
            <w:webHidden/>
          </w:rPr>
          <w:instrText xml:space="preserve"> PAGEREF _Toc171084841 \h </w:instrText>
        </w:r>
        <w:r>
          <w:rPr>
            <w:noProof/>
            <w:webHidden/>
          </w:rPr>
        </w:r>
        <w:r>
          <w:rPr>
            <w:noProof/>
            <w:webHidden/>
          </w:rPr>
          <w:fldChar w:fldCharType="separate"/>
        </w:r>
        <w:r>
          <w:rPr>
            <w:noProof/>
            <w:webHidden/>
          </w:rPr>
          <w:t>137</w:t>
        </w:r>
        <w:r>
          <w:rPr>
            <w:noProof/>
            <w:webHidden/>
          </w:rPr>
          <w:fldChar w:fldCharType="end"/>
        </w:r>
      </w:hyperlink>
    </w:p>
    <w:p w14:paraId="7B0E7444" w14:textId="77777777" w:rsidR="00670FD4" w:rsidRDefault="00670FD4" w:rsidP="00670FD4">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71084842" w:history="1">
        <w:r w:rsidRPr="003A16DC">
          <w:rPr>
            <w:rStyle w:val="Hyperlink"/>
            <w:noProof/>
          </w:rPr>
          <w:t>2.4.4.7 Ape mezotermale sulfuroase</w:t>
        </w:r>
        <w:r>
          <w:rPr>
            <w:noProof/>
            <w:webHidden/>
          </w:rPr>
          <w:tab/>
        </w:r>
        <w:r>
          <w:rPr>
            <w:noProof/>
            <w:webHidden/>
          </w:rPr>
          <w:fldChar w:fldCharType="begin"/>
        </w:r>
        <w:r>
          <w:rPr>
            <w:noProof/>
            <w:webHidden/>
          </w:rPr>
          <w:instrText xml:space="preserve"> PAGEREF _Toc171084842 \h </w:instrText>
        </w:r>
        <w:r>
          <w:rPr>
            <w:noProof/>
            <w:webHidden/>
          </w:rPr>
        </w:r>
        <w:r>
          <w:rPr>
            <w:noProof/>
            <w:webHidden/>
          </w:rPr>
          <w:fldChar w:fldCharType="separate"/>
        </w:r>
        <w:r>
          <w:rPr>
            <w:noProof/>
            <w:webHidden/>
          </w:rPr>
          <w:t>138</w:t>
        </w:r>
        <w:r>
          <w:rPr>
            <w:noProof/>
            <w:webHidden/>
          </w:rPr>
          <w:fldChar w:fldCharType="end"/>
        </w:r>
      </w:hyperlink>
    </w:p>
    <w:p w14:paraId="748F5D55" w14:textId="77777777" w:rsidR="00670FD4" w:rsidRDefault="00670FD4" w:rsidP="00670FD4">
      <w:pPr>
        <w:pStyle w:val="TOC3"/>
        <w:rPr>
          <w:rFonts w:asciiTheme="minorHAnsi" w:eastAsiaTheme="minorEastAsia" w:hAnsiTheme="minorHAnsi" w:cstheme="minorBidi"/>
          <w:noProof/>
          <w:sz w:val="22"/>
          <w:szCs w:val="22"/>
          <w:lang w:val="en-US"/>
          <w14:ligatures w14:val="standardContextual"/>
        </w:rPr>
      </w:pPr>
      <w:hyperlink w:anchor="_Toc171084843" w:history="1">
        <w:r w:rsidRPr="003A16DC">
          <w:rPr>
            <w:rStyle w:val="Hyperlink"/>
            <w:noProof/>
          </w:rPr>
          <w:t>2.4.5 Patrimoniul cultural</w:t>
        </w:r>
        <w:r>
          <w:rPr>
            <w:noProof/>
            <w:webHidden/>
          </w:rPr>
          <w:tab/>
        </w:r>
        <w:r>
          <w:rPr>
            <w:noProof/>
            <w:webHidden/>
          </w:rPr>
          <w:fldChar w:fldCharType="begin"/>
        </w:r>
        <w:r>
          <w:rPr>
            <w:noProof/>
            <w:webHidden/>
          </w:rPr>
          <w:instrText xml:space="preserve"> PAGEREF _Toc171084843 \h </w:instrText>
        </w:r>
        <w:r>
          <w:rPr>
            <w:noProof/>
            <w:webHidden/>
          </w:rPr>
        </w:r>
        <w:r>
          <w:rPr>
            <w:noProof/>
            <w:webHidden/>
          </w:rPr>
          <w:fldChar w:fldCharType="separate"/>
        </w:r>
        <w:r>
          <w:rPr>
            <w:noProof/>
            <w:webHidden/>
          </w:rPr>
          <w:t>138</w:t>
        </w:r>
        <w:r>
          <w:rPr>
            <w:noProof/>
            <w:webHidden/>
          </w:rPr>
          <w:fldChar w:fldCharType="end"/>
        </w:r>
      </w:hyperlink>
    </w:p>
    <w:p w14:paraId="3AFC7B71" w14:textId="77777777" w:rsidR="00670FD4" w:rsidRDefault="00670FD4" w:rsidP="00670FD4">
      <w:pPr>
        <w:pStyle w:val="TOC3"/>
        <w:rPr>
          <w:rFonts w:asciiTheme="minorHAnsi" w:eastAsiaTheme="minorEastAsia" w:hAnsiTheme="minorHAnsi" w:cstheme="minorBidi"/>
          <w:noProof/>
          <w:sz w:val="22"/>
          <w:szCs w:val="22"/>
          <w:lang w:val="en-US"/>
          <w14:ligatures w14:val="standardContextual"/>
        </w:rPr>
      </w:pPr>
      <w:hyperlink w:anchor="_Toc171084844" w:history="1">
        <w:r w:rsidRPr="003A16DC">
          <w:rPr>
            <w:rStyle w:val="Hyperlink"/>
            <w:noProof/>
          </w:rPr>
          <w:t>2.4.6 Peisaj</w:t>
        </w:r>
        <w:r>
          <w:rPr>
            <w:noProof/>
            <w:webHidden/>
          </w:rPr>
          <w:tab/>
        </w:r>
        <w:r>
          <w:rPr>
            <w:noProof/>
            <w:webHidden/>
          </w:rPr>
          <w:fldChar w:fldCharType="begin"/>
        </w:r>
        <w:r>
          <w:rPr>
            <w:noProof/>
            <w:webHidden/>
          </w:rPr>
          <w:instrText xml:space="preserve"> PAGEREF _Toc171084844 \h </w:instrText>
        </w:r>
        <w:r>
          <w:rPr>
            <w:noProof/>
            <w:webHidden/>
          </w:rPr>
        </w:r>
        <w:r>
          <w:rPr>
            <w:noProof/>
            <w:webHidden/>
          </w:rPr>
          <w:fldChar w:fldCharType="separate"/>
        </w:r>
        <w:r>
          <w:rPr>
            <w:noProof/>
            <w:webHidden/>
          </w:rPr>
          <w:t>142</w:t>
        </w:r>
        <w:r>
          <w:rPr>
            <w:noProof/>
            <w:webHidden/>
          </w:rPr>
          <w:fldChar w:fldCharType="end"/>
        </w:r>
      </w:hyperlink>
    </w:p>
    <w:p w14:paraId="031877BE" w14:textId="77777777" w:rsidR="00670FD4" w:rsidRDefault="00670FD4" w:rsidP="00670FD4">
      <w:pPr>
        <w:pStyle w:val="TOC3"/>
        <w:rPr>
          <w:rFonts w:asciiTheme="minorHAnsi" w:eastAsiaTheme="minorEastAsia" w:hAnsiTheme="minorHAnsi" w:cstheme="minorBidi"/>
          <w:noProof/>
          <w:sz w:val="22"/>
          <w:szCs w:val="22"/>
          <w:lang w:val="en-US"/>
          <w14:ligatures w14:val="standardContextual"/>
        </w:rPr>
      </w:pPr>
      <w:hyperlink w:anchor="_Toc171084845" w:history="1">
        <w:r w:rsidRPr="003A16DC">
          <w:rPr>
            <w:rStyle w:val="Hyperlink"/>
            <w:noProof/>
          </w:rPr>
          <w:t>2.4.7 Aspecte socio-demografice, stare actuală și tendințe</w:t>
        </w:r>
        <w:r>
          <w:rPr>
            <w:noProof/>
            <w:webHidden/>
          </w:rPr>
          <w:tab/>
        </w:r>
        <w:r>
          <w:rPr>
            <w:noProof/>
            <w:webHidden/>
          </w:rPr>
          <w:fldChar w:fldCharType="begin"/>
        </w:r>
        <w:r>
          <w:rPr>
            <w:noProof/>
            <w:webHidden/>
          </w:rPr>
          <w:instrText xml:space="preserve"> PAGEREF _Toc171084845 \h </w:instrText>
        </w:r>
        <w:r>
          <w:rPr>
            <w:noProof/>
            <w:webHidden/>
          </w:rPr>
        </w:r>
        <w:r>
          <w:rPr>
            <w:noProof/>
            <w:webHidden/>
          </w:rPr>
          <w:fldChar w:fldCharType="separate"/>
        </w:r>
        <w:r>
          <w:rPr>
            <w:noProof/>
            <w:webHidden/>
          </w:rPr>
          <w:t>145</w:t>
        </w:r>
        <w:r>
          <w:rPr>
            <w:noProof/>
            <w:webHidden/>
          </w:rPr>
          <w:fldChar w:fldCharType="end"/>
        </w:r>
      </w:hyperlink>
    </w:p>
    <w:p w14:paraId="5CB677C2" w14:textId="77777777" w:rsidR="00670FD4" w:rsidRDefault="00670FD4" w:rsidP="00670FD4">
      <w:pPr>
        <w:pStyle w:val="TOC3"/>
        <w:rPr>
          <w:rFonts w:asciiTheme="minorHAnsi" w:eastAsiaTheme="minorEastAsia" w:hAnsiTheme="minorHAnsi" w:cstheme="minorBidi"/>
          <w:noProof/>
          <w:sz w:val="22"/>
          <w:szCs w:val="22"/>
          <w:lang w:val="en-US"/>
          <w14:ligatures w14:val="standardContextual"/>
        </w:rPr>
      </w:pPr>
      <w:hyperlink w:anchor="_Toc171084846" w:history="1">
        <w:r w:rsidRPr="003A16DC">
          <w:rPr>
            <w:rStyle w:val="Hyperlink"/>
            <w:noProof/>
          </w:rPr>
          <w:t>2.4.8 Aspecte economice, stare actuală și tendințe</w:t>
        </w:r>
        <w:r>
          <w:rPr>
            <w:noProof/>
            <w:webHidden/>
          </w:rPr>
          <w:tab/>
        </w:r>
        <w:r>
          <w:rPr>
            <w:noProof/>
            <w:webHidden/>
          </w:rPr>
          <w:fldChar w:fldCharType="begin"/>
        </w:r>
        <w:r>
          <w:rPr>
            <w:noProof/>
            <w:webHidden/>
          </w:rPr>
          <w:instrText xml:space="preserve"> PAGEREF _Toc171084846 \h </w:instrText>
        </w:r>
        <w:r>
          <w:rPr>
            <w:noProof/>
            <w:webHidden/>
          </w:rPr>
        </w:r>
        <w:r>
          <w:rPr>
            <w:noProof/>
            <w:webHidden/>
          </w:rPr>
          <w:fldChar w:fldCharType="separate"/>
        </w:r>
        <w:r>
          <w:rPr>
            <w:noProof/>
            <w:webHidden/>
          </w:rPr>
          <w:t>146</w:t>
        </w:r>
        <w:r>
          <w:rPr>
            <w:noProof/>
            <w:webHidden/>
          </w:rPr>
          <w:fldChar w:fldCharType="end"/>
        </w:r>
      </w:hyperlink>
    </w:p>
    <w:p w14:paraId="5F1D2F1C" w14:textId="77777777" w:rsidR="00670FD4" w:rsidRDefault="00670FD4" w:rsidP="00670FD4">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71084847" w:history="1">
        <w:r w:rsidRPr="003A16DC">
          <w:rPr>
            <w:rStyle w:val="Hyperlink"/>
            <w:noProof/>
          </w:rPr>
          <w:t>2.4.8.1 Turism</w:t>
        </w:r>
        <w:r>
          <w:rPr>
            <w:noProof/>
            <w:webHidden/>
          </w:rPr>
          <w:tab/>
        </w:r>
        <w:r>
          <w:rPr>
            <w:noProof/>
            <w:webHidden/>
          </w:rPr>
          <w:fldChar w:fldCharType="begin"/>
        </w:r>
        <w:r>
          <w:rPr>
            <w:noProof/>
            <w:webHidden/>
          </w:rPr>
          <w:instrText xml:space="preserve"> PAGEREF _Toc171084847 \h </w:instrText>
        </w:r>
        <w:r>
          <w:rPr>
            <w:noProof/>
            <w:webHidden/>
          </w:rPr>
        </w:r>
        <w:r>
          <w:rPr>
            <w:noProof/>
            <w:webHidden/>
          </w:rPr>
          <w:fldChar w:fldCharType="separate"/>
        </w:r>
        <w:r>
          <w:rPr>
            <w:noProof/>
            <w:webHidden/>
          </w:rPr>
          <w:t>146</w:t>
        </w:r>
        <w:r>
          <w:rPr>
            <w:noProof/>
            <w:webHidden/>
          </w:rPr>
          <w:fldChar w:fldCharType="end"/>
        </w:r>
      </w:hyperlink>
    </w:p>
    <w:p w14:paraId="7DA529A6" w14:textId="77777777" w:rsidR="00670FD4" w:rsidRDefault="00670FD4" w:rsidP="00670FD4">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71084848" w:history="1">
        <w:r w:rsidRPr="003A16DC">
          <w:rPr>
            <w:rStyle w:val="Hyperlink"/>
            <w:noProof/>
          </w:rPr>
          <w:t>4.8.2 Pescuit și acvacultură</w:t>
        </w:r>
        <w:r>
          <w:rPr>
            <w:noProof/>
            <w:webHidden/>
          </w:rPr>
          <w:tab/>
        </w:r>
        <w:r>
          <w:rPr>
            <w:noProof/>
            <w:webHidden/>
          </w:rPr>
          <w:fldChar w:fldCharType="begin"/>
        </w:r>
        <w:r>
          <w:rPr>
            <w:noProof/>
            <w:webHidden/>
          </w:rPr>
          <w:instrText xml:space="preserve"> PAGEREF _Toc171084848 \h </w:instrText>
        </w:r>
        <w:r>
          <w:rPr>
            <w:noProof/>
            <w:webHidden/>
          </w:rPr>
        </w:r>
        <w:r>
          <w:rPr>
            <w:noProof/>
            <w:webHidden/>
          </w:rPr>
          <w:fldChar w:fldCharType="separate"/>
        </w:r>
        <w:r>
          <w:rPr>
            <w:noProof/>
            <w:webHidden/>
          </w:rPr>
          <w:t>148</w:t>
        </w:r>
        <w:r>
          <w:rPr>
            <w:noProof/>
            <w:webHidden/>
          </w:rPr>
          <w:fldChar w:fldCharType="end"/>
        </w:r>
      </w:hyperlink>
    </w:p>
    <w:p w14:paraId="443BB566" w14:textId="77777777" w:rsidR="00670FD4" w:rsidRDefault="00670FD4" w:rsidP="00670FD4">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71084849" w:history="1">
        <w:r w:rsidRPr="003A16DC">
          <w:rPr>
            <w:rStyle w:val="Hyperlink"/>
            <w:noProof/>
          </w:rPr>
          <w:t>2.4.8.3 Transport</w:t>
        </w:r>
        <w:r>
          <w:rPr>
            <w:noProof/>
            <w:webHidden/>
          </w:rPr>
          <w:tab/>
        </w:r>
        <w:r>
          <w:rPr>
            <w:noProof/>
            <w:webHidden/>
          </w:rPr>
          <w:fldChar w:fldCharType="begin"/>
        </w:r>
        <w:r>
          <w:rPr>
            <w:noProof/>
            <w:webHidden/>
          </w:rPr>
          <w:instrText xml:space="preserve"> PAGEREF _Toc171084849 \h </w:instrText>
        </w:r>
        <w:r>
          <w:rPr>
            <w:noProof/>
            <w:webHidden/>
          </w:rPr>
        </w:r>
        <w:r>
          <w:rPr>
            <w:noProof/>
            <w:webHidden/>
          </w:rPr>
          <w:fldChar w:fldCharType="separate"/>
        </w:r>
        <w:r>
          <w:rPr>
            <w:noProof/>
            <w:webHidden/>
          </w:rPr>
          <w:t>154</w:t>
        </w:r>
        <w:r>
          <w:rPr>
            <w:noProof/>
            <w:webHidden/>
          </w:rPr>
          <w:fldChar w:fldCharType="end"/>
        </w:r>
      </w:hyperlink>
    </w:p>
    <w:p w14:paraId="41AAD9B4" w14:textId="77777777" w:rsidR="00670FD4" w:rsidRDefault="00670FD4" w:rsidP="00670FD4">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71084850" w:history="1">
        <w:r w:rsidRPr="003A16DC">
          <w:rPr>
            <w:rStyle w:val="Hyperlink"/>
            <w:noProof/>
          </w:rPr>
          <w:t>2.4.8.4 Agricultura</w:t>
        </w:r>
        <w:r>
          <w:rPr>
            <w:noProof/>
            <w:webHidden/>
          </w:rPr>
          <w:tab/>
        </w:r>
        <w:r>
          <w:rPr>
            <w:noProof/>
            <w:webHidden/>
          </w:rPr>
          <w:fldChar w:fldCharType="begin"/>
        </w:r>
        <w:r>
          <w:rPr>
            <w:noProof/>
            <w:webHidden/>
          </w:rPr>
          <w:instrText xml:space="preserve"> PAGEREF _Toc171084850 \h </w:instrText>
        </w:r>
        <w:r>
          <w:rPr>
            <w:noProof/>
            <w:webHidden/>
          </w:rPr>
        </w:r>
        <w:r>
          <w:rPr>
            <w:noProof/>
            <w:webHidden/>
          </w:rPr>
          <w:fldChar w:fldCharType="separate"/>
        </w:r>
        <w:r>
          <w:rPr>
            <w:noProof/>
            <w:webHidden/>
          </w:rPr>
          <w:t>161</w:t>
        </w:r>
        <w:r>
          <w:rPr>
            <w:noProof/>
            <w:webHidden/>
          </w:rPr>
          <w:fldChar w:fldCharType="end"/>
        </w:r>
      </w:hyperlink>
    </w:p>
    <w:p w14:paraId="526EAB73" w14:textId="77777777" w:rsidR="00670FD4" w:rsidRDefault="00670FD4" w:rsidP="00670FD4">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71084851" w:history="1">
        <w:r w:rsidRPr="003A16DC">
          <w:rPr>
            <w:rStyle w:val="Hyperlink"/>
            <w:noProof/>
          </w:rPr>
          <w:t>2.4.8.5 Industrie</w:t>
        </w:r>
        <w:r>
          <w:rPr>
            <w:noProof/>
            <w:webHidden/>
          </w:rPr>
          <w:tab/>
        </w:r>
        <w:r>
          <w:rPr>
            <w:noProof/>
            <w:webHidden/>
          </w:rPr>
          <w:fldChar w:fldCharType="begin"/>
        </w:r>
        <w:r>
          <w:rPr>
            <w:noProof/>
            <w:webHidden/>
          </w:rPr>
          <w:instrText xml:space="preserve"> PAGEREF _Toc171084851 \h </w:instrText>
        </w:r>
        <w:r>
          <w:rPr>
            <w:noProof/>
            <w:webHidden/>
          </w:rPr>
        </w:r>
        <w:r>
          <w:rPr>
            <w:noProof/>
            <w:webHidden/>
          </w:rPr>
          <w:fldChar w:fldCharType="separate"/>
        </w:r>
        <w:r>
          <w:rPr>
            <w:noProof/>
            <w:webHidden/>
          </w:rPr>
          <w:t>165</w:t>
        </w:r>
        <w:r>
          <w:rPr>
            <w:noProof/>
            <w:webHidden/>
          </w:rPr>
          <w:fldChar w:fldCharType="end"/>
        </w:r>
      </w:hyperlink>
    </w:p>
    <w:p w14:paraId="7AB44B8B" w14:textId="77777777" w:rsidR="00670FD4" w:rsidRDefault="00670FD4" w:rsidP="00670FD4">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71084852" w:history="1">
        <w:r w:rsidRPr="003A16DC">
          <w:rPr>
            <w:rStyle w:val="Hyperlink"/>
            <w:noProof/>
          </w:rPr>
          <w:t>2.4.8.6 Porturi și activități portuare</w:t>
        </w:r>
        <w:r>
          <w:rPr>
            <w:noProof/>
            <w:webHidden/>
          </w:rPr>
          <w:tab/>
        </w:r>
        <w:r>
          <w:rPr>
            <w:noProof/>
            <w:webHidden/>
          </w:rPr>
          <w:fldChar w:fldCharType="begin"/>
        </w:r>
        <w:r>
          <w:rPr>
            <w:noProof/>
            <w:webHidden/>
          </w:rPr>
          <w:instrText xml:space="preserve"> PAGEREF _Toc171084852 \h </w:instrText>
        </w:r>
        <w:r>
          <w:rPr>
            <w:noProof/>
            <w:webHidden/>
          </w:rPr>
        </w:r>
        <w:r>
          <w:rPr>
            <w:noProof/>
            <w:webHidden/>
          </w:rPr>
          <w:fldChar w:fldCharType="separate"/>
        </w:r>
        <w:r>
          <w:rPr>
            <w:noProof/>
            <w:webHidden/>
          </w:rPr>
          <w:t>168</w:t>
        </w:r>
        <w:r>
          <w:rPr>
            <w:noProof/>
            <w:webHidden/>
          </w:rPr>
          <w:fldChar w:fldCharType="end"/>
        </w:r>
      </w:hyperlink>
    </w:p>
    <w:p w14:paraId="71C2FB7E" w14:textId="77777777" w:rsidR="00670FD4" w:rsidRDefault="00670FD4" w:rsidP="00670FD4">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71084853" w:history="1">
        <w:r w:rsidRPr="003A16DC">
          <w:rPr>
            <w:rStyle w:val="Hyperlink"/>
            <w:noProof/>
          </w:rPr>
          <w:t>2.4.8.7 Producerea de energie</w:t>
        </w:r>
        <w:r>
          <w:rPr>
            <w:noProof/>
            <w:webHidden/>
          </w:rPr>
          <w:tab/>
        </w:r>
        <w:r>
          <w:rPr>
            <w:noProof/>
            <w:webHidden/>
          </w:rPr>
          <w:fldChar w:fldCharType="begin"/>
        </w:r>
        <w:r>
          <w:rPr>
            <w:noProof/>
            <w:webHidden/>
          </w:rPr>
          <w:instrText xml:space="preserve"> PAGEREF _Toc171084853 \h </w:instrText>
        </w:r>
        <w:r>
          <w:rPr>
            <w:noProof/>
            <w:webHidden/>
          </w:rPr>
        </w:r>
        <w:r>
          <w:rPr>
            <w:noProof/>
            <w:webHidden/>
          </w:rPr>
          <w:fldChar w:fldCharType="separate"/>
        </w:r>
        <w:r>
          <w:rPr>
            <w:noProof/>
            <w:webHidden/>
          </w:rPr>
          <w:t>174</w:t>
        </w:r>
        <w:r>
          <w:rPr>
            <w:noProof/>
            <w:webHidden/>
          </w:rPr>
          <w:fldChar w:fldCharType="end"/>
        </w:r>
      </w:hyperlink>
    </w:p>
    <w:p w14:paraId="60371578" w14:textId="77777777" w:rsidR="00670FD4" w:rsidRDefault="00670FD4" w:rsidP="00670FD4">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71084854" w:history="1">
        <w:r w:rsidRPr="003A16DC">
          <w:rPr>
            <w:rStyle w:val="Hyperlink"/>
            <w:noProof/>
          </w:rPr>
          <w:t>2.4.8.8 Planificare spațială și Dezvoltare urbană</w:t>
        </w:r>
        <w:r>
          <w:rPr>
            <w:noProof/>
            <w:webHidden/>
          </w:rPr>
          <w:tab/>
        </w:r>
        <w:r>
          <w:rPr>
            <w:noProof/>
            <w:webHidden/>
          </w:rPr>
          <w:fldChar w:fldCharType="begin"/>
        </w:r>
        <w:r>
          <w:rPr>
            <w:noProof/>
            <w:webHidden/>
          </w:rPr>
          <w:instrText xml:space="preserve"> PAGEREF _Toc171084854 \h </w:instrText>
        </w:r>
        <w:r>
          <w:rPr>
            <w:noProof/>
            <w:webHidden/>
          </w:rPr>
        </w:r>
        <w:r>
          <w:rPr>
            <w:noProof/>
            <w:webHidden/>
          </w:rPr>
          <w:fldChar w:fldCharType="separate"/>
        </w:r>
        <w:r>
          <w:rPr>
            <w:noProof/>
            <w:webHidden/>
          </w:rPr>
          <w:t>174</w:t>
        </w:r>
        <w:r>
          <w:rPr>
            <w:noProof/>
            <w:webHidden/>
          </w:rPr>
          <w:fldChar w:fldCharType="end"/>
        </w:r>
      </w:hyperlink>
    </w:p>
    <w:p w14:paraId="3C3F90CF" w14:textId="77777777" w:rsidR="00670FD4" w:rsidRDefault="00670FD4" w:rsidP="00670FD4">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71084855" w:history="1">
        <w:r w:rsidRPr="003A16DC">
          <w:rPr>
            <w:rStyle w:val="Hyperlink"/>
            <w:noProof/>
          </w:rPr>
          <w:t>4.8.9 Infrastructura de utilități</w:t>
        </w:r>
        <w:r>
          <w:rPr>
            <w:noProof/>
            <w:webHidden/>
          </w:rPr>
          <w:tab/>
        </w:r>
        <w:r>
          <w:rPr>
            <w:noProof/>
            <w:webHidden/>
          </w:rPr>
          <w:fldChar w:fldCharType="begin"/>
        </w:r>
        <w:r>
          <w:rPr>
            <w:noProof/>
            <w:webHidden/>
          </w:rPr>
          <w:instrText xml:space="preserve"> PAGEREF _Toc171084855 \h </w:instrText>
        </w:r>
        <w:r>
          <w:rPr>
            <w:noProof/>
            <w:webHidden/>
          </w:rPr>
        </w:r>
        <w:r>
          <w:rPr>
            <w:noProof/>
            <w:webHidden/>
          </w:rPr>
          <w:fldChar w:fldCharType="separate"/>
        </w:r>
        <w:r>
          <w:rPr>
            <w:noProof/>
            <w:webHidden/>
          </w:rPr>
          <w:t>188</w:t>
        </w:r>
        <w:r>
          <w:rPr>
            <w:noProof/>
            <w:webHidden/>
          </w:rPr>
          <w:fldChar w:fldCharType="end"/>
        </w:r>
      </w:hyperlink>
    </w:p>
    <w:p w14:paraId="6DA32479" w14:textId="77777777" w:rsidR="00670FD4" w:rsidRDefault="00670FD4" w:rsidP="00670FD4">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71084856" w:history="1">
        <w:r w:rsidRPr="003A16DC">
          <w:rPr>
            <w:rStyle w:val="Hyperlink"/>
            <w:noProof/>
          </w:rPr>
          <w:t>2.4.8.10 Gestionarea deșeurilor</w:t>
        </w:r>
        <w:r>
          <w:rPr>
            <w:noProof/>
            <w:webHidden/>
          </w:rPr>
          <w:tab/>
        </w:r>
        <w:r>
          <w:rPr>
            <w:noProof/>
            <w:webHidden/>
          </w:rPr>
          <w:fldChar w:fldCharType="begin"/>
        </w:r>
        <w:r>
          <w:rPr>
            <w:noProof/>
            <w:webHidden/>
          </w:rPr>
          <w:instrText xml:space="preserve"> PAGEREF _Toc171084856 \h </w:instrText>
        </w:r>
        <w:r>
          <w:rPr>
            <w:noProof/>
            <w:webHidden/>
          </w:rPr>
        </w:r>
        <w:r>
          <w:rPr>
            <w:noProof/>
            <w:webHidden/>
          </w:rPr>
          <w:fldChar w:fldCharType="separate"/>
        </w:r>
        <w:r>
          <w:rPr>
            <w:noProof/>
            <w:webHidden/>
          </w:rPr>
          <w:t>192</w:t>
        </w:r>
        <w:r>
          <w:rPr>
            <w:noProof/>
            <w:webHidden/>
          </w:rPr>
          <w:fldChar w:fldCharType="end"/>
        </w:r>
      </w:hyperlink>
    </w:p>
    <w:p w14:paraId="26BB168B" w14:textId="77777777" w:rsidR="00670FD4" w:rsidRDefault="00670FD4" w:rsidP="00670FD4">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71084857" w:history="1">
        <w:r w:rsidRPr="003A16DC">
          <w:rPr>
            <w:rStyle w:val="Hyperlink"/>
            <w:noProof/>
          </w:rPr>
          <w:t>2.4.8.11 Dragare și construcții hidrotehnice</w:t>
        </w:r>
        <w:r>
          <w:rPr>
            <w:noProof/>
            <w:webHidden/>
          </w:rPr>
          <w:tab/>
        </w:r>
        <w:r>
          <w:rPr>
            <w:noProof/>
            <w:webHidden/>
          </w:rPr>
          <w:fldChar w:fldCharType="begin"/>
        </w:r>
        <w:r>
          <w:rPr>
            <w:noProof/>
            <w:webHidden/>
          </w:rPr>
          <w:instrText xml:space="preserve"> PAGEREF _Toc171084857 \h </w:instrText>
        </w:r>
        <w:r>
          <w:rPr>
            <w:noProof/>
            <w:webHidden/>
          </w:rPr>
        </w:r>
        <w:r>
          <w:rPr>
            <w:noProof/>
            <w:webHidden/>
          </w:rPr>
          <w:fldChar w:fldCharType="separate"/>
        </w:r>
        <w:r>
          <w:rPr>
            <w:noProof/>
            <w:webHidden/>
          </w:rPr>
          <w:t>193</w:t>
        </w:r>
        <w:r>
          <w:rPr>
            <w:noProof/>
            <w:webHidden/>
          </w:rPr>
          <w:fldChar w:fldCharType="end"/>
        </w:r>
      </w:hyperlink>
    </w:p>
    <w:p w14:paraId="725C8B37" w14:textId="77777777" w:rsidR="00670FD4" w:rsidRDefault="00670FD4" w:rsidP="00670FD4">
      <w:pPr>
        <w:pStyle w:val="TOC2"/>
        <w:rPr>
          <w:rFonts w:asciiTheme="minorHAnsi" w:eastAsiaTheme="minorEastAsia" w:hAnsiTheme="minorHAnsi" w:cstheme="minorBidi"/>
          <w:noProof/>
          <w:sz w:val="22"/>
          <w:szCs w:val="22"/>
          <w:lang w:val="en-US"/>
          <w14:ligatures w14:val="standardContextual"/>
        </w:rPr>
      </w:pPr>
      <w:hyperlink w:anchor="_Toc171084858" w:history="1">
        <w:r w:rsidRPr="003A16DC">
          <w:rPr>
            <w:rStyle w:val="Hyperlink"/>
            <w:noProof/>
          </w:rPr>
          <w:t>2.5. Presiunile și impactul acestora asupra zonei costiere:</w:t>
        </w:r>
        <w:r>
          <w:rPr>
            <w:noProof/>
            <w:webHidden/>
          </w:rPr>
          <w:tab/>
        </w:r>
        <w:r>
          <w:rPr>
            <w:noProof/>
            <w:webHidden/>
          </w:rPr>
          <w:fldChar w:fldCharType="begin"/>
        </w:r>
        <w:r>
          <w:rPr>
            <w:noProof/>
            <w:webHidden/>
          </w:rPr>
          <w:instrText xml:space="preserve"> PAGEREF _Toc171084858 \h </w:instrText>
        </w:r>
        <w:r>
          <w:rPr>
            <w:noProof/>
            <w:webHidden/>
          </w:rPr>
        </w:r>
        <w:r>
          <w:rPr>
            <w:noProof/>
            <w:webHidden/>
          </w:rPr>
          <w:fldChar w:fldCharType="separate"/>
        </w:r>
        <w:r>
          <w:rPr>
            <w:noProof/>
            <w:webHidden/>
          </w:rPr>
          <w:t>194</w:t>
        </w:r>
        <w:r>
          <w:rPr>
            <w:noProof/>
            <w:webHidden/>
          </w:rPr>
          <w:fldChar w:fldCharType="end"/>
        </w:r>
      </w:hyperlink>
    </w:p>
    <w:p w14:paraId="6355AA13" w14:textId="77777777" w:rsidR="00670FD4" w:rsidRDefault="00670FD4" w:rsidP="00670FD4">
      <w:pPr>
        <w:pStyle w:val="TOC3"/>
        <w:rPr>
          <w:rFonts w:asciiTheme="minorHAnsi" w:eastAsiaTheme="minorEastAsia" w:hAnsiTheme="minorHAnsi" w:cstheme="minorBidi"/>
          <w:noProof/>
          <w:sz w:val="22"/>
          <w:szCs w:val="22"/>
          <w:lang w:val="en-US"/>
          <w14:ligatures w14:val="standardContextual"/>
        </w:rPr>
      </w:pPr>
      <w:hyperlink w:anchor="_Toc171084859" w:history="1">
        <w:r w:rsidRPr="003A16DC">
          <w:rPr>
            <w:rStyle w:val="Hyperlink"/>
            <w:noProof/>
          </w:rPr>
          <w:t>2.5.1 Hazarde naturale și impactul lor asupra componentelor de mediu și socio-economice</w:t>
        </w:r>
        <w:r>
          <w:rPr>
            <w:noProof/>
            <w:webHidden/>
          </w:rPr>
          <w:tab/>
        </w:r>
        <w:r>
          <w:rPr>
            <w:noProof/>
            <w:webHidden/>
          </w:rPr>
          <w:fldChar w:fldCharType="begin"/>
        </w:r>
        <w:r>
          <w:rPr>
            <w:noProof/>
            <w:webHidden/>
          </w:rPr>
          <w:instrText xml:space="preserve"> PAGEREF _Toc171084859 \h </w:instrText>
        </w:r>
        <w:r>
          <w:rPr>
            <w:noProof/>
            <w:webHidden/>
          </w:rPr>
        </w:r>
        <w:r>
          <w:rPr>
            <w:noProof/>
            <w:webHidden/>
          </w:rPr>
          <w:fldChar w:fldCharType="separate"/>
        </w:r>
        <w:r>
          <w:rPr>
            <w:noProof/>
            <w:webHidden/>
          </w:rPr>
          <w:t>194</w:t>
        </w:r>
        <w:r>
          <w:rPr>
            <w:noProof/>
            <w:webHidden/>
          </w:rPr>
          <w:fldChar w:fldCharType="end"/>
        </w:r>
      </w:hyperlink>
    </w:p>
    <w:p w14:paraId="686A86B9" w14:textId="77777777" w:rsidR="00670FD4" w:rsidRDefault="00670FD4" w:rsidP="00670FD4">
      <w:pPr>
        <w:pStyle w:val="TOC3"/>
        <w:rPr>
          <w:rFonts w:asciiTheme="minorHAnsi" w:eastAsiaTheme="minorEastAsia" w:hAnsiTheme="minorHAnsi" w:cstheme="minorBidi"/>
          <w:noProof/>
          <w:sz w:val="22"/>
          <w:szCs w:val="22"/>
          <w:lang w:val="en-US"/>
          <w14:ligatures w14:val="standardContextual"/>
        </w:rPr>
      </w:pPr>
      <w:hyperlink w:anchor="_Toc171084860" w:history="1">
        <w:r w:rsidRPr="003A16DC">
          <w:rPr>
            <w:rStyle w:val="Hyperlink"/>
            <w:noProof/>
          </w:rPr>
          <w:t>2.5.2 Presiuni antropice</w:t>
        </w:r>
        <w:r>
          <w:rPr>
            <w:noProof/>
            <w:webHidden/>
          </w:rPr>
          <w:tab/>
        </w:r>
        <w:r>
          <w:rPr>
            <w:noProof/>
            <w:webHidden/>
          </w:rPr>
          <w:fldChar w:fldCharType="begin"/>
        </w:r>
        <w:r>
          <w:rPr>
            <w:noProof/>
            <w:webHidden/>
          </w:rPr>
          <w:instrText xml:space="preserve"> PAGEREF _Toc171084860 \h </w:instrText>
        </w:r>
        <w:r>
          <w:rPr>
            <w:noProof/>
            <w:webHidden/>
          </w:rPr>
        </w:r>
        <w:r>
          <w:rPr>
            <w:noProof/>
            <w:webHidden/>
          </w:rPr>
          <w:fldChar w:fldCharType="separate"/>
        </w:r>
        <w:r>
          <w:rPr>
            <w:noProof/>
            <w:webHidden/>
          </w:rPr>
          <w:t>203</w:t>
        </w:r>
        <w:r>
          <w:rPr>
            <w:noProof/>
            <w:webHidden/>
          </w:rPr>
          <w:fldChar w:fldCharType="end"/>
        </w:r>
      </w:hyperlink>
    </w:p>
    <w:p w14:paraId="59BF4FA8" w14:textId="77777777" w:rsidR="00670FD4" w:rsidRDefault="00670FD4" w:rsidP="00670FD4">
      <w:pPr>
        <w:pStyle w:val="TOC2"/>
        <w:rPr>
          <w:rFonts w:asciiTheme="minorHAnsi" w:eastAsiaTheme="minorEastAsia" w:hAnsiTheme="minorHAnsi" w:cstheme="minorBidi"/>
          <w:noProof/>
          <w:sz w:val="22"/>
          <w:szCs w:val="22"/>
          <w:lang w:val="en-US"/>
          <w14:ligatures w14:val="standardContextual"/>
        </w:rPr>
      </w:pPr>
      <w:hyperlink w:anchor="_Toc171084861" w:history="1">
        <w:r w:rsidRPr="003A16DC">
          <w:rPr>
            <w:rStyle w:val="Hyperlink"/>
            <w:noProof/>
          </w:rPr>
          <w:t>2.6. Scopul și obiectivele planului de management</w:t>
        </w:r>
        <w:r>
          <w:rPr>
            <w:noProof/>
            <w:webHidden/>
          </w:rPr>
          <w:tab/>
        </w:r>
        <w:r>
          <w:rPr>
            <w:noProof/>
            <w:webHidden/>
          </w:rPr>
          <w:fldChar w:fldCharType="begin"/>
        </w:r>
        <w:r>
          <w:rPr>
            <w:noProof/>
            <w:webHidden/>
          </w:rPr>
          <w:instrText xml:space="preserve"> PAGEREF _Toc171084861 \h </w:instrText>
        </w:r>
        <w:r>
          <w:rPr>
            <w:noProof/>
            <w:webHidden/>
          </w:rPr>
        </w:r>
        <w:r>
          <w:rPr>
            <w:noProof/>
            <w:webHidden/>
          </w:rPr>
          <w:fldChar w:fldCharType="separate"/>
        </w:r>
        <w:r>
          <w:rPr>
            <w:noProof/>
            <w:webHidden/>
          </w:rPr>
          <w:t>227</w:t>
        </w:r>
        <w:r>
          <w:rPr>
            <w:noProof/>
            <w:webHidden/>
          </w:rPr>
          <w:fldChar w:fldCharType="end"/>
        </w:r>
      </w:hyperlink>
    </w:p>
    <w:p w14:paraId="1B5FC1D1" w14:textId="77777777" w:rsidR="00670FD4" w:rsidRDefault="00670FD4" w:rsidP="00670FD4">
      <w:pPr>
        <w:pStyle w:val="TOC2"/>
        <w:rPr>
          <w:rFonts w:asciiTheme="minorHAnsi" w:eastAsiaTheme="minorEastAsia" w:hAnsiTheme="minorHAnsi" w:cstheme="minorBidi"/>
          <w:noProof/>
          <w:sz w:val="22"/>
          <w:szCs w:val="22"/>
          <w:lang w:val="en-US"/>
          <w14:ligatures w14:val="standardContextual"/>
        </w:rPr>
      </w:pPr>
      <w:hyperlink w:anchor="_Toc171084862" w:history="1">
        <w:r w:rsidRPr="003A16DC">
          <w:rPr>
            <w:rStyle w:val="Hyperlink"/>
            <w:noProof/>
          </w:rPr>
          <w:t>2.7. Programe de măsuri</w:t>
        </w:r>
        <w:r>
          <w:rPr>
            <w:noProof/>
            <w:webHidden/>
          </w:rPr>
          <w:tab/>
        </w:r>
        <w:r>
          <w:rPr>
            <w:noProof/>
            <w:webHidden/>
          </w:rPr>
          <w:fldChar w:fldCharType="begin"/>
        </w:r>
        <w:r>
          <w:rPr>
            <w:noProof/>
            <w:webHidden/>
          </w:rPr>
          <w:instrText xml:space="preserve"> PAGEREF _Toc171084862 \h </w:instrText>
        </w:r>
        <w:r>
          <w:rPr>
            <w:noProof/>
            <w:webHidden/>
          </w:rPr>
        </w:r>
        <w:r>
          <w:rPr>
            <w:noProof/>
            <w:webHidden/>
          </w:rPr>
          <w:fldChar w:fldCharType="separate"/>
        </w:r>
        <w:r>
          <w:rPr>
            <w:noProof/>
            <w:webHidden/>
          </w:rPr>
          <w:t>230</w:t>
        </w:r>
        <w:r>
          <w:rPr>
            <w:noProof/>
            <w:webHidden/>
          </w:rPr>
          <w:fldChar w:fldCharType="end"/>
        </w:r>
      </w:hyperlink>
    </w:p>
    <w:p w14:paraId="439B23FA" w14:textId="77777777" w:rsidR="00670FD4" w:rsidRDefault="00670FD4" w:rsidP="00670FD4">
      <w:pPr>
        <w:pStyle w:val="TOC2"/>
        <w:rPr>
          <w:rFonts w:asciiTheme="minorHAnsi" w:eastAsiaTheme="minorEastAsia" w:hAnsiTheme="minorHAnsi" w:cstheme="minorBidi"/>
          <w:noProof/>
          <w:sz w:val="22"/>
          <w:szCs w:val="22"/>
          <w:lang w:val="en-US"/>
          <w14:ligatures w14:val="standardContextual"/>
        </w:rPr>
      </w:pPr>
      <w:hyperlink w:anchor="_Toc171084863" w:history="1">
        <w:r w:rsidRPr="003A16DC">
          <w:rPr>
            <w:rStyle w:val="Hyperlink"/>
            <w:noProof/>
          </w:rPr>
          <w:t>2.8. Plan de activități</w:t>
        </w:r>
        <w:r>
          <w:rPr>
            <w:noProof/>
            <w:webHidden/>
          </w:rPr>
          <w:tab/>
        </w:r>
        <w:r>
          <w:rPr>
            <w:noProof/>
            <w:webHidden/>
          </w:rPr>
          <w:fldChar w:fldCharType="begin"/>
        </w:r>
        <w:r>
          <w:rPr>
            <w:noProof/>
            <w:webHidden/>
          </w:rPr>
          <w:instrText xml:space="preserve"> PAGEREF _Toc171084863 \h </w:instrText>
        </w:r>
        <w:r>
          <w:rPr>
            <w:noProof/>
            <w:webHidden/>
          </w:rPr>
        </w:r>
        <w:r>
          <w:rPr>
            <w:noProof/>
            <w:webHidden/>
          </w:rPr>
          <w:fldChar w:fldCharType="separate"/>
        </w:r>
        <w:r>
          <w:rPr>
            <w:noProof/>
            <w:webHidden/>
          </w:rPr>
          <w:t>249</w:t>
        </w:r>
        <w:r>
          <w:rPr>
            <w:noProof/>
            <w:webHidden/>
          </w:rPr>
          <w:fldChar w:fldCharType="end"/>
        </w:r>
      </w:hyperlink>
    </w:p>
    <w:p w14:paraId="31BFF860" w14:textId="77777777" w:rsidR="00670FD4" w:rsidRDefault="00670FD4" w:rsidP="00670FD4">
      <w:pPr>
        <w:pStyle w:val="TOC2"/>
        <w:rPr>
          <w:rFonts w:asciiTheme="minorHAnsi" w:eastAsiaTheme="minorEastAsia" w:hAnsiTheme="minorHAnsi" w:cstheme="minorBidi"/>
          <w:noProof/>
          <w:sz w:val="22"/>
          <w:szCs w:val="22"/>
          <w:lang w:val="en-US"/>
          <w14:ligatures w14:val="standardContextual"/>
        </w:rPr>
      </w:pPr>
      <w:hyperlink w:anchor="_Toc171084864" w:history="1">
        <w:r w:rsidRPr="003A16DC">
          <w:rPr>
            <w:rStyle w:val="Hyperlink"/>
            <w:noProof/>
          </w:rPr>
          <w:t>2.9. Consolidarea/întărirea capacității instituționale</w:t>
        </w:r>
        <w:r>
          <w:rPr>
            <w:noProof/>
            <w:webHidden/>
          </w:rPr>
          <w:tab/>
        </w:r>
        <w:r>
          <w:rPr>
            <w:noProof/>
            <w:webHidden/>
          </w:rPr>
          <w:fldChar w:fldCharType="begin"/>
        </w:r>
        <w:r>
          <w:rPr>
            <w:noProof/>
            <w:webHidden/>
          </w:rPr>
          <w:instrText xml:space="preserve"> PAGEREF _Toc171084864 \h </w:instrText>
        </w:r>
        <w:r>
          <w:rPr>
            <w:noProof/>
            <w:webHidden/>
          </w:rPr>
        </w:r>
        <w:r>
          <w:rPr>
            <w:noProof/>
            <w:webHidden/>
          </w:rPr>
          <w:fldChar w:fldCharType="separate"/>
        </w:r>
        <w:r>
          <w:rPr>
            <w:noProof/>
            <w:webHidden/>
          </w:rPr>
          <w:t>283</w:t>
        </w:r>
        <w:r>
          <w:rPr>
            <w:noProof/>
            <w:webHidden/>
          </w:rPr>
          <w:fldChar w:fldCharType="end"/>
        </w:r>
      </w:hyperlink>
    </w:p>
    <w:p w14:paraId="2CA84A73" w14:textId="77777777" w:rsidR="00670FD4" w:rsidRDefault="00670FD4" w:rsidP="00670FD4">
      <w:pPr>
        <w:pStyle w:val="TOC2"/>
        <w:rPr>
          <w:rFonts w:asciiTheme="minorHAnsi" w:eastAsiaTheme="minorEastAsia" w:hAnsiTheme="minorHAnsi" w:cstheme="minorBidi"/>
          <w:noProof/>
          <w:sz w:val="22"/>
          <w:szCs w:val="22"/>
          <w:lang w:val="en-US"/>
          <w14:ligatures w14:val="standardContextual"/>
        </w:rPr>
      </w:pPr>
      <w:hyperlink w:anchor="_Toc171084865" w:history="1">
        <w:r w:rsidRPr="003A16DC">
          <w:rPr>
            <w:rStyle w:val="Hyperlink"/>
            <w:noProof/>
          </w:rPr>
          <w:t>2.10. Consultarea și participarea publicului în contextul Planului de Management Integrat al zonei costiere</w:t>
        </w:r>
        <w:r>
          <w:rPr>
            <w:noProof/>
            <w:webHidden/>
          </w:rPr>
          <w:tab/>
        </w:r>
        <w:r>
          <w:rPr>
            <w:noProof/>
            <w:webHidden/>
          </w:rPr>
          <w:fldChar w:fldCharType="begin"/>
        </w:r>
        <w:r>
          <w:rPr>
            <w:noProof/>
            <w:webHidden/>
          </w:rPr>
          <w:instrText xml:space="preserve"> PAGEREF _Toc171084865 \h </w:instrText>
        </w:r>
        <w:r>
          <w:rPr>
            <w:noProof/>
            <w:webHidden/>
          </w:rPr>
        </w:r>
        <w:r>
          <w:rPr>
            <w:noProof/>
            <w:webHidden/>
          </w:rPr>
          <w:fldChar w:fldCharType="separate"/>
        </w:r>
        <w:r>
          <w:rPr>
            <w:noProof/>
            <w:webHidden/>
          </w:rPr>
          <w:t>288</w:t>
        </w:r>
        <w:r>
          <w:rPr>
            <w:noProof/>
            <w:webHidden/>
          </w:rPr>
          <w:fldChar w:fldCharType="end"/>
        </w:r>
      </w:hyperlink>
    </w:p>
    <w:p w14:paraId="4F3CF3DF" w14:textId="77777777" w:rsidR="00670FD4" w:rsidRDefault="00670FD4" w:rsidP="00670FD4">
      <w:pPr>
        <w:pStyle w:val="TOC2"/>
        <w:rPr>
          <w:rFonts w:asciiTheme="minorHAnsi" w:eastAsiaTheme="minorEastAsia" w:hAnsiTheme="minorHAnsi" w:cstheme="minorBidi"/>
          <w:noProof/>
          <w:sz w:val="22"/>
          <w:szCs w:val="22"/>
          <w:lang w:val="en-US"/>
          <w14:ligatures w14:val="standardContextual"/>
        </w:rPr>
      </w:pPr>
      <w:hyperlink w:anchor="_Toc171084866" w:history="1">
        <w:r w:rsidRPr="003A16DC">
          <w:rPr>
            <w:rStyle w:val="Hyperlink"/>
            <w:noProof/>
          </w:rPr>
          <w:t>2.11. Plan de monitorizare al activităților</w:t>
        </w:r>
        <w:r>
          <w:rPr>
            <w:noProof/>
            <w:webHidden/>
          </w:rPr>
          <w:tab/>
        </w:r>
        <w:r>
          <w:rPr>
            <w:noProof/>
            <w:webHidden/>
          </w:rPr>
          <w:fldChar w:fldCharType="begin"/>
        </w:r>
        <w:r>
          <w:rPr>
            <w:noProof/>
            <w:webHidden/>
          </w:rPr>
          <w:instrText xml:space="preserve"> PAGEREF _Toc171084866 \h </w:instrText>
        </w:r>
        <w:r>
          <w:rPr>
            <w:noProof/>
            <w:webHidden/>
          </w:rPr>
        </w:r>
        <w:r>
          <w:rPr>
            <w:noProof/>
            <w:webHidden/>
          </w:rPr>
          <w:fldChar w:fldCharType="separate"/>
        </w:r>
        <w:r>
          <w:rPr>
            <w:noProof/>
            <w:webHidden/>
          </w:rPr>
          <w:t>295</w:t>
        </w:r>
        <w:r>
          <w:rPr>
            <w:noProof/>
            <w:webHidden/>
          </w:rPr>
          <w:fldChar w:fldCharType="end"/>
        </w:r>
      </w:hyperlink>
    </w:p>
    <w:p w14:paraId="70648089" w14:textId="77777777" w:rsidR="00670FD4" w:rsidRDefault="00670FD4" w:rsidP="00670FD4">
      <w:pPr>
        <w:pStyle w:val="TOC2"/>
        <w:rPr>
          <w:rFonts w:asciiTheme="minorHAnsi" w:eastAsiaTheme="minorEastAsia" w:hAnsiTheme="minorHAnsi" w:cstheme="minorBidi"/>
          <w:noProof/>
          <w:sz w:val="22"/>
          <w:szCs w:val="22"/>
          <w:lang w:val="en-US"/>
          <w14:ligatures w14:val="standardContextual"/>
        </w:rPr>
      </w:pPr>
      <w:hyperlink w:anchor="_Toc171084867" w:history="1">
        <w:r w:rsidRPr="003A16DC">
          <w:rPr>
            <w:rStyle w:val="Hyperlink"/>
            <w:noProof/>
          </w:rPr>
          <w:t>Bibliografie</w:t>
        </w:r>
        <w:r>
          <w:rPr>
            <w:noProof/>
            <w:webHidden/>
          </w:rPr>
          <w:tab/>
        </w:r>
        <w:r>
          <w:rPr>
            <w:noProof/>
            <w:webHidden/>
          </w:rPr>
          <w:fldChar w:fldCharType="begin"/>
        </w:r>
        <w:r>
          <w:rPr>
            <w:noProof/>
            <w:webHidden/>
          </w:rPr>
          <w:instrText xml:space="preserve"> PAGEREF _Toc171084867 \h </w:instrText>
        </w:r>
        <w:r>
          <w:rPr>
            <w:noProof/>
            <w:webHidden/>
          </w:rPr>
        </w:r>
        <w:r>
          <w:rPr>
            <w:noProof/>
            <w:webHidden/>
          </w:rPr>
          <w:fldChar w:fldCharType="separate"/>
        </w:r>
        <w:r>
          <w:rPr>
            <w:noProof/>
            <w:webHidden/>
          </w:rPr>
          <w:t>314</w:t>
        </w:r>
        <w:r>
          <w:rPr>
            <w:noProof/>
            <w:webHidden/>
          </w:rPr>
          <w:fldChar w:fldCharType="end"/>
        </w:r>
      </w:hyperlink>
    </w:p>
    <w:p w14:paraId="5AA3EF65" w14:textId="77777777" w:rsidR="00670FD4" w:rsidRDefault="00670FD4" w:rsidP="00670FD4">
      <w:pPr>
        <w:pStyle w:val="TOC2"/>
        <w:rPr>
          <w:rFonts w:asciiTheme="minorHAnsi" w:eastAsiaTheme="minorEastAsia" w:hAnsiTheme="minorHAnsi" w:cstheme="minorBidi"/>
          <w:noProof/>
          <w:sz w:val="22"/>
          <w:szCs w:val="22"/>
          <w:lang w:val="en-US"/>
          <w14:ligatures w14:val="standardContextual"/>
        </w:rPr>
      </w:pPr>
      <w:hyperlink w:anchor="_Toc171084868" w:history="1">
        <w:r w:rsidRPr="003A16DC">
          <w:rPr>
            <w:rStyle w:val="Hyperlink"/>
            <w:noProof/>
          </w:rPr>
          <w:t>Anexa 1</w:t>
        </w:r>
        <w:r>
          <w:rPr>
            <w:noProof/>
            <w:webHidden/>
          </w:rPr>
          <w:tab/>
        </w:r>
        <w:r>
          <w:rPr>
            <w:noProof/>
            <w:webHidden/>
          </w:rPr>
          <w:fldChar w:fldCharType="begin"/>
        </w:r>
        <w:r>
          <w:rPr>
            <w:noProof/>
            <w:webHidden/>
          </w:rPr>
          <w:instrText xml:space="preserve"> PAGEREF _Toc171084868 \h </w:instrText>
        </w:r>
        <w:r>
          <w:rPr>
            <w:noProof/>
            <w:webHidden/>
          </w:rPr>
        </w:r>
        <w:r>
          <w:rPr>
            <w:noProof/>
            <w:webHidden/>
          </w:rPr>
          <w:fldChar w:fldCharType="separate"/>
        </w:r>
        <w:r>
          <w:rPr>
            <w:noProof/>
            <w:webHidden/>
          </w:rPr>
          <w:t>318</w:t>
        </w:r>
        <w:r>
          <w:rPr>
            <w:noProof/>
            <w:webHidden/>
          </w:rPr>
          <w:fldChar w:fldCharType="end"/>
        </w:r>
      </w:hyperlink>
    </w:p>
    <w:p w14:paraId="5E23D79F" w14:textId="77777777" w:rsidR="00670FD4" w:rsidRDefault="00670FD4" w:rsidP="00670FD4">
      <w:pPr>
        <w:pStyle w:val="TOC2"/>
        <w:rPr>
          <w:rFonts w:asciiTheme="minorHAnsi" w:eastAsiaTheme="minorEastAsia" w:hAnsiTheme="minorHAnsi" w:cstheme="minorBidi"/>
          <w:noProof/>
          <w:sz w:val="22"/>
          <w:szCs w:val="22"/>
          <w:lang w:val="en-US"/>
          <w14:ligatures w14:val="standardContextual"/>
        </w:rPr>
      </w:pPr>
      <w:hyperlink w:anchor="_Toc171084869" w:history="1">
        <w:r w:rsidRPr="003A16DC">
          <w:rPr>
            <w:rStyle w:val="Hyperlink"/>
            <w:noProof/>
          </w:rPr>
          <w:t>Anexa 2</w:t>
        </w:r>
        <w:r>
          <w:rPr>
            <w:noProof/>
            <w:webHidden/>
          </w:rPr>
          <w:tab/>
        </w:r>
        <w:r>
          <w:rPr>
            <w:noProof/>
            <w:webHidden/>
          </w:rPr>
          <w:fldChar w:fldCharType="begin"/>
        </w:r>
        <w:r>
          <w:rPr>
            <w:noProof/>
            <w:webHidden/>
          </w:rPr>
          <w:instrText xml:space="preserve"> PAGEREF _Toc171084869 \h </w:instrText>
        </w:r>
        <w:r>
          <w:rPr>
            <w:noProof/>
            <w:webHidden/>
          </w:rPr>
        </w:r>
        <w:r>
          <w:rPr>
            <w:noProof/>
            <w:webHidden/>
          </w:rPr>
          <w:fldChar w:fldCharType="separate"/>
        </w:r>
        <w:r>
          <w:rPr>
            <w:noProof/>
            <w:webHidden/>
          </w:rPr>
          <w:t>339</w:t>
        </w:r>
        <w:r>
          <w:rPr>
            <w:noProof/>
            <w:webHidden/>
          </w:rPr>
          <w:fldChar w:fldCharType="end"/>
        </w:r>
      </w:hyperlink>
    </w:p>
    <w:p w14:paraId="2013D81D" w14:textId="77777777" w:rsidR="00670FD4" w:rsidRDefault="00670FD4" w:rsidP="00670FD4">
      <w:pPr>
        <w:pStyle w:val="TOC2"/>
        <w:rPr>
          <w:rFonts w:asciiTheme="minorHAnsi" w:eastAsiaTheme="minorEastAsia" w:hAnsiTheme="minorHAnsi" w:cstheme="minorBidi"/>
          <w:noProof/>
          <w:sz w:val="22"/>
          <w:szCs w:val="22"/>
          <w:lang w:val="en-US"/>
          <w14:ligatures w14:val="standardContextual"/>
        </w:rPr>
      </w:pPr>
      <w:hyperlink w:anchor="_Toc171084870" w:history="1">
        <w:r w:rsidRPr="003A16DC">
          <w:rPr>
            <w:rStyle w:val="Hyperlink"/>
            <w:noProof/>
          </w:rPr>
          <w:t>Anexa 3</w:t>
        </w:r>
        <w:r>
          <w:rPr>
            <w:noProof/>
            <w:webHidden/>
          </w:rPr>
          <w:tab/>
        </w:r>
        <w:r>
          <w:rPr>
            <w:noProof/>
            <w:webHidden/>
          </w:rPr>
          <w:fldChar w:fldCharType="begin"/>
        </w:r>
        <w:r>
          <w:rPr>
            <w:noProof/>
            <w:webHidden/>
          </w:rPr>
          <w:instrText xml:space="preserve"> PAGEREF _Toc171084870 \h </w:instrText>
        </w:r>
        <w:r>
          <w:rPr>
            <w:noProof/>
            <w:webHidden/>
          </w:rPr>
        </w:r>
        <w:r>
          <w:rPr>
            <w:noProof/>
            <w:webHidden/>
          </w:rPr>
          <w:fldChar w:fldCharType="separate"/>
        </w:r>
        <w:r>
          <w:rPr>
            <w:noProof/>
            <w:webHidden/>
          </w:rPr>
          <w:t>357</w:t>
        </w:r>
        <w:r>
          <w:rPr>
            <w:noProof/>
            <w:webHidden/>
          </w:rPr>
          <w:fldChar w:fldCharType="end"/>
        </w:r>
      </w:hyperlink>
    </w:p>
    <w:p w14:paraId="345692D9" w14:textId="77777777" w:rsidR="00670FD4" w:rsidRDefault="00670FD4" w:rsidP="00670FD4">
      <w:pPr>
        <w:pStyle w:val="TOC2"/>
        <w:rPr>
          <w:rFonts w:asciiTheme="minorHAnsi" w:eastAsiaTheme="minorEastAsia" w:hAnsiTheme="minorHAnsi" w:cstheme="minorBidi"/>
          <w:noProof/>
          <w:sz w:val="22"/>
          <w:szCs w:val="22"/>
          <w:lang w:val="en-US"/>
          <w14:ligatures w14:val="standardContextual"/>
        </w:rPr>
      </w:pPr>
      <w:hyperlink w:anchor="_Toc171084871" w:history="1">
        <w:r w:rsidRPr="003A16DC">
          <w:rPr>
            <w:rStyle w:val="Hyperlink"/>
            <w:noProof/>
          </w:rPr>
          <w:t>Anexa 4</w:t>
        </w:r>
        <w:r>
          <w:rPr>
            <w:noProof/>
            <w:webHidden/>
          </w:rPr>
          <w:tab/>
        </w:r>
        <w:r>
          <w:rPr>
            <w:noProof/>
            <w:webHidden/>
          </w:rPr>
          <w:fldChar w:fldCharType="begin"/>
        </w:r>
        <w:r>
          <w:rPr>
            <w:noProof/>
            <w:webHidden/>
          </w:rPr>
          <w:instrText xml:space="preserve"> PAGEREF _Toc171084871 \h </w:instrText>
        </w:r>
        <w:r>
          <w:rPr>
            <w:noProof/>
            <w:webHidden/>
          </w:rPr>
        </w:r>
        <w:r>
          <w:rPr>
            <w:noProof/>
            <w:webHidden/>
          </w:rPr>
          <w:fldChar w:fldCharType="separate"/>
        </w:r>
        <w:r>
          <w:rPr>
            <w:noProof/>
            <w:webHidden/>
          </w:rPr>
          <w:t>363</w:t>
        </w:r>
        <w:r>
          <w:rPr>
            <w:noProof/>
            <w:webHidden/>
          </w:rPr>
          <w:fldChar w:fldCharType="end"/>
        </w:r>
      </w:hyperlink>
    </w:p>
    <w:p w14:paraId="784C5F27" w14:textId="77777777" w:rsidR="00670FD4" w:rsidRDefault="00670FD4" w:rsidP="00670FD4">
      <w:pPr>
        <w:pStyle w:val="TOC2"/>
        <w:rPr>
          <w:rFonts w:asciiTheme="minorHAnsi" w:eastAsiaTheme="minorEastAsia" w:hAnsiTheme="minorHAnsi" w:cstheme="minorBidi"/>
          <w:noProof/>
          <w:sz w:val="22"/>
          <w:szCs w:val="22"/>
          <w:lang w:val="en-US"/>
          <w14:ligatures w14:val="standardContextual"/>
        </w:rPr>
      </w:pPr>
      <w:hyperlink w:anchor="_Toc171084872" w:history="1">
        <w:r w:rsidRPr="003A16DC">
          <w:rPr>
            <w:rStyle w:val="Hyperlink"/>
            <w:noProof/>
          </w:rPr>
          <w:t>Anexa 5</w:t>
        </w:r>
        <w:r>
          <w:rPr>
            <w:noProof/>
            <w:webHidden/>
          </w:rPr>
          <w:tab/>
        </w:r>
        <w:r>
          <w:rPr>
            <w:noProof/>
            <w:webHidden/>
          </w:rPr>
          <w:fldChar w:fldCharType="begin"/>
        </w:r>
        <w:r>
          <w:rPr>
            <w:noProof/>
            <w:webHidden/>
          </w:rPr>
          <w:instrText xml:space="preserve"> PAGEREF _Toc171084872 \h </w:instrText>
        </w:r>
        <w:r>
          <w:rPr>
            <w:noProof/>
            <w:webHidden/>
          </w:rPr>
        </w:r>
        <w:r>
          <w:rPr>
            <w:noProof/>
            <w:webHidden/>
          </w:rPr>
          <w:fldChar w:fldCharType="separate"/>
        </w:r>
        <w:r>
          <w:rPr>
            <w:noProof/>
            <w:webHidden/>
          </w:rPr>
          <w:t>384</w:t>
        </w:r>
        <w:r>
          <w:rPr>
            <w:noProof/>
            <w:webHidden/>
          </w:rPr>
          <w:fldChar w:fldCharType="end"/>
        </w:r>
      </w:hyperlink>
    </w:p>
    <w:p w14:paraId="24EB5095" w14:textId="77777777" w:rsidR="00670FD4" w:rsidRDefault="00670FD4" w:rsidP="00670FD4">
      <w:pPr>
        <w:pStyle w:val="TOC2"/>
        <w:rPr>
          <w:rFonts w:asciiTheme="minorHAnsi" w:eastAsiaTheme="minorEastAsia" w:hAnsiTheme="minorHAnsi" w:cstheme="minorBidi"/>
          <w:noProof/>
          <w:sz w:val="22"/>
          <w:szCs w:val="22"/>
          <w:lang w:val="en-US"/>
          <w14:ligatures w14:val="standardContextual"/>
        </w:rPr>
      </w:pPr>
      <w:hyperlink w:anchor="_Toc171084873" w:history="1">
        <w:r w:rsidRPr="003A16DC">
          <w:rPr>
            <w:rStyle w:val="Hyperlink"/>
            <w:noProof/>
          </w:rPr>
          <w:t>Anexa 6</w:t>
        </w:r>
        <w:r>
          <w:rPr>
            <w:noProof/>
            <w:webHidden/>
          </w:rPr>
          <w:tab/>
        </w:r>
        <w:r>
          <w:rPr>
            <w:noProof/>
            <w:webHidden/>
          </w:rPr>
          <w:fldChar w:fldCharType="begin"/>
        </w:r>
        <w:r>
          <w:rPr>
            <w:noProof/>
            <w:webHidden/>
          </w:rPr>
          <w:instrText xml:space="preserve"> PAGEREF _Toc171084873 \h </w:instrText>
        </w:r>
        <w:r>
          <w:rPr>
            <w:noProof/>
            <w:webHidden/>
          </w:rPr>
        </w:r>
        <w:r>
          <w:rPr>
            <w:noProof/>
            <w:webHidden/>
          </w:rPr>
          <w:fldChar w:fldCharType="separate"/>
        </w:r>
        <w:r>
          <w:rPr>
            <w:noProof/>
            <w:webHidden/>
          </w:rPr>
          <w:t>385</w:t>
        </w:r>
        <w:r>
          <w:rPr>
            <w:noProof/>
            <w:webHidden/>
          </w:rPr>
          <w:fldChar w:fldCharType="end"/>
        </w:r>
      </w:hyperlink>
    </w:p>
    <w:p w14:paraId="727F2FE1" w14:textId="77777777" w:rsidR="00670FD4" w:rsidRDefault="00670FD4" w:rsidP="00670FD4">
      <w:pPr>
        <w:pStyle w:val="TOC2"/>
        <w:rPr>
          <w:rFonts w:asciiTheme="minorHAnsi" w:eastAsiaTheme="minorEastAsia" w:hAnsiTheme="minorHAnsi" w:cstheme="minorBidi"/>
          <w:noProof/>
          <w:sz w:val="22"/>
          <w:szCs w:val="22"/>
          <w:lang w:val="en-US"/>
          <w14:ligatures w14:val="standardContextual"/>
        </w:rPr>
      </w:pPr>
      <w:hyperlink w:anchor="_Toc171084874" w:history="1">
        <w:r w:rsidRPr="003A16DC">
          <w:rPr>
            <w:rStyle w:val="Hyperlink"/>
            <w:noProof/>
          </w:rPr>
          <w:t>Anexa 7</w:t>
        </w:r>
        <w:r>
          <w:rPr>
            <w:noProof/>
            <w:webHidden/>
          </w:rPr>
          <w:tab/>
        </w:r>
        <w:r>
          <w:rPr>
            <w:noProof/>
            <w:webHidden/>
          </w:rPr>
          <w:fldChar w:fldCharType="begin"/>
        </w:r>
        <w:r>
          <w:rPr>
            <w:noProof/>
            <w:webHidden/>
          </w:rPr>
          <w:instrText xml:space="preserve"> PAGEREF _Toc171084874 \h </w:instrText>
        </w:r>
        <w:r>
          <w:rPr>
            <w:noProof/>
            <w:webHidden/>
          </w:rPr>
        </w:r>
        <w:r>
          <w:rPr>
            <w:noProof/>
            <w:webHidden/>
          </w:rPr>
          <w:fldChar w:fldCharType="separate"/>
        </w:r>
        <w:r>
          <w:rPr>
            <w:noProof/>
            <w:webHidden/>
          </w:rPr>
          <w:t>386</w:t>
        </w:r>
        <w:r>
          <w:rPr>
            <w:noProof/>
            <w:webHidden/>
          </w:rPr>
          <w:fldChar w:fldCharType="end"/>
        </w:r>
      </w:hyperlink>
    </w:p>
    <w:p w14:paraId="145CBD15" w14:textId="77777777" w:rsidR="00670FD4" w:rsidRDefault="00670FD4" w:rsidP="00670FD4">
      <w:pPr>
        <w:pStyle w:val="TOC2"/>
        <w:rPr>
          <w:rFonts w:asciiTheme="minorHAnsi" w:eastAsiaTheme="minorEastAsia" w:hAnsiTheme="minorHAnsi" w:cstheme="minorBidi"/>
          <w:noProof/>
          <w:sz w:val="22"/>
          <w:szCs w:val="22"/>
          <w:lang w:val="en-US"/>
          <w14:ligatures w14:val="standardContextual"/>
        </w:rPr>
      </w:pPr>
      <w:hyperlink w:anchor="_Toc171084875" w:history="1">
        <w:r w:rsidRPr="003A16DC">
          <w:rPr>
            <w:rStyle w:val="Hyperlink"/>
            <w:noProof/>
          </w:rPr>
          <w:t>Anexa 8</w:t>
        </w:r>
        <w:r>
          <w:rPr>
            <w:noProof/>
            <w:webHidden/>
          </w:rPr>
          <w:tab/>
        </w:r>
        <w:r>
          <w:rPr>
            <w:noProof/>
            <w:webHidden/>
          </w:rPr>
          <w:fldChar w:fldCharType="begin"/>
        </w:r>
        <w:r>
          <w:rPr>
            <w:noProof/>
            <w:webHidden/>
          </w:rPr>
          <w:instrText xml:space="preserve"> PAGEREF _Toc171084875 \h </w:instrText>
        </w:r>
        <w:r>
          <w:rPr>
            <w:noProof/>
            <w:webHidden/>
          </w:rPr>
        </w:r>
        <w:r>
          <w:rPr>
            <w:noProof/>
            <w:webHidden/>
          </w:rPr>
          <w:fldChar w:fldCharType="separate"/>
        </w:r>
        <w:r>
          <w:rPr>
            <w:noProof/>
            <w:webHidden/>
          </w:rPr>
          <w:t>387</w:t>
        </w:r>
        <w:r>
          <w:rPr>
            <w:noProof/>
            <w:webHidden/>
          </w:rPr>
          <w:fldChar w:fldCharType="end"/>
        </w:r>
      </w:hyperlink>
    </w:p>
    <w:p w14:paraId="7182BBB5" w14:textId="6014A260" w:rsidR="00670FD4" w:rsidRDefault="00670FD4" w:rsidP="00670FD4">
      <w:pPr>
        <w:pStyle w:val="Heading2"/>
        <w:ind w:firstLine="567"/>
      </w:pPr>
      <w:r>
        <w:fldChar w:fldCharType="end"/>
      </w:r>
    </w:p>
    <w:p w14:paraId="3F68073D" w14:textId="77777777" w:rsidR="00670FD4" w:rsidRDefault="00670FD4" w:rsidP="00670FD4">
      <w:pPr>
        <w:rPr>
          <w:lang w:val="ro-RO" w:eastAsia="en-GB"/>
        </w:rPr>
      </w:pPr>
    </w:p>
    <w:p w14:paraId="14EA8C00" w14:textId="77777777" w:rsidR="00670FD4" w:rsidRDefault="00670FD4" w:rsidP="00670FD4">
      <w:pPr>
        <w:rPr>
          <w:lang w:val="ro-RO" w:eastAsia="en-GB"/>
        </w:rPr>
      </w:pPr>
    </w:p>
    <w:p w14:paraId="05099181" w14:textId="77777777" w:rsidR="00670FD4" w:rsidRDefault="00670FD4" w:rsidP="00670FD4">
      <w:pPr>
        <w:rPr>
          <w:lang w:val="ro-RO" w:eastAsia="en-GB"/>
        </w:rPr>
      </w:pPr>
    </w:p>
    <w:p w14:paraId="5B1FA980" w14:textId="77777777" w:rsidR="00670FD4" w:rsidRDefault="00670FD4" w:rsidP="00670FD4">
      <w:pPr>
        <w:rPr>
          <w:lang w:val="ro-RO" w:eastAsia="en-GB"/>
        </w:rPr>
      </w:pPr>
    </w:p>
    <w:p w14:paraId="68B670B5" w14:textId="77777777" w:rsidR="00670FD4" w:rsidRPr="00935E16" w:rsidRDefault="00670FD4" w:rsidP="00670FD4">
      <w:pPr>
        <w:ind w:firstLine="0"/>
        <w:rPr>
          <w:lang w:val="ro-RO" w:eastAsia="en-GB"/>
        </w:rPr>
      </w:pPr>
    </w:p>
    <w:p w14:paraId="3A0ECE75" w14:textId="77777777" w:rsidR="00670FD4" w:rsidRPr="008C6A37" w:rsidRDefault="00670FD4" w:rsidP="00670FD4">
      <w:pPr>
        <w:pStyle w:val="Heading2"/>
        <w:ind w:firstLine="567"/>
      </w:pPr>
      <w:bookmarkStart w:id="2" w:name="_Toc171084799"/>
      <w:r w:rsidRPr="008C6A37">
        <w:lastRenderedPageBreak/>
        <w:t>Listă de abrevieri</w:t>
      </w:r>
      <w:bookmarkEnd w:id="1"/>
      <w:bookmarkEnd w:id="2"/>
    </w:p>
    <w:p w14:paraId="65133E43" w14:textId="77777777" w:rsidR="00670FD4" w:rsidRPr="008C6A37" w:rsidRDefault="00670FD4" w:rsidP="00670FD4">
      <w:pPr>
        <w:ind w:firstLine="567"/>
        <w:rPr>
          <w:lang w:val="ro-RO"/>
        </w:rPr>
      </w:pPr>
    </w:p>
    <w:p w14:paraId="2E486F6D" w14:textId="77777777" w:rsidR="00670FD4" w:rsidRPr="00074D16" w:rsidRDefault="00670FD4" w:rsidP="00670FD4">
      <w:pPr>
        <w:rPr>
          <w:rFonts w:eastAsia="Times New Roman" w:cs="Times New Roman"/>
          <w:lang w:val="ro-RO"/>
        </w:rPr>
      </w:pPr>
      <w:r w:rsidRPr="00074D16">
        <w:rPr>
          <w:rFonts w:eastAsia="Times New Roman" w:cs="Times New Roman"/>
        </w:rPr>
        <w:t xml:space="preserve">ABADL – </w:t>
      </w:r>
      <w:r w:rsidRPr="00074D16">
        <w:rPr>
          <w:rFonts w:eastAsia="Times New Roman" w:cs="Times New Roman"/>
          <w:lang w:val="ro-RO"/>
        </w:rPr>
        <w:t>Administrația Bazinală de Apă Dobrogea Litoral</w:t>
      </w:r>
    </w:p>
    <w:p w14:paraId="2BE76F55" w14:textId="77777777" w:rsidR="00670FD4" w:rsidRPr="00074D16" w:rsidRDefault="00670FD4" w:rsidP="00670FD4">
      <w:pPr>
        <w:rPr>
          <w:rFonts w:eastAsia="Times New Roman" w:cs="Times New Roman"/>
          <w:lang w:val="ro-RO"/>
        </w:rPr>
      </w:pPr>
      <w:r w:rsidRPr="00074D16">
        <w:rPr>
          <w:rFonts w:eastAsia="Times New Roman" w:cs="Times New Roman"/>
          <w:lang w:val="ro-RO"/>
        </w:rPr>
        <w:t>AFDJ - Administrația Fluvială a Dunării de Jos</w:t>
      </w:r>
    </w:p>
    <w:p w14:paraId="68A6D556" w14:textId="77777777" w:rsidR="00670FD4" w:rsidRPr="00074D16" w:rsidRDefault="00670FD4" w:rsidP="00670FD4">
      <w:pPr>
        <w:rPr>
          <w:rFonts w:eastAsia="Times New Roman" w:cs="Times New Roman"/>
          <w:lang w:val="ro-RO"/>
        </w:rPr>
      </w:pPr>
      <w:r w:rsidRPr="00074D16">
        <w:rPr>
          <w:rFonts w:eastAsia="Times New Roman" w:cs="Times New Roman"/>
          <w:lang w:val="ro-RO"/>
        </w:rPr>
        <w:t xml:space="preserve">AGRIP -Programul pentru Promovarea Produselor Agricole </w:t>
      </w:r>
    </w:p>
    <w:p w14:paraId="63532CB1" w14:textId="77777777" w:rsidR="00670FD4" w:rsidRPr="00074D16" w:rsidRDefault="00670FD4" w:rsidP="00670FD4">
      <w:pPr>
        <w:rPr>
          <w:rFonts w:eastAsia="Times New Roman" w:cs="Times New Roman"/>
          <w:lang w:val="ro-RO"/>
        </w:rPr>
      </w:pPr>
      <w:r w:rsidRPr="00074D16">
        <w:rPr>
          <w:rFonts w:eastAsia="Times New Roman" w:cs="Times New Roman"/>
          <w:lang w:val="ro-RO"/>
        </w:rPr>
        <w:t>AFM - Administrația Fondului pentru Mediu</w:t>
      </w:r>
    </w:p>
    <w:p w14:paraId="08E66416" w14:textId="77777777" w:rsidR="00670FD4" w:rsidRDefault="00670FD4" w:rsidP="00670FD4">
      <w:pPr>
        <w:rPr>
          <w:rFonts w:eastAsia="Times New Roman" w:cs="Times New Roman"/>
          <w:lang w:val="ro-RO"/>
        </w:rPr>
      </w:pPr>
      <w:r w:rsidRPr="00074D16">
        <w:rPr>
          <w:rFonts w:eastAsia="Times New Roman" w:cs="Times New Roman"/>
          <w:lang w:val="ro-RO"/>
        </w:rPr>
        <w:t>AJPM – Agenție Județeană de Protecție a Mediului</w:t>
      </w:r>
    </w:p>
    <w:p w14:paraId="099A550C" w14:textId="77777777" w:rsidR="00670FD4" w:rsidRPr="00074D16" w:rsidRDefault="00670FD4" w:rsidP="00670FD4">
      <w:pPr>
        <w:rPr>
          <w:rFonts w:eastAsia="Times New Roman" w:cs="Times New Roman"/>
          <w:lang w:val="ro-RO"/>
        </w:rPr>
      </w:pPr>
      <w:r>
        <w:rPr>
          <w:rFonts w:eastAsia="Times New Roman" w:cs="Times New Roman"/>
          <w:lang w:val="ro-RO"/>
        </w:rPr>
        <w:t>alin. - alineat</w:t>
      </w:r>
    </w:p>
    <w:p w14:paraId="00BD518E" w14:textId="77777777" w:rsidR="00670FD4" w:rsidRPr="00074D16" w:rsidRDefault="00670FD4" w:rsidP="00670FD4">
      <w:pPr>
        <w:rPr>
          <w:rFonts w:eastAsia="Times New Roman" w:cs="Times New Roman"/>
          <w:lang w:val="ro-RO"/>
        </w:rPr>
      </w:pPr>
      <w:r w:rsidRPr="00074D16">
        <w:rPr>
          <w:rFonts w:eastAsia="Times New Roman" w:cs="Times New Roman"/>
          <w:lang w:val="ro-RO"/>
        </w:rPr>
        <w:t>ANANP - Agenția Națională pentru Arii Naturale Protejate</w:t>
      </w:r>
    </w:p>
    <w:p w14:paraId="79EE5DCB" w14:textId="77777777" w:rsidR="00670FD4" w:rsidRPr="00074D16" w:rsidRDefault="00670FD4" w:rsidP="00670FD4">
      <w:pPr>
        <w:rPr>
          <w:rFonts w:eastAsia="Times New Roman" w:cs="Times New Roman"/>
          <w:lang w:val="ro-RO"/>
        </w:rPr>
      </w:pPr>
      <w:r w:rsidRPr="00074D16">
        <w:rPr>
          <w:rFonts w:eastAsia="Times New Roman" w:cs="Times New Roman"/>
          <w:lang w:val="ro-RO"/>
        </w:rPr>
        <w:t>ANAR – Administrația Națională „Apele Române”</w:t>
      </w:r>
    </w:p>
    <w:p w14:paraId="48913134" w14:textId="77777777" w:rsidR="00670FD4" w:rsidRPr="00074D16" w:rsidRDefault="00670FD4" w:rsidP="00670FD4">
      <w:pPr>
        <w:rPr>
          <w:rFonts w:eastAsia="Times New Roman" w:cs="Times New Roman"/>
          <w:lang w:val="ro-RO"/>
        </w:rPr>
      </w:pPr>
      <w:r w:rsidRPr="00074D16">
        <w:rPr>
          <w:rFonts w:eastAsia="Times New Roman" w:cs="Times New Roman"/>
          <w:lang w:val="ro-RO"/>
        </w:rPr>
        <w:t>ANCPI – Agenția Națională de Cadastru și Publicitate Imobiliară</w:t>
      </w:r>
    </w:p>
    <w:p w14:paraId="05197209" w14:textId="77777777" w:rsidR="00670FD4" w:rsidRPr="00074D16" w:rsidRDefault="00670FD4" w:rsidP="00670FD4">
      <w:pPr>
        <w:rPr>
          <w:rFonts w:eastAsia="Times New Roman" w:cs="Times New Roman"/>
          <w:lang w:val="ro-RO"/>
        </w:rPr>
      </w:pPr>
      <w:r w:rsidRPr="00074D16">
        <w:rPr>
          <w:rFonts w:eastAsia="Times New Roman" w:cs="Times New Roman"/>
          <w:lang w:val="ro-RO"/>
        </w:rPr>
        <w:t>ANM -</w:t>
      </w:r>
      <w:r w:rsidRPr="00074D16">
        <w:rPr>
          <w:lang w:val="ro-RO"/>
        </w:rPr>
        <w:t xml:space="preserve"> </w:t>
      </w:r>
      <w:r w:rsidRPr="00074D16">
        <w:rPr>
          <w:rFonts w:eastAsia="Times New Roman" w:cs="Times New Roman"/>
          <w:lang w:val="ro-RO"/>
        </w:rPr>
        <w:t xml:space="preserve">Administrația Națională de Meteorologie </w:t>
      </w:r>
    </w:p>
    <w:p w14:paraId="3C386417" w14:textId="77777777" w:rsidR="00670FD4" w:rsidRDefault="00670FD4" w:rsidP="00670FD4">
      <w:pPr>
        <w:rPr>
          <w:rFonts w:eastAsia="Times New Roman" w:cs="Times New Roman"/>
          <w:lang w:val="ro-RO"/>
        </w:rPr>
      </w:pPr>
      <w:r w:rsidRPr="00074D16">
        <w:rPr>
          <w:rFonts w:eastAsia="Times New Roman" w:cs="Times New Roman"/>
          <w:lang w:val="ro-RO"/>
        </w:rPr>
        <w:t>ANPA – Agenția Națională de Pescuit și Acvacultură</w:t>
      </w:r>
    </w:p>
    <w:p w14:paraId="5A648F42" w14:textId="77777777" w:rsidR="00670FD4" w:rsidRPr="00074D16" w:rsidRDefault="00670FD4" w:rsidP="00670FD4">
      <w:pPr>
        <w:rPr>
          <w:rFonts w:eastAsia="Times New Roman" w:cs="Times New Roman"/>
          <w:lang w:val="ro-RO"/>
        </w:rPr>
      </w:pPr>
      <w:r>
        <w:rPr>
          <w:rFonts w:eastAsia="Times New Roman" w:cs="Times New Roman"/>
          <w:lang w:val="ro-RO"/>
        </w:rPr>
        <w:t>ANPM – Agenția Națională de Protecție a Mediului</w:t>
      </w:r>
    </w:p>
    <w:p w14:paraId="5ED8CD10" w14:textId="77777777" w:rsidR="00670FD4" w:rsidRPr="00074D16" w:rsidRDefault="00670FD4" w:rsidP="00670FD4">
      <w:pPr>
        <w:rPr>
          <w:rFonts w:eastAsia="Times New Roman" w:cs="Times New Roman"/>
          <w:lang w:val="ro-RO"/>
        </w:rPr>
      </w:pPr>
      <w:r w:rsidRPr="00074D16">
        <w:rPr>
          <w:rFonts w:eastAsia="Times New Roman" w:cs="Times New Roman"/>
          <w:lang w:val="ro-RO"/>
        </w:rPr>
        <w:t>ANR – Autoritatea Navală Română</w:t>
      </w:r>
    </w:p>
    <w:p w14:paraId="3E3FC2D8" w14:textId="77777777" w:rsidR="00670FD4" w:rsidRDefault="00670FD4" w:rsidP="00670FD4">
      <w:pPr>
        <w:rPr>
          <w:rFonts w:eastAsia="Times New Roman" w:cs="Times New Roman"/>
          <w:lang w:val="ro-RO"/>
        </w:rPr>
      </w:pPr>
      <w:r w:rsidRPr="00074D16">
        <w:rPr>
          <w:rFonts w:eastAsia="Times New Roman" w:cs="Times New Roman"/>
          <w:lang w:val="ro-RO"/>
        </w:rPr>
        <w:t>ANRM - Agenția Națională pentru Resurse Minerale</w:t>
      </w:r>
    </w:p>
    <w:p w14:paraId="2F229EC1" w14:textId="77777777" w:rsidR="00670FD4" w:rsidRPr="00074D16" w:rsidRDefault="00670FD4" w:rsidP="00670FD4">
      <w:pPr>
        <w:rPr>
          <w:rFonts w:eastAsia="Times New Roman" w:cs="Times New Roman"/>
          <w:lang w:val="ro-RO"/>
        </w:rPr>
      </w:pPr>
      <w:r w:rsidRPr="00AF5CFF">
        <w:rPr>
          <w:rFonts w:eastAsia="Times New Roman" w:cs="Times New Roman"/>
          <w:lang w:val="ro-RO"/>
        </w:rPr>
        <w:t>ANSVSA - Autoritatea Nationala Sanitara Veterinara si pentru Siguranța Alimentelor</w:t>
      </w:r>
    </w:p>
    <w:p w14:paraId="5E311420" w14:textId="77777777" w:rsidR="00670FD4" w:rsidRDefault="00670FD4" w:rsidP="00670FD4">
      <w:pPr>
        <w:rPr>
          <w:rFonts w:eastAsia="Times New Roman" w:cs="Times New Roman"/>
          <w:lang w:val="ro-RO"/>
        </w:rPr>
      </w:pPr>
      <w:r w:rsidRPr="00074D16">
        <w:rPr>
          <w:rFonts w:eastAsia="Times New Roman" w:cs="Times New Roman"/>
          <w:lang w:val="ro-RO"/>
        </w:rPr>
        <w:t>ARBDD – Administrația Rezervației Biosferei Delta Dunării</w:t>
      </w:r>
    </w:p>
    <w:p w14:paraId="1BDDEA71" w14:textId="77777777" w:rsidR="00670FD4" w:rsidRDefault="00670FD4" w:rsidP="00670FD4">
      <w:pPr>
        <w:rPr>
          <w:rFonts w:eastAsia="Times New Roman" w:cs="Times New Roman"/>
          <w:lang w:val="ro-RO"/>
        </w:rPr>
      </w:pPr>
      <w:r>
        <w:rPr>
          <w:rFonts w:eastAsia="Times New Roman" w:cs="Times New Roman"/>
          <w:lang w:val="ro-RO"/>
        </w:rPr>
        <w:t>art. – articol</w:t>
      </w:r>
    </w:p>
    <w:p w14:paraId="2B77AA39" w14:textId="77777777" w:rsidR="00670FD4" w:rsidRPr="00074D16" w:rsidRDefault="00670FD4" w:rsidP="00670FD4">
      <w:pPr>
        <w:rPr>
          <w:rFonts w:eastAsia="Times New Roman" w:cs="Times New Roman"/>
          <w:lang w:val="ro-RO"/>
        </w:rPr>
      </w:pPr>
      <w:r>
        <w:rPr>
          <w:rFonts w:eastAsia="Times New Roman" w:cs="Times New Roman"/>
          <w:lang w:val="ro-RO"/>
        </w:rPr>
        <w:t>As- Arsen</w:t>
      </w:r>
    </w:p>
    <w:p w14:paraId="28CA16E3" w14:textId="77777777" w:rsidR="00670FD4" w:rsidRDefault="00670FD4" w:rsidP="00670FD4">
      <w:pPr>
        <w:rPr>
          <w:rFonts w:eastAsia="Times New Roman" w:cs="Times New Roman"/>
          <w:lang w:val="ro-RO"/>
        </w:rPr>
      </w:pPr>
      <w:r w:rsidRPr="00074D16">
        <w:rPr>
          <w:rFonts w:eastAsia="Times New Roman" w:cs="Times New Roman"/>
          <w:lang w:val="ro-RO"/>
        </w:rPr>
        <w:t>AZA - zonă alocată pentru acvacultură</w:t>
      </w:r>
    </w:p>
    <w:p w14:paraId="6BDCD58F" w14:textId="77777777" w:rsidR="00670FD4" w:rsidRPr="00AF5CFF" w:rsidRDefault="00670FD4" w:rsidP="00670FD4">
      <w:pPr>
        <w:pBdr>
          <w:top w:val="nil"/>
          <w:left w:val="nil"/>
          <w:bottom w:val="nil"/>
          <w:right w:val="nil"/>
          <w:between w:val="nil"/>
        </w:pBdr>
        <w:rPr>
          <w:rFonts w:eastAsia="Times New Roman" w:cs="Times New Roman"/>
        </w:rPr>
      </w:pPr>
      <w:r>
        <w:rPr>
          <w:rFonts w:eastAsia="Times New Roman" w:cs="Times New Roman"/>
        </w:rPr>
        <w:t>BSC – Black Sea Commission (Comisia Mării Negre)</w:t>
      </w:r>
    </w:p>
    <w:p w14:paraId="11F9B9A6" w14:textId="77777777" w:rsidR="00670FD4" w:rsidRPr="00074D16" w:rsidRDefault="00670FD4" w:rsidP="00670FD4">
      <w:pPr>
        <w:ind w:left="1701" w:hanging="1162"/>
        <w:rPr>
          <w:rFonts w:eastAsia="Times New Roman" w:cs="Times New Roman"/>
          <w:lang w:val="ro-RO"/>
        </w:rPr>
      </w:pPr>
      <w:r w:rsidRPr="00074D16">
        <w:rPr>
          <w:rFonts w:eastAsia="Times New Roman" w:cs="Times New Roman"/>
          <w:lang w:val="ro-RO"/>
        </w:rPr>
        <w:t>BS SAP – Black Sea Strategic Action Plan (Planul strategic de acțiune la Marea  Neagră)</w:t>
      </w:r>
    </w:p>
    <w:p w14:paraId="3453E1F5" w14:textId="77777777" w:rsidR="00670FD4" w:rsidRPr="00074D16" w:rsidRDefault="00670FD4" w:rsidP="00670FD4">
      <w:pPr>
        <w:rPr>
          <w:rFonts w:eastAsia="Times New Roman" w:cs="Times New Roman"/>
          <w:lang w:val="ro-RO"/>
        </w:rPr>
      </w:pPr>
      <w:r w:rsidRPr="00074D16">
        <w:rPr>
          <w:rFonts w:eastAsia="Times New Roman" w:cs="Times New Roman"/>
          <w:lang w:val="ro-RO"/>
        </w:rPr>
        <w:t>°C – grade Celsius</w:t>
      </w:r>
    </w:p>
    <w:p w14:paraId="111046E1" w14:textId="77777777" w:rsidR="00670FD4" w:rsidRDefault="00670FD4" w:rsidP="00670FD4">
      <w:pPr>
        <w:rPr>
          <w:rFonts w:eastAsia="Times New Roman" w:cs="Times New Roman"/>
          <w:lang w:val="ro-RO"/>
        </w:rPr>
      </w:pPr>
      <w:r w:rsidRPr="00074D16">
        <w:rPr>
          <w:rFonts w:eastAsia="Times New Roman" w:cs="Times New Roman"/>
          <w:lang w:val="ro-RO"/>
        </w:rPr>
        <w:t>CATUC - Cod al Amenajării Teritoriului, Urbanismului și Construcțiilor</w:t>
      </w:r>
    </w:p>
    <w:p w14:paraId="387BD52B" w14:textId="77777777" w:rsidR="00670FD4" w:rsidRPr="00AF5CFF" w:rsidRDefault="00670FD4" w:rsidP="00670FD4">
      <w:pPr>
        <w:pBdr>
          <w:top w:val="nil"/>
          <w:left w:val="nil"/>
          <w:bottom w:val="nil"/>
          <w:right w:val="nil"/>
          <w:between w:val="nil"/>
        </w:pBdr>
        <w:rPr>
          <w:rFonts w:eastAsia="Times New Roman" w:cs="Times New Roman"/>
        </w:rPr>
      </w:pPr>
      <w:r>
        <w:rPr>
          <w:rFonts w:eastAsia="Times New Roman" w:cs="Times New Roman"/>
        </w:rPr>
        <w:t>Cd - Cadmiu</w:t>
      </w:r>
    </w:p>
    <w:p w14:paraId="01ADABA4" w14:textId="77777777" w:rsidR="00670FD4" w:rsidRPr="00074D16" w:rsidRDefault="00670FD4" w:rsidP="00670FD4">
      <w:pPr>
        <w:rPr>
          <w:rFonts w:eastAsia="Times New Roman" w:cs="Times New Roman"/>
          <w:lang w:val="ro-RO"/>
        </w:rPr>
      </w:pPr>
      <w:r w:rsidRPr="00074D16">
        <w:rPr>
          <w:rFonts w:eastAsia="Times New Roman" w:cs="Times New Roman"/>
          <w:lang w:val="ro-RO"/>
        </w:rPr>
        <w:t>CDI – Cercetare, Dezvoltare și Inovare</w:t>
      </w:r>
    </w:p>
    <w:p w14:paraId="7E9E5DF5" w14:textId="77777777" w:rsidR="00670FD4" w:rsidRPr="00074D16" w:rsidRDefault="00670FD4" w:rsidP="00670FD4">
      <w:pPr>
        <w:rPr>
          <w:rFonts w:eastAsia="Times New Roman" w:cs="Times New Roman"/>
          <w:lang w:val="ro-RO"/>
        </w:rPr>
      </w:pPr>
      <w:r w:rsidRPr="00074D16">
        <w:rPr>
          <w:rFonts w:eastAsia="Times New Roman" w:cs="Times New Roman"/>
          <w:lang w:val="ro-RO"/>
        </w:rPr>
        <w:t>CE – Comisia Europeană</w:t>
      </w:r>
    </w:p>
    <w:p w14:paraId="1C8786BB" w14:textId="77777777" w:rsidR="00670FD4" w:rsidRPr="00074D16" w:rsidRDefault="00670FD4" w:rsidP="00670FD4">
      <w:pPr>
        <w:rPr>
          <w:rFonts w:eastAsia="Times New Roman" w:cs="Times New Roman"/>
          <w:lang w:val="ro-RO"/>
        </w:rPr>
      </w:pPr>
      <w:r w:rsidRPr="00074D16">
        <w:rPr>
          <w:rFonts w:eastAsia="Times New Roman" w:cs="Times New Roman"/>
          <w:lang w:val="ro-RO"/>
        </w:rPr>
        <w:t xml:space="preserve">cf. – conform </w:t>
      </w:r>
    </w:p>
    <w:p w14:paraId="16486EC1" w14:textId="77777777" w:rsidR="00670FD4" w:rsidRPr="00074D16" w:rsidRDefault="00670FD4" w:rsidP="00670FD4">
      <w:pPr>
        <w:rPr>
          <w:rFonts w:eastAsia="Times New Roman" w:cs="Times New Roman"/>
          <w:lang w:val="ro-RO"/>
        </w:rPr>
      </w:pPr>
      <w:r w:rsidRPr="00074D16">
        <w:rPr>
          <w:rFonts w:eastAsia="Times New Roman" w:cs="Times New Roman"/>
          <w:lang w:val="ro-RO"/>
        </w:rPr>
        <w:t>C</w:t>
      </w:r>
      <w:r w:rsidRPr="00074D16">
        <w:rPr>
          <w:rFonts w:eastAsia="Times New Roman" w:cs="Times New Roman"/>
          <w:vertAlign w:val="subscript"/>
          <w:lang w:val="ro-RO"/>
        </w:rPr>
        <w:t>6</w:t>
      </w:r>
      <w:r w:rsidRPr="00074D16">
        <w:rPr>
          <w:rFonts w:eastAsia="Times New Roman" w:cs="Times New Roman"/>
          <w:lang w:val="ro-RO"/>
        </w:rPr>
        <w:t>H</w:t>
      </w:r>
      <w:r w:rsidRPr="00074D16">
        <w:rPr>
          <w:rFonts w:eastAsia="Times New Roman" w:cs="Times New Roman"/>
          <w:vertAlign w:val="subscript"/>
          <w:lang w:val="ro-RO"/>
        </w:rPr>
        <w:t>6</w:t>
      </w:r>
      <w:r w:rsidRPr="00074D16">
        <w:rPr>
          <w:rFonts w:eastAsia="Times New Roman" w:cs="Times New Roman"/>
          <w:lang w:val="ro-RO"/>
        </w:rPr>
        <w:t xml:space="preserve"> – Benzen</w:t>
      </w:r>
    </w:p>
    <w:p w14:paraId="73CDAC24" w14:textId="77777777" w:rsidR="00670FD4" w:rsidRDefault="00670FD4" w:rsidP="00670FD4">
      <w:pPr>
        <w:rPr>
          <w:rFonts w:eastAsia="Times New Roman" w:cs="Times New Roman"/>
          <w:lang w:val="ro-RO"/>
        </w:rPr>
      </w:pPr>
      <w:r w:rsidRPr="00074D16">
        <w:rPr>
          <w:rFonts w:eastAsia="Times New Roman" w:cs="Times New Roman"/>
          <w:lang w:val="ro-RO"/>
        </w:rPr>
        <w:t>CJ – Consiliu Județean</w:t>
      </w:r>
    </w:p>
    <w:p w14:paraId="3451CC9A" w14:textId="77777777" w:rsidR="00670FD4" w:rsidRDefault="00670FD4" w:rsidP="00670FD4">
      <w:pPr>
        <w:rPr>
          <w:rFonts w:eastAsia="Times New Roman" w:cs="Times New Roman"/>
          <w:lang w:val="ro-RO"/>
        </w:rPr>
      </w:pPr>
      <w:r>
        <w:rPr>
          <w:rFonts w:eastAsia="Times New Roman" w:cs="Times New Roman"/>
          <w:lang w:val="ro-RO"/>
        </w:rPr>
        <w:t>CLU – Combustibil Lichid Ușor</w:t>
      </w:r>
    </w:p>
    <w:p w14:paraId="4122FC99" w14:textId="77777777" w:rsidR="00670FD4" w:rsidRDefault="00670FD4" w:rsidP="00670FD4">
      <w:pPr>
        <w:rPr>
          <w:rFonts w:eastAsia="Times New Roman" w:cs="Times New Roman"/>
          <w:lang w:val="ro-RO"/>
        </w:rPr>
      </w:pPr>
      <w:r>
        <w:rPr>
          <w:rFonts w:eastAsia="Times New Roman" w:cs="Times New Roman"/>
          <w:lang w:val="ro-RO"/>
        </w:rPr>
        <w:lastRenderedPageBreak/>
        <w:t>cm. – centimetru</w:t>
      </w:r>
    </w:p>
    <w:p w14:paraId="76414C73" w14:textId="77777777" w:rsidR="00670FD4" w:rsidRPr="00AF5CFF" w:rsidRDefault="00670FD4" w:rsidP="00670FD4">
      <w:pPr>
        <w:pBdr>
          <w:top w:val="nil"/>
          <w:left w:val="nil"/>
          <w:bottom w:val="nil"/>
          <w:right w:val="nil"/>
          <w:between w:val="nil"/>
        </w:pBdr>
        <w:rPr>
          <w:rFonts w:eastAsia="Times New Roman" w:cs="Times New Roman"/>
        </w:rPr>
      </w:pPr>
      <w:r>
        <w:rPr>
          <w:rFonts w:eastAsia="Times New Roman" w:cs="Times New Roman"/>
        </w:rPr>
        <w:t>CN ACN – Compania Națională Administrația Canalelor Navigabile</w:t>
      </w:r>
    </w:p>
    <w:p w14:paraId="421ED3EF" w14:textId="77777777" w:rsidR="00670FD4" w:rsidRPr="00074D16" w:rsidRDefault="00670FD4" w:rsidP="00670FD4">
      <w:pPr>
        <w:rPr>
          <w:rFonts w:eastAsia="Times New Roman" w:cs="Times New Roman"/>
          <w:lang w:val="ro-RO"/>
        </w:rPr>
      </w:pPr>
      <w:r w:rsidRPr="00074D16">
        <w:rPr>
          <w:rFonts w:eastAsia="Times New Roman" w:cs="Times New Roman"/>
          <w:lang w:val="ro-RO"/>
        </w:rPr>
        <w:t>CN APM – Compania Națională Administrația Porturilor Maritime</w:t>
      </w:r>
    </w:p>
    <w:p w14:paraId="33B550EA" w14:textId="77777777" w:rsidR="00670FD4" w:rsidRPr="00074D16" w:rsidRDefault="00670FD4" w:rsidP="00670FD4">
      <w:pPr>
        <w:rPr>
          <w:rFonts w:eastAsia="Times New Roman" w:cs="Times New Roman"/>
          <w:lang w:val="ro-RO"/>
        </w:rPr>
      </w:pPr>
      <w:r w:rsidRPr="00074D16">
        <w:rPr>
          <w:rFonts w:eastAsia="Times New Roman" w:cs="Times New Roman"/>
          <w:lang w:val="ro-RO"/>
        </w:rPr>
        <w:t>CNZC – Comitetul Național al Zonei Costiere</w:t>
      </w:r>
    </w:p>
    <w:p w14:paraId="4DEDF9B9" w14:textId="77777777" w:rsidR="00670FD4" w:rsidRDefault="00670FD4" w:rsidP="00670FD4">
      <w:pPr>
        <w:rPr>
          <w:rFonts w:eastAsia="Times New Roman" w:cs="Times New Roman"/>
          <w:lang w:val="ro-RO"/>
        </w:rPr>
      </w:pPr>
      <w:r w:rsidRPr="00074D16">
        <w:rPr>
          <w:rFonts w:eastAsia="Times New Roman" w:cs="Times New Roman"/>
          <w:lang w:val="ro-RO"/>
        </w:rPr>
        <w:t>CO – monoxid de carbon</w:t>
      </w:r>
    </w:p>
    <w:p w14:paraId="3D920A72" w14:textId="77777777" w:rsidR="00670FD4" w:rsidRDefault="00670FD4" w:rsidP="00670FD4">
      <w:pPr>
        <w:rPr>
          <w:rFonts w:eastAsia="Times New Roman" w:cs="Times New Roman"/>
          <w:lang w:val="ro-RO"/>
        </w:rPr>
      </w:pPr>
      <w:r>
        <w:rPr>
          <w:rFonts w:eastAsia="Times New Roman" w:cs="Times New Roman"/>
          <w:lang w:val="ro-RO"/>
        </w:rPr>
        <w:t>com. - comună</w:t>
      </w:r>
    </w:p>
    <w:p w14:paraId="26A781E5" w14:textId="77777777" w:rsidR="00670FD4" w:rsidRPr="00AF5CFF" w:rsidRDefault="00670FD4" w:rsidP="00670FD4">
      <w:pPr>
        <w:pBdr>
          <w:top w:val="nil"/>
          <w:left w:val="nil"/>
          <w:bottom w:val="nil"/>
          <w:right w:val="nil"/>
          <w:between w:val="nil"/>
        </w:pBdr>
        <w:rPr>
          <w:rFonts w:eastAsia="Times New Roman" w:cs="Times New Roman"/>
        </w:rPr>
      </w:pPr>
      <w:r>
        <w:rPr>
          <w:rFonts w:eastAsia="Times New Roman" w:cs="Times New Roman"/>
        </w:rPr>
        <w:t>COV – Compuși Organici Volatili</w:t>
      </w:r>
    </w:p>
    <w:p w14:paraId="032EF6CD" w14:textId="77777777" w:rsidR="00670FD4" w:rsidRDefault="00670FD4" w:rsidP="00670FD4">
      <w:pPr>
        <w:rPr>
          <w:rFonts w:eastAsia="Times New Roman" w:cs="Times New Roman"/>
          <w:lang w:val="ro-RO"/>
        </w:rPr>
      </w:pPr>
      <w:r w:rsidRPr="00074D16">
        <w:rPr>
          <w:rFonts w:eastAsia="Times New Roman" w:cs="Times New Roman"/>
          <w:lang w:val="ro-RO"/>
        </w:rPr>
        <w:t>COVNM - compuși organici volatili nemetanici</w:t>
      </w:r>
    </w:p>
    <w:p w14:paraId="3BBECA53" w14:textId="77777777" w:rsidR="00670FD4" w:rsidRDefault="00670FD4" w:rsidP="00670FD4">
      <w:pPr>
        <w:rPr>
          <w:rFonts w:eastAsia="Times New Roman" w:cs="Times New Roman"/>
          <w:lang w:val="ro-RO"/>
        </w:rPr>
      </w:pPr>
      <w:r>
        <w:rPr>
          <w:rFonts w:eastAsia="Times New Roman" w:cs="Times New Roman"/>
          <w:lang w:val="ro-RO"/>
        </w:rPr>
        <w:t>Cr – crom</w:t>
      </w:r>
    </w:p>
    <w:p w14:paraId="2164A04F" w14:textId="77777777" w:rsidR="00670FD4" w:rsidRPr="00074D16" w:rsidRDefault="00670FD4" w:rsidP="00670FD4">
      <w:pPr>
        <w:rPr>
          <w:rFonts w:eastAsia="Times New Roman" w:cs="Times New Roman"/>
          <w:lang w:val="ro-RO"/>
        </w:rPr>
      </w:pPr>
      <w:r>
        <w:rPr>
          <w:rFonts w:eastAsia="Times New Roman" w:cs="Times New Roman"/>
          <w:lang w:val="ro-RO"/>
        </w:rPr>
        <w:t>Cu - cupru</w:t>
      </w:r>
    </w:p>
    <w:p w14:paraId="2C66AC20" w14:textId="77777777" w:rsidR="00670FD4" w:rsidRPr="00074D16" w:rsidRDefault="00670FD4" w:rsidP="00670FD4">
      <w:pPr>
        <w:rPr>
          <w:rFonts w:eastAsia="Times New Roman" w:cs="Times New Roman"/>
          <w:lang w:val="ro-RO"/>
        </w:rPr>
      </w:pPr>
      <w:r w:rsidRPr="00074D16">
        <w:rPr>
          <w:rFonts w:eastAsia="Times New Roman" w:cs="Times New Roman"/>
          <w:lang w:val="ro-RO"/>
        </w:rPr>
        <w:t>DCA – Directiva Cadru Ape</w:t>
      </w:r>
    </w:p>
    <w:p w14:paraId="79E60EA7" w14:textId="77777777" w:rsidR="00670FD4" w:rsidRPr="00074D16" w:rsidRDefault="00670FD4" w:rsidP="00670FD4">
      <w:pPr>
        <w:rPr>
          <w:rFonts w:eastAsia="Times New Roman" w:cs="Times New Roman"/>
          <w:lang w:val="ro-RO"/>
        </w:rPr>
      </w:pPr>
      <w:r w:rsidRPr="00074D16">
        <w:rPr>
          <w:rFonts w:eastAsia="Times New Roman" w:cs="Times New Roman"/>
          <w:lang w:val="ro-RO"/>
        </w:rPr>
        <w:t>DCSMM - Directiva Cadru privind Strategia pentru Mediul Marin</w:t>
      </w:r>
    </w:p>
    <w:p w14:paraId="09CD245E" w14:textId="77777777" w:rsidR="00670FD4" w:rsidRPr="00074D16" w:rsidRDefault="00670FD4" w:rsidP="00670FD4">
      <w:pPr>
        <w:rPr>
          <w:rFonts w:eastAsia="Times New Roman" w:cs="Times New Roman"/>
          <w:lang w:val="ro-RO"/>
        </w:rPr>
      </w:pPr>
      <w:r w:rsidRPr="00074D16">
        <w:rPr>
          <w:rFonts w:eastAsia="Times New Roman" w:cs="Times New Roman"/>
          <w:lang w:val="ro-RO"/>
        </w:rPr>
        <w:t>DHM - Direcția Hidrografică Maritimă</w:t>
      </w:r>
    </w:p>
    <w:p w14:paraId="1DF8DBD4" w14:textId="77777777" w:rsidR="00670FD4" w:rsidRDefault="00670FD4" w:rsidP="00670FD4">
      <w:pPr>
        <w:rPr>
          <w:rFonts w:eastAsia="Times New Roman" w:cs="Times New Roman"/>
          <w:lang w:val="ro-RO"/>
        </w:rPr>
      </w:pPr>
      <w:r w:rsidRPr="00074D16">
        <w:rPr>
          <w:rFonts w:eastAsia="Times New Roman" w:cs="Times New Roman"/>
          <w:lang w:val="ro-RO"/>
        </w:rPr>
        <w:t>EC – European Commission</w:t>
      </w:r>
    </w:p>
    <w:p w14:paraId="6F1617E6" w14:textId="77777777" w:rsidR="00670FD4" w:rsidRPr="00074D16" w:rsidRDefault="00670FD4" w:rsidP="00670FD4">
      <w:pPr>
        <w:rPr>
          <w:rFonts w:eastAsia="Times New Roman" w:cs="Times New Roman"/>
          <w:lang w:val="ro-RO"/>
        </w:rPr>
      </w:pPr>
      <w:r w:rsidRPr="00AF5CFF">
        <w:rPr>
          <w:rFonts w:eastAsia="Times New Roman" w:cs="Times New Roman"/>
          <w:lang w:val="ro-RO"/>
        </w:rPr>
        <w:t>EEA – European Environmental Agency (Agenția Europeană de Mediu)</w:t>
      </w:r>
      <w:r w:rsidRPr="00074D16">
        <w:rPr>
          <w:rFonts w:eastAsia="Times New Roman" w:cs="Times New Roman"/>
          <w:lang w:val="ro-RO"/>
        </w:rPr>
        <w:t xml:space="preserve"> </w:t>
      </w:r>
    </w:p>
    <w:p w14:paraId="3D9FC220" w14:textId="77777777" w:rsidR="00670FD4" w:rsidRPr="00074D16" w:rsidRDefault="00670FD4" w:rsidP="00670FD4">
      <w:pPr>
        <w:rPr>
          <w:rFonts w:eastAsia="Times New Roman" w:cs="Times New Roman"/>
          <w:lang w:val="ro-RO"/>
        </w:rPr>
      </w:pPr>
      <w:r w:rsidRPr="00074D16">
        <w:rPr>
          <w:rFonts w:eastAsia="Times New Roman" w:cs="Times New Roman"/>
          <w:lang w:val="ro-RO"/>
        </w:rPr>
        <w:t>ERL – Effects Range Low</w:t>
      </w:r>
    </w:p>
    <w:p w14:paraId="34E70AEF" w14:textId="77777777" w:rsidR="00670FD4" w:rsidRPr="00074D16" w:rsidRDefault="00670FD4" w:rsidP="00670FD4">
      <w:pPr>
        <w:rPr>
          <w:rFonts w:eastAsia="Times New Roman" w:cs="Times New Roman"/>
          <w:lang w:val="ro-RO"/>
        </w:rPr>
      </w:pPr>
      <w:r w:rsidRPr="00074D16">
        <w:rPr>
          <w:rFonts w:eastAsia="Times New Roman" w:cs="Times New Roman"/>
          <w:lang w:val="ro-RO"/>
        </w:rPr>
        <w:t>EQS - Environment Quality Standards (Standarde de calitate pentru mediu)</w:t>
      </w:r>
    </w:p>
    <w:p w14:paraId="1E9B4D57" w14:textId="77777777" w:rsidR="00670FD4" w:rsidRPr="00074D16" w:rsidRDefault="00670FD4" w:rsidP="00670FD4">
      <w:pPr>
        <w:rPr>
          <w:rFonts w:eastAsia="Times New Roman" w:cs="Times New Roman"/>
          <w:lang w:val="ro-RO"/>
        </w:rPr>
      </w:pPr>
      <w:r w:rsidRPr="00074D16">
        <w:rPr>
          <w:rFonts w:eastAsia="Times New Roman" w:cs="Times New Roman"/>
          <w:lang w:val="ro-RO"/>
        </w:rPr>
        <w:t>EU – European Union</w:t>
      </w:r>
    </w:p>
    <w:p w14:paraId="46F2C644" w14:textId="77777777" w:rsidR="00670FD4" w:rsidRPr="00074D16" w:rsidRDefault="00670FD4" w:rsidP="00670FD4">
      <w:pPr>
        <w:rPr>
          <w:rFonts w:eastAsia="Times New Roman" w:cs="Times New Roman"/>
          <w:lang w:val="ro-RO"/>
        </w:rPr>
      </w:pPr>
      <w:r w:rsidRPr="00074D16">
        <w:rPr>
          <w:rFonts w:eastAsia="Times New Roman" w:cs="Times New Roman"/>
          <w:lang w:val="ro-RO"/>
        </w:rPr>
        <w:t>ex. – exemplu</w:t>
      </w:r>
    </w:p>
    <w:p w14:paraId="6AACF95D" w14:textId="77777777" w:rsidR="00670FD4" w:rsidRDefault="00670FD4" w:rsidP="00670FD4">
      <w:pPr>
        <w:ind w:left="567" w:hanging="28"/>
        <w:rPr>
          <w:rFonts w:eastAsia="Times New Roman" w:cs="Times New Roman"/>
          <w:lang w:val="ro-RO"/>
        </w:rPr>
      </w:pPr>
      <w:r w:rsidRPr="00AF5CFF">
        <w:rPr>
          <w:rFonts w:eastAsia="Times New Roman" w:cs="Times New Roman"/>
          <w:lang w:val="ro-RO"/>
        </w:rPr>
        <w:t>FAO – Food and Agriculture Organization of United Nations (Organizația Națiunilor Unite pentru Alimentație și Agricultură)</w:t>
      </w:r>
    </w:p>
    <w:p w14:paraId="08E75CC0" w14:textId="77777777" w:rsidR="00670FD4" w:rsidRPr="00074D16" w:rsidRDefault="00670FD4" w:rsidP="00670FD4">
      <w:pPr>
        <w:rPr>
          <w:rFonts w:eastAsia="Times New Roman" w:cs="Times New Roman"/>
          <w:lang w:val="ro-RO"/>
        </w:rPr>
      </w:pPr>
      <w:r w:rsidRPr="00074D16">
        <w:rPr>
          <w:rFonts w:eastAsia="Times New Roman" w:cs="Times New Roman"/>
          <w:lang w:val="ro-RO"/>
        </w:rPr>
        <w:t>FEAMPA - Fondul european pentru afaceri maritime, pescuit și acvacultură</w:t>
      </w:r>
    </w:p>
    <w:p w14:paraId="2EDDDDCF" w14:textId="77777777" w:rsidR="00670FD4" w:rsidRDefault="00670FD4" w:rsidP="00670FD4">
      <w:pPr>
        <w:rPr>
          <w:rFonts w:eastAsia="Times New Roman" w:cs="Times New Roman"/>
          <w:lang w:val="ro-RO"/>
        </w:rPr>
      </w:pPr>
      <w:r w:rsidRPr="00074D16">
        <w:rPr>
          <w:rFonts w:eastAsia="Times New Roman" w:cs="Times New Roman"/>
          <w:lang w:val="ro-RO"/>
        </w:rPr>
        <w:t>FEDR – Fondul European de Dezvoltare Rurală</w:t>
      </w:r>
    </w:p>
    <w:p w14:paraId="1093208C" w14:textId="77777777" w:rsidR="00670FD4" w:rsidRDefault="00670FD4" w:rsidP="00670FD4">
      <w:pPr>
        <w:rPr>
          <w:rFonts w:eastAsia="Times New Roman" w:cs="Times New Roman"/>
          <w:lang w:val="ro-RO"/>
        </w:rPr>
      </w:pPr>
      <w:r>
        <w:rPr>
          <w:rFonts w:eastAsia="Times New Roman" w:cs="Times New Roman"/>
          <w:lang w:val="ro-RO"/>
        </w:rPr>
        <w:t>Fig. – figura</w:t>
      </w:r>
    </w:p>
    <w:p w14:paraId="7754663C" w14:textId="77777777" w:rsidR="00670FD4" w:rsidRPr="00074D16" w:rsidRDefault="00670FD4" w:rsidP="00670FD4">
      <w:pPr>
        <w:rPr>
          <w:rFonts w:eastAsia="Times New Roman" w:cs="Times New Roman"/>
          <w:lang w:val="ro-RO"/>
        </w:rPr>
      </w:pPr>
      <w:r w:rsidRPr="00AF5CFF">
        <w:rPr>
          <w:rFonts w:eastAsia="Times New Roman" w:cs="Times New Roman"/>
          <w:lang w:val="ro-RO"/>
        </w:rPr>
        <w:t>FMSY – Randamentul maxim durabil</w:t>
      </w:r>
    </w:p>
    <w:p w14:paraId="7BE301A8" w14:textId="77777777" w:rsidR="00670FD4" w:rsidRPr="00074D16" w:rsidRDefault="00670FD4" w:rsidP="00670FD4">
      <w:pPr>
        <w:ind w:left="567" w:firstLine="0"/>
        <w:rPr>
          <w:rFonts w:eastAsia="Times New Roman" w:cs="Times New Roman"/>
          <w:lang w:val="ro-RO"/>
        </w:rPr>
      </w:pPr>
      <w:r w:rsidRPr="00074D16">
        <w:rPr>
          <w:rFonts w:eastAsia="Times New Roman" w:cs="Times New Roman"/>
          <w:lang w:val="ro-RO"/>
        </w:rPr>
        <w:t>GFCM – General Fisheries Commission for the Mediterranean (Comisia generală de pescuit la Marea Mediterană)</w:t>
      </w:r>
    </w:p>
    <w:p w14:paraId="4EC37F98" w14:textId="77777777" w:rsidR="00670FD4" w:rsidRPr="00074D16" w:rsidRDefault="00670FD4" w:rsidP="00670FD4">
      <w:pPr>
        <w:rPr>
          <w:rFonts w:eastAsia="Times New Roman" w:cs="Times New Roman"/>
          <w:lang w:val="ro-RO"/>
        </w:rPr>
      </w:pPr>
      <w:r w:rsidRPr="00074D16">
        <w:rPr>
          <w:rFonts w:eastAsia="Times New Roman" w:cs="Times New Roman"/>
          <w:lang w:val="ro-RO"/>
        </w:rPr>
        <w:t>GNM – Garda Națională de Mediu</w:t>
      </w:r>
    </w:p>
    <w:p w14:paraId="3D02C3E9" w14:textId="77777777" w:rsidR="00670FD4" w:rsidRDefault="00670FD4" w:rsidP="00670FD4">
      <w:pPr>
        <w:rPr>
          <w:rFonts w:eastAsia="Times New Roman" w:cs="Times New Roman"/>
          <w:lang w:val="ro-RO"/>
        </w:rPr>
      </w:pPr>
      <w:r w:rsidRPr="00074D16">
        <w:rPr>
          <w:rFonts w:eastAsia="Times New Roman" w:cs="Times New Roman"/>
          <w:lang w:val="ro-RO"/>
        </w:rPr>
        <w:t>GPL – Gaz petrolier lichefiat</w:t>
      </w:r>
    </w:p>
    <w:p w14:paraId="2E228562" w14:textId="77777777" w:rsidR="00670FD4" w:rsidRPr="00AF5CFF" w:rsidRDefault="00670FD4" w:rsidP="00670FD4">
      <w:pPr>
        <w:pBdr>
          <w:top w:val="nil"/>
          <w:left w:val="nil"/>
          <w:bottom w:val="nil"/>
          <w:right w:val="nil"/>
          <w:between w:val="nil"/>
        </w:pBdr>
        <w:rPr>
          <w:rFonts w:eastAsia="Times New Roman" w:cs="Times New Roman"/>
        </w:rPr>
      </w:pPr>
      <w:r>
        <w:rPr>
          <w:rFonts w:eastAsia="Times New Roman" w:cs="Times New Roman"/>
        </w:rPr>
        <w:t>GT – Gross Tonnage (Tonaj brut)</w:t>
      </w:r>
    </w:p>
    <w:p w14:paraId="7D63BBDE" w14:textId="77777777" w:rsidR="00670FD4" w:rsidRPr="00074D16" w:rsidRDefault="00670FD4" w:rsidP="00670FD4">
      <w:pPr>
        <w:rPr>
          <w:rFonts w:eastAsia="Times New Roman" w:cs="Times New Roman"/>
          <w:lang w:val="ro-RO"/>
        </w:rPr>
      </w:pPr>
      <w:r w:rsidRPr="00074D16">
        <w:rPr>
          <w:rFonts w:eastAsia="Times New Roman" w:cs="Times New Roman"/>
          <w:lang w:val="ro-RO"/>
        </w:rPr>
        <w:t>GTP – Gas Treatment Plant (Stație de Tratare a Gezelor)</w:t>
      </w:r>
    </w:p>
    <w:p w14:paraId="762B277C" w14:textId="77777777" w:rsidR="00670FD4" w:rsidRPr="00074D16" w:rsidRDefault="00670FD4" w:rsidP="00670FD4">
      <w:pPr>
        <w:rPr>
          <w:rFonts w:eastAsia="Times New Roman" w:cs="Times New Roman"/>
          <w:lang w:val="ro-RO"/>
        </w:rPr>
      </w:pPr>
      <w:r w:rsidRPr="00074D16">
        <w:rPr>
          <w:rFonts w:eastAsia="Times New Roman" w:cs="Times New Roman"/>
          <w:lang w:val="ro-RO"/>
        </w:rPr>
        <w:t>ha – hectare</w:t>
      </w:r>
    </w:p>
    <w:p w14:paraId="7096B95A" w14:textId="77777777" w:rsidR="00670FD4" w:rsidRDefault="00670FD4" w:rsidP="00670FD4">
      <w:pPr>
        <w:rPr>
          <w:rFonts w:eastAsia="Times New Roman" w:cs="Times New Roman"/>
          <w:lang w:val="ro-RO"/>
        </w:rPr>
      </w:pPr>
      <w:r w:rsidRPr="00074D16">
        <w:rPr>
          <w:rFonts w:eastAsia="Times New Roman" w:cs="Times New Roman"/>
          <w:lang w:val="ro-RO"/>
        </w:rPr>
        <w:lastRenderedPageBreak/>
        <w:t>HAP - Hidrocarburi aromatice policiclice</w:t>
      </w:r>
    </w:p>
    <w:p w14:paraId="6151B4E5" w14:textId="77777777" w:rsidR="00670FD4" w:rsidRPr="00074D16" w:rsidRDefault="00670FD4" w:rsidP="00670FD4">
      <w:pPr>
        <w:rPr>
          <w:rFonts w:eastAsia="Times New Roman" w:cs="Times New Roman"/>
          <w:lang w:val="ro-RO"/>
        </w:rPr>
      </w:pPr>
      <w:r w:rsidRPr="00074D16">
        <w:rPr>
          <w:rFonts w:eastAsia="Times New Roman" w:cs="Times New Roman"/>
          <w:lang w:val="ro-RO"/>
        </w:rPr>
        <w:t>HCB - Hexaclorbenzen</w:t>
      </w:r>
    </w:p>
    <w:p w14:paraId="16959122" w14:textId="77777777" w:rsidR="00670FD4" w:rsidRDefault="00670FD4" w:rsidP="00670FD4">
      <w:pPr>
        <w:rPr>
          <w:rFonts w:eastAsia="Times New Roman" w:cs="Times New Roman"/>
          <w:lang w:val="ro-RO"/>
        </w:rPr>
      </w:pPr>
      <w:r w:rsidRPr="00FD7C34">
        <w:rPr>
          <w:rFonts w:eastAsia="Times New Roman" w:cs="Times New Roman"/>
          <w:lang w:val="ro-RO"/>
        </w:rPr>
        <w:t>HDPE - High Density Polyethylene</w:t>
      </w:r>
    </w:p>
    <w:p w14:paraId="02ED73F6" w14:textId="77777777" w:rsidR="00670FD4" w:rsidRDefault="00670FD4" w:rsidP="00670FD4">
      <w:pPr>
        <w:rPr>
          <w:rFonts w:eastAsia="Times New Roman" w:cs="Times New Roman"/>
          <w:lang w:val="ro-RO"/>
        </w:rPr>
      </w:pPr>
      <w:r>
        <w:rPr>
          <w:rFonts w:eastAsia="Times New Roman" w:cs="Times New Roman"/>
          <w:lang w:val="ro-RO"/>
        </w:rPr>
        <w:t>HG</w:t>
      </w:r>
      <w:r w:rsidRPr="00074D16">
        <w:rPr>
          <w:rFonts w:eastAsia="Times New Roman" w:cs="Times New Roman"/>
          <w:lang w:val="ro-RO"/>
        </w:rPr>
        <w:t xml:space="preserve"> – Hotărâre a guvernului</w:t>
      </w:r>
    </w:p>
    <w:p w14:paraId="6A865717" w14:textId="77777777" w:rsidR="00670FD4" w:rsidRPr="00074D16" w:rsidRDefault="00670FD4" w:rsidP="00670FD4">
      <w:pPr>
        <w:rPr>
          <w:rFonts w:eastAsia="Times New Roman" w:cs="Times New Roman"/>
          <w:lang w:val="ro-RO"/>
        </w:rPr>
      </w:pPr>
      <w:r>
        <w:rPr>
          <w:rFonts w:eastAsia="Times New Roman" w:cs="Times New Roman"/>
          <w:lang w:val="ro-RO"/>
        </w:rPr>
        <w:t>Hg - mercur</w:t>
      </w:r>
    </w:p>
    <w:p w14:paraId="3EC80C70" w14:textId="77777777" w:rsidR="00670FD4" w:rsidRPr="00074D16" w:rsidRDefault="00670FD4" w:rsidP="00670FD4">
      <w:pPr>
        <w:rPr>
          <w:rFonts w:eastAsia="Times New Roman" w:cs="Times New Roman"/>
          <w:lang w:val="ro-RO"/>
        </w:rPr>
      </w:pPr>
      <w:r w:rsidRPr="00074D16">
        <w:rPr>
          <w:rFonts w:eastAsia="Times New Roman" w:cs="Times New Roman"/>
          <w:lang w:val="ro-RO"/>
        </w:rPr>
        <w:t>IA – Inteligență Artificială</w:t>
      </w:r>
    </w:p>
    <w:p w14:paraId="1B91F191" w14:textId="77777777" w:rsidR="00670FD4" w:rsidRPr="00074D16" w:rsidRDefault="00670FD4" w:rsidP="00670FD4">
      <w:pPr>
        <w:rPr>
          <w:rFonts w:eastAsia="Times New Roman" w:cs="Times New Roman"/>
          <w:lang w:val="ro-RO"/>
        </w:rPr>
      </w:pPr>
      <w:r w:rsidRPr="00074D16">
        <w:rPr>
          <w:rFonts w:eastAsia="Times New Roman" w:cs="Times New Roman"/>
          <w:lang w:val="ro-RO"/>
        </w:rPr>
        <w:t>ICEM – Institutul de Cercetări Eco-muzeale</w:t>
      </w:r>
    </w:p>
    <w:p w14:paraId="48ED0917" w14:textId="77777777" w:rsidR="00670FD4" w:rsidRPr="00074D16" w:rsidRDefault="00670FD4" w:rsidP="00670FD4">
      <w:pPr>
        <w:rPr>
          <w:rFonts w:eastAsia="Times New Roman" w:cs="Times New Roman"/>
          <w:lang w:val="ro-RO"/>
        </w:rPr>
      </w:pPr>
      <w:r w:rsidRPr="00074D16">
        <w:rPr>
          <w:rFonts w:eastAsia="Times New Roman" w:cs="Times New Roman"/>
          <w:lang w:val="ro-RO"/>
        </w:rPr>
        <w:t>ICZM – Integrated Coastal Zone Management</w:t>
      </w:r>
    </w:p>
    <w:p w14:paraId="488280C9" w14:textId="77777777" w:rsidR="00670FD4" w:rsidRDefault="00670FD4" w:rsidP="00670FD4">
      <w:pPr>
        <w:ind w:left="567" w:hanging="28"/>
        <w:rPr>
          <w:rFonts w:eastAsia="Times New Roman" w:cs="Times New Roman"/>
          <w:lang w:val="ro-RO"/>
        </w:rPr>
      </w:pPr>
      <w:r w:rsidRPr="00074D16">
        <w:rPr>
          <w:rFonts w:eastAsia="Times New Roman" w:cs="Times New Roman"/>
          <w:lang w:val="ro-RO"/>
        </w:rPr>
        <w:t xml:space="preserve">ICZM AG - Integrated Coastal Zone Management Advisory Group (Grupul Consultativ pentru Managementul Integrat al </w:t>
      </w:r>
      <w:r>
        <w:rPr>
          <w:rFonts w:eastAsia="Times New Roman" w:cs="Times New Roman"/>
          <w:lang w:val="ro-RO"/>
        </w:rPr>
        <w:t>Zonei Costiere</w:t>
      </w:r>
    </w:p>
    <w:p w14:paraId="51937928" w14:textId="77777777" w:rsidR="00670FD4" w:rsidRPr="00074D16" w:rsidRDefault="00670FD4" w:rsidP="00670FD4">
      <w:pPr>
        <w:ind w:left="567" w:hanging="28"/>
        <w:rPr>
          <w:rFonts w:eastAsia="Times New Roman" w:cs="Times New Roman"/>
          <w:lang w:val="ro-RO"/>
        </w:rPr>
      </w:pPr>
      <w:r w:rsidRPr="00FD7C34">
        <w:rPr>
          <w:rFonts w:eastAsia="Times New Roman" w:cs="Times New Roman"/>
          <w:lang w:val="ro-RO"/>
        </w:rPr>
        <w:t>IGSU - Inspectoratul General pentru Situaţii de Urgenţă</w:t>
      </w:r>
    </w:p>
    <w:p w14:paraId="219BE114" w14:textId="77777777" w:rsidR="00670FD4" w:rsidRPr="00074D16" w:rsidRDefault="00670FD4" w:rsidP="00670FD4">
      <w:pPr>
        <w:rPr>
          <w:rFonts w:eastAsia="Times New Roman" w:cs="Times New Roman"/>
          <w:lang w:val="ro-RO"/>
        </w:rPr>
      </w:pPr>
      <w:r w:rsidRPr="00074D16">
        <w:rPr>
          <w:rFonts w:eastAsia="Times New Roman" w:cs="Times New Roman"/>
          <w:lang w:val="ro-RO"/>
        </w:rPr>
        <w:t>INCDDD - Institutul Național de Cercetare-Dezvoltare „Delta Dunării”</w:t>
      </w:r>
    </w:p>
    <w:p w14:paraId="7416852B" w14:textId="77777777" w:rsidR="00670FD4" w:rsidRPr="00074D16" w:rsidRDefault="00670FD4" w:rsidP="00670FD4">
      <w:pPr>
        <w:ind w:left="567" w:hanging="28"/>
        <w:rPr>
          <w:rFonts w:eastAsia="Times New Roman" w:cs="Times New Roman"/>
          <w:lang w:val="ro-RO"/>
        </w:rPr>
      </w:pPr>
      <w:r w:rsidRPr="00074D16">
        <w:rPr>
          <w:rFonts w:eastAsia="Times New Roman" w:cs="Times New Roman"/>
          <w:lang w:val="ro-RO"/>
        </w:rPr>
        <w:t>INCDM Grigore Antipa – Institutul Național de Cercetare-Dezvoltare Marină „Grigore Antipa”</w:t>
      </w:r>
    </w:p>
    <w:p w14:paraId="1EFFB8B6" w14:textId="77777777" w:rsidR="00670FD4" w:rsidRPr="00FD7C34" w:rsidRDefault="00670FD4" w:rsidP="00670FD4">
      <w:pPr>
        <w:ind w:left="567" w:hanging="28"/>
        <w:rPr>
          <w:rFonts w:eastAsia="Times New Roman" w:cs="Times New Roman"/>
          <w:lang w:val="ro-RO"/>
        </w:rPr>
      </w:pPr>
      <w:r w:rsidRPr="00FD7C34">
        <w:rPr>
          <w:rFonts w:eastAsia="Times New Roman" w:cs="Times New Roman"/>
          <w:lang w:val="ro-RO"/>
        </w:rPr>
        <w:t>INCD GeoEcoMar – Institutul Național de Cercetare-Dezvoltare pentru Geologie și Geoecologie Marină – GeoEcoMar</w:t>
      </w:r>
    </w:p>
    <w:p w14:paraId="535DDBC8" w14:textId="77777777" w:rsidR="00670FD4" w:rsidRPr="00FD7C34" w:rsidRDefault="00670FD4" w:rsidP="00670FD4">
      <w:pPr>
        <w:rPr>
          <w:rFonts w:eastAsia="Times New Roman" w:cs="Times New Roman"/>
          <w:lang w:val="ro-RO"/>
        </w:rPr>
      </w:pPr>
      <w:r w:rsidRPr="00FD7C34">
        <w:rPr>
          <w:rFonts w:eastAsia="Times New Roman" w:cs="Times New Roman"/>
          <w:lang w:val="ro-RO"/>
        </w:rPr>
        <w:t>INHGA – Institutul Național de Hidrologie și Gospodărirea Apelor</w:t>
      </w:r>
    </w:p>
    <w:p w14:paraId="52C5744D" w14:textId="77777777" w:rsidR="00670FD4" w:rsidRPr="00074D16" w:rsidRDefault="00670FD4" w:rsidP="00670FD4">
      <w:pPr>
        <w:rPr>
          <w:rFonts w:eastAsia="Times New Roman" w:cs="Times New Roman"/>
          <w:lang w:val="ro-RO"/>
        </w:rPr>
      </w:pPr>
      <w:r w:rsidRPr="00074D16">
        <w:rPr>
          <w:rFonts w:eastAsia="Times New Roman" w:cs="Times New Roman"/>
          <w:lang w:val="ro-RO"/>
        </w:rPr>
        <w:t>IMM – Întreprinderi mici și mijlocii</w:t>
      </w:r>
    </w:p>
    <w:p w14:paraId="7C0B9658" w14:textId="77777777" w:rsidR="00670FD4" w:rsidRPr="00074D16" w:rsidRDefault="00670FD4" w:rsidP="00670FD4">
      <w:pPr>
        <w:rPr>
          <w:rFonts w:eastAsia="Times New Roman" w:cs="Times New Roman"/>
          <w:lang w:val="ro-RO"/>
        </w:rPr>
      </w:pPr>
      <w:r w:rsidRPr="00074D16">
        <w:rPr>
          <w:rFonts w:eastAsia="Times New Roman" w:cs="Times New Roman"/>
          <w:lang w:val="ro-RO"/>
        </w:rPr>
        <w:t>IMTA - Integrated multitrophic aquaculture</w:t>
      </w:r>
    </w:p>
    <w:p w14:paraId="6393AF25" w14:textId="77777777" w:rsidR="00670FD4" w:rsidRPr="00074D16" w:rsidRDefault="00670FD4" w:rsidP="00670FD4">
      <w:pPr>
        <w:rPr>
          <w:rFonts w:eastAsia="Times New Roman" w:cs="Times New Roman"/>
          <w:lang w:val="ro-RO"/>
        </w:rPr>
      </w:pPr>
      <w:r w:rsidRPr="00074D16">
        <w:rPr>
          <w:rFonts w:eastAsia="Times New Roman" w:cs="Times New Roman"/>
          <w:lang w:val="ro-RO"/>
        </w:rPr>
        <w:t>INP – Institutul Național al Patrimoniului</w:t>
      </w:r>
    </w:p>
    <w:p w14:paraId="33B2FDFA" w14:textId="77777777" w:rsidR="00670FD4" w:rsidRDefault="00670FD4" w:rsidP="00670FD4">
      <w:pPr>
        <w:rPr>
          <w:rFonts w:eastAsia="Times New Roman" w:cs="Times New Roman"/>
          <w:lang w:val="ro-RO"/>
        </w:rPr>
      </w:pPr>
      <w:r w:rsidRPr="00074D16">
        <w:rPr>
          <w:rFonts w:eastAsia="Times New Roman" w:cs="Times New Roman"/>
          <w:lang w:val="ro-RO"/>
        </w:rPr>
        <w:t>INSSE – Institutul național de Statistică</w:t>
      </w:r>
    </w:p>
    <w:p w14:paraId="74C629FF" w14:textId="77777777" w:rsidR="00670FD4" w:rsidRPr="00074D16" w:rsidRDefault="00670FD4" w:rsidP="00670FD4">
      <w:pPr>
        <w:rPr>
          <w:rFonts w:eastAsia="Times New Roman" w:cs="Times New Roman"/>
          <w:lang w:val="ro-RO"/>
        </w:rPr>
      </w:pPr>
      <w:r w:rsidRPr="00FD7C34">
        <w:rPr>
          <w:rFonts w:eastAsia="Times New Roman" w:cs="Times New Roman"/>
          <w:lang w:val="ro-RO"/>
        </w:rPr>
        <w:t>JRC – Joint Research Center</w:t>
      </w:r>
    </w:p>
    <w:p w14:paraId="71461518" w14:textId="77777777" w:rsidR="00670FD4" w:rsidRDefault="00670FD4" w:rsidP="00670FD4">
      <w:pPr>
        <w:rPr>
          <w:rFonts w:eastAsia="Times New Roman" w:cs="Times New Roman"/>
          <w:lang w:val="ro-RO"/>
        </w:rPr>
      </w:pPr>
      <w:r>
        <w:rPr>
          <w:rFonts w:eastAsia="Times New Roman" w:cs="Times New Roman"/>
          <w:lang w:val="ro-RO"/>
        </w:rPr>
        <w:t>Kg. - kilogram</w:t>
      </w:r>
    </w:p>
    <w:p w14:paraId="28A4247E" w14:textId="77777777" w:rsidR="00670FD4" w:rsidRPr="00074D16" w:rsidRDefault="00670FD4" w:rsidP="00670FD4">
      <w:pPr>
        <w:rPr>
          <w:rFonts w:eastAsia="Times New Roman" w:cs="Times New Roman"/>
          <w:lang w:val="ro-RO"/>
        </w:rPr>
      </w:pPr>
      <w:r w:rsidRPr="00074D16">
        <w:rPr>
          <w:rFonts w:eastAsia="Times New Roman" w:cs="Times New Roman"/>
          <w:lang w:val="ro-RO"/>
        </w:rPr>
        <w:t>Km – kilometri</w:t>
      </w:r>
    </w:p>
    <w:p w14:paraId="3C18C978" w14:textId="77777777" w:rsidR="00670FD4" w:rsidRDefault="00670FD4" w:rsidP="00670FD4">
      <w:pPr>
        <w:rPr>
          <w:rFonts w:eastAsia="Times New Roman" w:cs="Times New Roman"/>
          <w:lang w:val="ro-RO"/>
        </w:rPr>
      </w:pPr>
      <w:r w:rsidRPr="00074D16">
        <w:rPr>
          <w:rFonts w:eastAsia="Times New Roman" w:cs="Times New Roman"/>
          <w:lang w:val="ro-RO"/>
        </w:rPr>
        <w:t xml:space="preserve">kV </w:t>
      </w:r>
      <w:r>
        <w:rPr>
          <w:rFonts w:eastAsia="Times New Roman" w:cs="Times New Roman"/>
          <w:lang w:val="ro-RO"/>
        </w:rPr>
        <w:t>–</w:t>
      </w:r>
      <w:r w:rsidRPr="00074D16">
        <w:rPr>
          <w:rFonts w:eastAsia="Times New Roman" w:cs="Times New Roman"/>
          <w:lang w:val="ro-RO"/>
        </w:rPr>
        <w:t xml:space="preserve"> kilovolți</w:t>
      </w:r>
    </w:p>
    <w:p w14:paraId="1DF5D650" w14:textId="77777777" w:rsidR="00670FD4" w:rsidRPr="00074D16" w:rsidRDefault="00670FD4" w:rsidP="00670FD4">
      <w:pPr>
        <w:rPr>
          <w:rFonts w:eastAsia="Times New Roman" w:cs="Times New Roman"/>
          <w:lang w:val="ro-RO"/>
        </w:rPr>
      </w:pPr>
      <w:r>
        <w:rPr>
          <w:rFonts w:eastAsia="Times New Roman" w:cs="Times New Roman"/>
          <w:lang w:val="ro-RO"/>
        </w:rPr>
        <w:t>L - litru</w:t>
      </w:r>
    </w:p>
    <w:p w14:paraId="7B2B8D1B" w14:textId="77777777" w:rsidR="00670FD4" w:rsidRPr="00074D16" w:rsidRDefault="00670FD4" w:rsidP="00670FD4">
      <w:pPr>
        <w:rPr>
          <w:rFonts w:eastAsia="Times New Roman" w:cs="Times New Roman"/>
          <w:lang w:val="ro-RO"/>
        </w:rPr>
      </w:pPr>
      <w:r w:rsidRPr="00074D16">
        <w:rPr>
          <w:rFonts w:eastAsia="Times New Roman" w:cs="Times New Roman"/>
          <w:lang w:val="ro-RO"/>
        </w:rPr>
        <w:t>LDPE – Polietilenă de joasă densitate</w:t>
      </w:r>
    </w:p>
    <w:p w14:paraId="50D1410A" w14:textId="77777777" w:rsidR="00670FD4" w:rsidRPr="00074D16" w:rsidRDefault="00670FD4" w:rsidP="00670FD4">
      <w:pPr>
        <w:rPr>
          <w:rFonts w:eastAsia="Times New Roman" w:cs="Times New Roman"/>
          <w:lang w:val="ro-RO"/>
        </w:rPr>
      </w:pPr>
      <w:r w:rsidRPr="00074D16">
        <w:rPr>
          <w:rFonts w:eastAsia="Times New Roman" w:cs="Times New Roman"/>
          <w:lang w:val="ro-RO"/>
        </w:rPr>
        <w:t>LMI – Lista monumentelor istorice</w:t>
      </w:r>
    </w:p>
    <w:p w14:paraId="06B8FCC5" w14:textId="77777777" w:rsidR="00670FD4" w:rsidRPr="00074D16" w:rsidRDefault="00670FD4" w:rsidP="00670FD4">
      <w:pPr>
        <w:rPr>
          <w:rFonts w:eastAsia="Times New Roman" w:cs="Times New Roman"/>
          <w:lang w:val="ro-RO"/>
        </w:rPr>
      </w:pPr>
      <w:r w:rsidRPr="00074D16">
        <w:rPr>
          <w:rFonts w:eastAsia="Times New Roman" w:cs="Times New Roman"/>
          <w:lang w:val="ro-RO"/>
        </w:rPr>
        <w:t>LNG - Liquefied natural gas (gaz natural lichefiat)</w:t>
      </w:r>
    </w:p>
    <w:p w14:paraId="01C5C6C5" w14:textId="77777777" w:rsidR="00670FD4" w:rsidRPr="00074D16" w:rsidRDefault="00670FD4" w:rsidP="00670FD4">
      <w:pPr>
        <w:rPr>
          <w:rFonts w:eastAsia="Times New Roman" w:cs="Times New Roman"/>
          <w:lang w:val="ro-RO"/>
        </w:rPr>
      </w:pPr>
      <w:r w:rsidRPr="00074D16">
        <w:rPr>
          <w:rFonts w:eastAsia="Times New Roman" w:cs="Times New Roman"/>
          <w:lang w:val="ro-RO"/>
        </w:rPr>
        <w:t>loc. – locuitori</w:t>
      </w:r>
    </w:p>
    <w:p w14:paraId="1B6725B2" w14:textId="77777777" w:rsidR="00670FD4" w:rsidRDefault="00670FD4" w:rsidP="00670FD4">
      <w:pPr>
        <w:rPr>
          <w:rFonts w:eastAsia="Times New Roman" w:cs="Times New Roman"/>
          <w:lang w:val="ro-RO"/>
        </w:rPr>
      </w:pPr>
      <w:r>
        <w:rPr>
          <w:rFonts w:eastAsia="Times New Roman" w:cs="Times New Roman"/>
          <w:lang w:val="ro-RO"/>
        </w:rPr>
        <w:t xml:space="preserve">LPG - </w:t>
      </w:r>
      <w:r w:rsidRPr="00FD7C34">
        <w:rPr>
          <w:rFonts w:eastAsia="Times New Roman" w:cs="Times New Roman"/>
          <w:lang w:val="ro-RO"/>
        </w:rPr>
        <w:t>Gaz petrolier lichefiat</w:t>
      </w:r>
    </w:p>
    <w:p w14:paraId="5F1DE4FF" w14:textId="77777777" w:rsidR="00670FD4" w:rsidRPr="00074D16" w:rsidRDefault="00670FD4" w:rsidP="00670FD4">
      <w:pPr>
        <w:rPr>
          <w:rFonts w:eastAsia="Times New Roman" w:cs="Times New Roman"/>
          <w:lang w:val="ro-RO"/>
        </w:rPr>
      </w:pPr>
      <w:r w:rsidRPr="00074D16">
        <w:rPr>
          <w:rFonts w:eastAsia="Times New Roman" w:cs="Times New Roman"/>
          <w:lang w:val="ro-RO"/>
        </w:rPr>
        <w:t xml:space="preserve">MADR - Ministerul Agriculturii şi Dezvoltării Rurale </w:t>
      </w:r>
    </w:p>
    <w:p w14:paraId="18E6F87C" w14:textId="77777777" w:rsidR="00670FD4" w:rsidRPr="00074D16" w:rsidRDefault="00670FD4" w:rsidP="00670FD4">
      <w:pPr>
        <w:rPr>
          <w:rFonts w:eastAsia="Times New Roman" w:cs="Times New Roman"/>
          <w:lang w:val="ro-RO"/>
        </w:rPr>
      </w:pPr>
      <w:r w:rsidRPr="00074D16">
        <w:rPr>
          <w:rFonts w:eastAsia="Times New Roman" w:cs="Times New Roman"/>
          <w:lang w:val="ro-RO"/>
        </w:rPr>
        <w:t>MAE – Ministerul Afacerilor Externe</w:t>
      </w:r>
    </w:p>
    <w:p w14:paraId="6FD76B76" w14:textId="77777777" w:rsidR="00670FD4" w:rsidRPr="00074D16" w:rsidRDefault="00670FD4" w:rsidP="00670FD4">
      <w:pPr>
        <w:rPr>
          <w:rFonts w:eastAsia="Times New Roman" w:cs="Times New Roman"/>
          <w:lang w:val="ro-RO"/>
        </w:rPr>
      </w:pPr>
      <w:r w:rsidRPr="00074D16">
        <w:rPr>
          <w:rFonts w:eastAsia="Times New Roman" w:cs="Times New Roman"/>
          <w:lang w:val="ro-RO"/>
        </w:rPr>
        <w:lastRenderedPageBreak/>
        <w:t>MAI – Ministerul Afacerilor Interne</w:t>
      </w:r>
    </w:p>
    <w:p w14:paraId="36427379" w14:textId="77777777" w:rsidR="00670FD4" w:rsidRPr="00074D16" w:rsidRDefault="00670FD4" w:rsidP="00670FD4">
      <w:pPr>
        <w:rPr>
          <w:rFonts w:eastAsia="Times New Roman" w:cs="Times New Roman"/>
          <w:lang w:val="ro-RO"/>
        </w:rPr>
      </w:pPr>
      <w:r w:rsidRPr="00074D16">
        <w:rPr>
          <w:rFonts w:eastAsia="Times New Roman" w:cs="Times New Roman"/>
          <w:lang w:val="ro-RO"/>
        </w:rPr>
        <w:t>MAP – Mediterranean Action Plan</w:t>
      </w:r>
    </w:p>
    <w:p w14:paraId="2E54A81F" w14:textId="77777777" w:rsidR="00670FD4" w:rsidRPr="00074D16" w:rsidRDefault="00670FD4" w:rsidP="00670FD4">
      <w:pPr>
        <w:rPr>
          <w:rFonts w:eastAsia="Times New Roman" w:cs="Times New Roman"/>
          <w:lang w:val="ro-RO"/>
        </w:rPr>
      </w:pPr>
      <w:r w:rsidRPr="00074D16">
        <w:rPr>
          <w:rFonts w:eastAsia="Times New Roman" w:cs="Times New Roman"/>
          <w:lang w:val="ro-RO"/>
        </w:rPr>
        <w:t>MApN – Ministerul Apărării Naționale</w:t>
      </w:r>
    </w:p>
    <w:p w14:paraId="00C28BD3" w14:textId="77777777" w:rsidR="00670FD4" w:rsidRDefault="00670FD4" w:rsidP="00670FD4">
      <w:pPr>
        <w:rPr>
          <w:rFonts w:eastAsia="Times New Roman" w:cs="Times New Roman"/>
          <w:lang w:val="ro-RO"/>
        </w:rPr>
      </w:pPr>
      <w:r w:rsidRPr="00074D16">
        <w:rPr>
          <w:rFonts w:eastAsia="Times New Roman" w:cs="Times New Roman"/>
          <w:lang w:val="ro-RO"/>
        </w:rPr>
        <w:t>MC – Ministerul Culturii</w:t>
      </w:r>
    </w:p>
    <w:p w14:paraId="427AD9F8" w14:textId="77777777" w:rsidR="00670FD4" w:rsidRPr="00074D16" w:rsidRDefault="00670FD4" w:rsidP="00670FD4">
      <w:pPr>
        <w:rPr>
          <w:rFonts w:eastAsia="Times New Roman" w:cs="Times New Roman"/>
          <w:lang w:val="ro-RO"/>
        </w:rPr>
      </w:pPr>
      <w:r>
        <w:rPr>
          <w:rFonts w:eastAsia="Times New Roman" w:cs="Times New Roman"/>
          <w:lang w:val="ro-RO"/>
        </w:rPr>
        <w:t>mc. – metru cub</w:t>
      </w:r>
    </w:p>
    <w:p w14:paraId="7E08E166" w14:textId="77777777" w:rsidR="00670FD4" w:rsidRPr="00074D16" w:rsidRDefault="00670FD4" w:rsidP="00670FD4">
      <w:pPr>
        <w:rPr>
          <w:rFonts w:eastAsia="Times New Roman" w:cs="Times New Roman"/>
          <w:lang w:val="ro-RO"/>
        </w:rPr>
      </w:pPr>
      <w:r w:rsidRPr="00074D16">
        <w:rPr>
          <w:rFonts w:eastAsia="Times New Roman" w:cs="Times New Roman"/>
          <w:lang w:val="ro-RO"/>
        </w:rPr>
        <w:t>MCDI – Ministerul Cercetării, Digitalizării și Inovării</w:t>
      </w:r>
    </w:p>
    <w:p w14:paraId="35BBF759" w14:textId="77777777" w:rsidR="00670FD4" w:rsidRPr="00074D16" w:rsidRDefault="00670FD4" w:rsidP="00670FD4">
      <w:pPr>
        <w:rPr>
          <w:rFonts w:eastAsia="Times New Roman" w:cs="Times New Roman"/>
          <w:lang w:val="ro-RO"/>
        </w:rPr>
      </w:pPr>
      <w:r w:rsidRPr="00074D16">
        <w:rPr>
          <w:rFonts w:eastAsia="Times New Roman" w:cs="Times New Roman"/>
          <w:lang w:val="ro-RO"/>
        </w:rPr>
        <w:t>MDLPA – Ministerul Dezvoltării, Lucrărilor Publice și Administrației</w:t>
      </w:r>
    </w:p>
    <w:p w14:paraId="070CDD63" w14:textId="77777777" w:rsidR="00670FD4" w:rsidRPr="00074D16" w:rsidRDefault="00670FD4" w:rsidP="00670FD4">
      <w:pPr>
        <w:rPr>
          <w:rFonts w:eastAsia="Times New Roman" w:cs="Times New Roman"/>
          <w:lang w:val="ro-RO"/>
        </w:rPr>
      </w:pPr>
      <w:r w:rsidRPr="00074D16">
        <w:rPr>
          <w:rFonts w:eastAsia="Times New Roman" w:cs="Times New Roman"/>
          <w:lang w:val="ro-RO"/>
        </w:rPr>
        <w:t>ME – Ministerul Educației</w:t>
      </w:r>
    </w:p>
    <w:p w14:paraId="1395E075" w14:textId="77777777" w:rsidR="00670FD4" w:rsidRDefault="00670FD4" w:rsidP="00670FD4">
      <w:pPr>
        <w:rPr>
          <w:rFonts w:eastAsia="Times New Roman" w:cs="Times New Roman"/>
          <w:lang w:val="ro-RO"/>
        </w:rPr>
      </w:pPr>
      <w:r w:rsidRPr="00074D16">
        <w:rPr>
          <w:rFonts w:eastAsia="Times New Roman" w:cs="Times New Roman"/>
          <w:lang w:val="ro-RO"/>
        </w:rPr>
        <w:t>MEAT – Ministerul Economiei, Antreprenoriatului și Turismului</w:t>
      </w:r>
    </w:p>
    <w:p w14:paraId="77D09289" w14:textId="77777777" w:rsidR="00670FD4" w:rsidRPr="00074D16" w:rsidRDefault="00670FD4" w:rsidP="00670FD4">
      <w:pPr>
        <w:rPr>
          <w:rFonts w:eastAsia="Times New Roman" w:cs="Times New Roman"/>
          <w:lang w:val="ro-RO"/>
        </w:rPr>
      </w:pPr>
      <w:r>
        <w:rPr>
          <w:rFonts w:eastAsia="Times New Roman" w:cs="Times New Roman"/>
          <w:lang w:val="ro-RO"/>
        </w:rPr>
        <w:t>mg. - miligram</w:t>
      </w:r>
    </w:p>
    <w:p w14:paraId="17928E27" w14:textId="77777777" w:rsidR="00670FD4" w:rsidRPr="00074D16" w:rsidRDefault="00670FD4" w:rsidP="00670FD4">
      <w:pPr>
        <w:rPr>
          <w:rFonts w:eastAsia="Times New Roman" w:cs="Times New Roman"/>
          <w:lang w:val="ro-RO"/>
        </w:rPr>
      </w:pPr>
      <w:r w:rsidRPr="00074D16">
        <w:rPr>
          <w:rFonts w:eastAsia="Times New Roman" w:cs="Times New Roman"/>
          <w:lang w:val="ro-RO"/>
        </w:rPr>
        <w:t>mil. - milioane</w:t>
      </w:r>
    </w:p>
    <w:p w14:paraId="6C6435B9" w14:textId="77777777" w:rsidR="00670FD4" w:rsidRPr="00074D16" w:rsidRDefault="00670FD4" w:rsidP="00670FD4">
      <w:pPr>
        <w:rPr>
          <w:rFonts w:eastAsia="Times New Roman" w:cs="Times New Roman"/>
          <w:lang w:val="ro-RO"/>
        </w:rPr>
      </w:pPr>
      <w:r w:rsidRPr="00074D16">
        <w:rPr>
          <w:rFonts w:eastAsia="Times New Roman" w:cs="Times New Roman"/>
          <w:lang w:val="ro-RO"/>
        </w:rPr>
        <w:t>MINAC – Muzeul de istorie Națională și Arheologie Constanța</w:t>
      </w:r>
    </w:p>
    <w:p w14:paraId="5B6DE5F4" w14:textId="77777777" w:rsidR="00670FD4" w:rsidRPr="00074D16" w:rsidRDefault="00670FD4" w:rsidP="00670FD4">
      <w:pPr>
        <w:rPr>
          <w:rFonts w:eastAsia="Times New Roman" w:cs="Times New Roman"/>
          <w:lang w:val="ro-RO"/>
        </w:rPr>
      </w:pPr>
      <w:r w:rsidRPr="00074D16">
        <w:rPr>
          <w:rFonts w:eastAsia="Times New Roman" w:cs="Times New Roman"/>
          <w:lang w:val="ro-RO"/>
        </w:rPr>
        <w:t>MIZC – Managementul Integrat al Zonei Costiere</w:t>
      </w:r>
    </w:p>
    <w:p w14:paraId="221BA346" w14:textId="77777777" w:rsidR="00670FD4" w:rsidRPr="00074D16" w:rsidRDefault="00670FD4" w:rsidP="00670FD4">
      <w:pPr>
        <w:rPr>
          <w:rFonts w:eastAsia="Times New Roman" w:cs="Times New Roman"/>
          <w:lang w:val="ro-RO"/>
        </w:rPr>
      </w:pPr>
      <w:r w:rsidRPr="00074D16">
        <w:rPr>
          <w:rFonts w:eastAsia="Times New Roman" w:cs="Times New Roman"/>
          <w:lang w:val="ro-RO"/>
        </w:rPr>
        <w:t>mld. - miliarde</w:t>
      </w:r>
    </w:p>
    <w:p w14:paraId="195381E9" w14:textId="77777777" w:rsidR="00670FD4" w:rsidRDefault="00670FD4" w:rsidP="00670FD4">
      <w:pPr>
        <w:rPr>
          <w:rFonts w:eastAsia="Times New Roman" w:cs="Times New Roman"/>
          <w:lang w:val="ro-RO"/>
        </w:rPr>
      </w:pPr>
      <w:r w:rsidRPr="00074D16">
        <w:rPr>
          <w:rFonts w:eastAsia="Times New Roman" w:cs="Times New Roman"/>
          <w:lang w:val="ro-RO"/>
        </w:rPr>
        <w:t>Mm. – mile marine</w:t>
      </w:r>
    </w:p>
    <w:p w14:paraId="33AB7414" w14:textId="77777777" w:rsidR="00670FD4" w:rsidRPr="00074D16" w:rsidRDefault="00670FD4" w:rsidP="00670FD4">
      <w:pPr>
        <w:rPr>
          <w:rFonts w:eastAsia="Times New Roman" w:cs="Times New Roman"/>
          <w:lang w:val="ro-RO"/>
        </w:rPr>
      </w:pPr>
      <w:r>
        <w:rPr>
          <w:rFonts w:eastAsia="Times New Roman" w:cs="Times New Roman"/>
          <w:lang w:val="ro-RO"/>
        </w:rPr>
        <w:t xml:space="preserve">mm. – milimetru </w:t>
      </w:r>
    </w:p>
    <w:p w14:paraId="5390F217" w14:textId="77777777" w:rsidR="00670FD4" w:rsidRPr="00074D16" w:rsidRDefault="00670FD4" w:rsidP="00670FD4">
      <w:pPr>
        <w:rPr>
          <w:rFonts w:eastAsia="Times New Roman" w:cs="Times New Roman"/>
          <w:lang w:val="ro-RO"/>
        </w:rPr>
      </w:pPr>
      <w:r w:rsidRPr="00074D16">
        <w:rPr>
          <w:rFonts w:eastAsia="Times New Roman" w:cs="Times New Roman"/>
          <w:lang w:val="ro-RO"/>
        </w:rPr>
        <w:t>MMAP – Ministerul Mediului, Apelor și Pădurilor</w:t>
      </w:r>
    </w:p>
    <w:p w14:paraId="7AA4397D" w14:textId="77777777" w:rsidR="00670FD4" w:rsidRPr="00074D16" w:rsidRDefault="00670FD4" w:rsidP="00670FD4">
      <w:pPr>
        <w:rPr>
          <w:rFonts w:eastAsia="Times New Roman" w:cs="Times New Roman"/>
          <w:lang w:val="ro-RO"/>
        </w:rPr>
      </w:pPr>
      <w:r w:rsidRPr="00074D16">
        <w:rPr>
          <w:rFonts w:eastAsia="Times New Roman" w:cs="Times New Roman"/>
          <w:lang w:val="ro-RO"/>
        </w:rPr>
        <w:t>M.O. - Monitorul Oficial al României</w:t>
      </w:r>
    </w:p>
    <w:p w14:paraId="093E6826" w14:textId="77777777" w:rsidR="00670FD4" w:rsidRPr="00074D16" w:rsidRDefault="00670FD4" w:rsidP="00670FD4">
      <w:pPr>
        <w:rPr>
          <w:rFonts w:eastAsia="Times New Roman" w:cs="Times New Roman"/>
          <w:lang w:val="ro-RO"/>
        </w:rPr>
      </w:pPr>
      <w:r w:rsidRPr="00074D16">
        <w:rPr>
          <w:rFonts w:eastAsia="Times New Roman" w:cs="Times New Roman"/>
          <w:lang w:val="ro-RO"/>
        </w:rPr>
        <w:t>MS – Ministerul Sănătății</w:t>
      </w:r>
    </w:p>
    <w:p w14:paraId="3A2E3779" w14:textId="77777777" w:rsidR="00670FD4" w:rsidRDefault="00670FD4" w:rsidP="00670FD4">
      <w:pPr>
        <w:rPr>
          <w:rFonts w:eastAsia="Times New Roman" w:cs="Times New Roman"/>
          <w:lang w:val="ro-RO"/>
        </w:rPr>
      </w:pPr>
      <w:r w:rsidRPr="00074D16">
        <w:rPr>
          <w:rFonts w:eastAsia="Times New Roman" w:cs="Times New Roman"/>
          <w:lang w:val="ro-RO"/>
        </w:rPr>
        <w:t>MT -</w:t>
      </w:r>
      <w:r w:rsidRPr="00074D16">
        <w:rPr>
          <w:lang w:val="ro-RO"/>
        </w:rPr>
        <w:t xml:space="preserve"> </w:t>
      </w:r>
      <w:r w:rsidRPr="00074D16">
        <w:rPr>
          <w:rFonts w:eastAsia="Times New Roman" w:cs="Times New Roman"/>
          <w:lang w:val="ro-RO"/>
        </w:rPr>
        <w:t>Ministerul Transporturilor</w:t>
      </w:r>
    </w:p>
    <w:p w14:paraId="1A12E33E" w14:textId="77777777" w:rsidR="00670FD4" w:rsidRPr="00074D16" w:rsidRDefault="00670FD4" w:rsidP="00670FD4">
      <w:pPr>
        <w:rPr>
          <w:rFonts w:eastAsia="Times New Roman" w:cs="Times New Roman"/>
          <w:lang w:val="ro-RO"/>
        </w:rPr>
      </w:pPr>
      <w:r>
        <w:rPr>
          <w:rFonts w:eastAsia="Times New Roman" w:cs="Times New Roman"/>
          <w:lang w:val="ro-RO"/>
        </w:rPr>
        <w:t xml:space="preserve">mun. – municipiu </w:t>
      </w:r>
      <w:r w:rsidRPr="00074D16">
        <w:rPr>
          <w:rFonts w:eastAsia="Times New Roman" w:cs="Times New Roman"/>
          <w:lang w:val="ro-RO"/>
        </w:rPr>
        <w:t xml:space="preserve"> </w:t>
      </w:r>
    </w:p>
    <w:p w14:paraId="61A48389" w14:textId="77777777" w:rsidR="00670FD4" w:rsidRDefault="00670FD4" w:rsidP="00670FD4">
      <w:pPr>
        <w:rPr>
          <w:rFonts w:eastAsia="Times New Roman" w:cs="Times New Roman"/>
          <w:lang w:val="ro-RO"/>
        </w:rPr>
      </w:pPr>
      <w:r w:rsidRPr="00FD7C34">
        <w:rPr>
          <w:rFonts w:eastAsia="Times New Roman" w:cs="Times New Roman"/>
          <w:lang w:val="ro-RO"/>
        </w:rPr>
        <w:t>µg - microgram</w:t>
      </w:r>
    </w:p>
    <w:p w14:paraId="7F56F994" w14:textId="77777777" w:rsidR="00670FD4" w:rsidRDefault="00670FD4" w:rsidP="00670FD4">
      <w:pPr>
        <w:rPr>
          <w:rFonts w:eastAsia="Times New Roman" w:cs="Times New Roman"/>
          <w:lang w:val="ro-RO"/>
        </w:rPr>
      </w:pPr>
      <w:r w:rsidRPr="00074D16">
        <w:rPr>
          <w:rFonts w:eastAsia="Times New Roman" w:cs="Times New Roman"/>
          <w:lang w:val="ro-RO"/>
        </w:rPr>
        <w:t xml:space="preserve">µg/g – microgram </w:t>
      </w:r>
      <w:r w:rsidRPr="00074D16">
        <w:rPr>
          <w:rFonts w:eastAsia="Times New Roman" w:cs="Times New Roman"/>
          <w:i/>
          <w:lang w:val="ro-RO"/>
        </w:rPr>
        <w:t>per</w:t>
      </w:r>
      <w:r w:rsidRPr="00074D16">
        <w:rPr>
          <w:rFonts w:eastAsia="Times New Roman" w:cs="Times New Roman"/>
          <w:lang w:val="ro-RO"/>
        </w:rPr>
        <w:t xml:space="preserve"> gram</w:t>
      </w:r>
    </w:p>
    <w:p w14:paraId="46B1A8AA" w14:textId="77777777" w:rsidR="00670FD4" w:rsidRPr="00074D16" w:rsidRDefault="00670FD4" w:rsidP="00670FD4">
      <w:pPr>
        <w:rPr>
          <w:rFonts w:eastAsia="Times New Roman" w:cs="Times New Roman"/>
          <w:lang w:val="ro-RO"/>
        </w:rPr>
      </w:pPr>
      <w:r w:rsidRPr="00FD7C34">
        <w:rPr>
          <w:rFonts w:eastAsia="Times New Roman" w:cs="Times New Roman"/>
          <w:lang w:val="ro-RO"/>
        </w:rPr>
        <w:t>µM - micromol</w:t>
      </w:r>
    </w:p>
    <w:p w14:paraId="28A04C03" w14:textId="77777777" w:rsidR="00670FD4" w:rsidRDefault="00670FD4" w:rsidP="00670FD4">
      <w:pPr>
        <w:rPr>
          <w:rFonts w:eastAsia="Times New Roman" w:cs="Times New Roman"/>
          <w:lang w:val="ro-RO"/>
        </w:rPr>
      </w:pPr>
      <w:r w:rsidRPr="00074D16">
        <w:rPr>
          <w:rFonts w:eastAsia="Times New Roman" w:cs="Times New Roman"/>
          <w:lang w:val="ro-RO"/>
        </w:rPr>
        <w:t>N – Nitrogen (Azot)</w:t>
      </w:r>
    </w:p>
    <w:p w14:paraId="2890E928" w14:textId="77777777" w:rsidR="00670FD4" w:rsidRDefault="00670FD4" w:rsidP="00670FD4">
      <w:pPr>
        <w:rPr>
          <w:rFonts w:eastAsia="Times New Roman" w:cs="Times New Roman"/>
          <w:lang w:val="ro-RO"/>
        </w:rPr>
      </w:pPr>
      <w:r w:rsidRPr="0033469D">
        <w:rPr>
          <w:rFonts w:eastAsia="Times New Roman" w:cs="Times New Roman"/>
          <w:lang w:val="ro-RO"/>
        </w:rPr>
        <w:t>NbS – Nature based solutions</w:t>
      </w:r>
    </w:p>
    <w:p w14:paraId="5A4D63BE" w14:textId="77777777" w:rsidR="00670FD4" w:rsidRDefault="00670FD4" w:rsidP="00670FD4">
      <w:pPr>
        <w:rPr>
          <w:rFonts w:eastAsia="Times New Roman" w:cs="Times New Roman"/>
          <w:lang w:val="ro-RO"/>
        </w:rPr>
      </w:pPr>
      <w:r>
        <w:rPr>
          <w:rFonts w:eastAsia="Times New Roman" w:cs="Times New Roman"/>
          <w:lang w:val="ro-RO"/>
        </w:rPr>
        <w:t>Ni – nichel</w:t>
      </w:r>
    </w:p>
    <w:p w14:paraId="65F86369" w14:textId="77777777" w:rsidR="00670FD4" w:rsidRDefault="00670FD4" w:rsidP="00670FD4">
      <w:pPr>
        <w:ind w:firstLine="0"/>
        <w:rPr>
          <w:rFonts w:eastAsia="Times New Roman" w:cs="Times New Roman"/>
          <w:lang w:val="ro-RO"/>
        </w:rPr>
      </w:pPr>
    </w:p>
    <w:p w14:paraId="050AA8DC" w14:textId="77777777" w:rsidR="00670FD4" w:rsidRPr="00074D16" w:rsidRDefault="00670FD4" w:rsidP="00670FD4">
      <w:pPr>
        <w:ind w:left="567" w:firstLine="0"/>
        <w:rPr>
          <w:rFonts w:eastAsia="Times New Roman" w:cs="Times New Roman"/>
          <w:lang w:val="ro-RO"/>
        </w:rPr>
      </w:pPr>
      <w:r w:rsidRPr="00FD7C34">
        <w:rPr>
          <w:rFonts w:eastAsia="Times New Roman" w:cs="Times New Roman"/>
          <w:lang w:val="ro-RO"/>
        </w:rPr>
        <w:t>NMVOC – Non-methane volatile organic compound (Compuși organici volatili nemetanici)</w:t>
      </w:r>
    </w:p>
    <w:p w14:paraId="04FCC11D" w14:textId="77777777" w:rsidR="00670FD4" w:rsidRPr="00074D16" w:rsidRDefault="00670FD4" w:rsidP="00670FD4">
      <w:pPr>
        <w:rPr>
          <w:rFonts w:eastAsia="Times New Roman" w:cs="Times New Roman"/>
          <w:lang w:val="ro-RO"/>
        </w:rPr>
      </w:pPr>
      <w:r w:rsidRPr="00074D16">
        <w:rPr>
          <w:rFonts w:eastAsia="Times New Roman" w:cs="Times New Roman"/>
          <w:lang w:val="ro-RO"/>
        </w:rPr>
        <w:t>NO</w:t>
      </w:r>
      <w:r w:rsidRPr="00074D16">
        <w:rPr>
          <w:rFonts w:eastAsia="Times New Roman" w:cs="Times New Roman"/>
          <w:vertAlign w:val="subscript"/>
          <w:lang w:val="ro-RO"/>
        </w:rPr>
        <w:t>2</w:t>
      </w:r>
      <w:r w:rsidRPr="00074D16">
        <w:rPr>
          <w:rFonts w:eastAsia="Times New Roman" w:cs="Times New Roman"/>
          <w:lang w:val="ro-RO"/>
        </w:rPr>
        <w:t xml:space="preserve"> – dioxid de azot</w:t>
      </w:r>
    </w:p>
    <w:p w14:paraId="6F892A0F" w14:textId="77777777" w:rsidR="00670FD4" w:rsidRPr="00074D16" w:rsidRDefault="00670FD4" w:rsidP="00670FD4">
      <w:pPr>
        <w:rPr>
          <w:rFonts w:eastAsia="Times New Roman" w:cs="Times New Roman"/>
          <w:lang w:val="ro-RO"/>
        </w:rPr>
      </w:pPr>
      <w:r w:rsidRPr="00074D16">
        <w:rPr>
          <w:rFonts w:eastAsia="Times New Roman" w:cs="Times New Roman"/>
          <w:lang w:val="ro-RO"/>
        </w:rPr>
        <w:t>NO</w:t>
      </w:r>
      <w:r w:rsidRPr="00074D16">
        <w:rPr>
          <w:rFonts w:eastAsia="Times New Roman" w:cs="Times New Roman"/>
          <w:vertAlign w:val="subscript"/>
          <w:lang w:val="ro-RO"/>
        </w:rPr>
        <w:t xml:space="preserve">X </w:t>
      </w:r>
      <w:r w:rsidRPr="00074D16">
        <w:rPr>
          <w:rFonts w:eastAsia="Times New Roman" w:cs="Times New Roman"/>
          <w:lang w:val="ro-RO"/>
        </w:rPr>
        <w:t>- oxizi de azot</w:t>
      </w:r>
    </w:p>
    <w:p w14:paraId="7C1F67F3" w14:textId="77777777" w:rsidR="00670FD4" w:rsidRPr="00074D16" w:rsidRDefault="00670FD4" w:rsidP="00670FD4">
      <w:pPr>
        <w:rPr>
          <w:rFonts w:eastAsia="Times New Roman" w:cs="Times New Roman"/>
          <w:lang w:val="ro-RO"/>
        </w:rPr>
      </w:pPr>
      <w:r w:rsidRPr="00074D16">
        <w:rPr>
          <w:rFonts w:eastAsia="Times New Roman" w:cs="Times New Roman"/>
          <w:lang w:val="ro-RO"/>
        </w:rPr>
        <w:lastRenderedPageBreak/>
        <w:t>NOAA – National Ocean and Atmospheric Administration</w:t>
      </w:r>
    </w:p>
    <w:p w14:paraId="5BE3C1B2" w14:textId="77777777" w:rsidR="00670FD4" w:rsidRPr="00074D16" w:rsidRDefault="00670FD4" w:rsidP="00670FD4">
      <w:pPr>
        <w:rPr>
          <w:rFonts w:eastAsia="Times New Roman" w:cs="Times New Roman"/>
          <w:lang w:val="ro-RO"/>
        </w:rPr>
      </w:pPr>
      <w:r w:rsidRPr="00074D16">
        <w:rPr>
          <w:rFonts w:eastAsia="Times New Roman" w:cs="Times New Roman"/>
          <w:lang w:val="ro-RO"/>
        </w:rPr>
        <w:t>nr. – număr</w:t>
      </w:r>
    </w:p>
    <w:p w14:paraId="4B8AC392" w14:textId="77777777" w:rsidR="00670FD4" w:rsidRPr="00074D16" w:rsidRDefault="00670FD4" w:rsidP="00670FD4">
      <w:pPr>
        <w:rPr>
          <w:rFonts w:eastAsia="Times New Roman" w:cs="Times New Roman"/>
          <w:lang w:val="ro-RO"/>
        </w:rPr>
      </w:pPr>
      <w:r w:rsidRPr="00074D16">
        <w:rPr>
          <w:rFonts w:eastAsia="Times New Roman" w:cs="Times New Roman"/>
          <w:lang w:val="ro-RO"/>
        </w:rPr>
        <w:t>O. – Obiectiv general</w:t>
      </w:r>
    </w:p>
    <w:p w14:paraId="257DA630" w14:textId="77777777" w:rsidR="00670FD4" w:rsidRPr="00074D16" w:rsidRDefault="00670FD4" w:rsidP="00670FD4">
      <w:pPr>
        <w:rPr>
          <w:rFonts w:eastAsia="Times New Roman" w:cs="Times New Roman"/>
          <w:lang w:val="ro-RO"/>
        </w:rPr>
      </w:pPr>
      <w:r w:rsidRPr="00074D16">
        <w:rPr>
          <w:rFonts w:eastAsia="Times New Roman" w:cs="Times New Roman"/>
          <w:lang w:val="ro-RO"/>
        </w:rPr>
        <w:t>Os. – Obiectiv specific</w:t>
      </w:r>
    </w:p>
    <w:p w14:paraId="605D335C" w14:textId="77777777" w:rsidR="00670FD4" w:rsidRPr="00074D16" w:rsidRDefault="00670FD4" w:rsidP="00670FD4">
      <w:pPr>
        <w:rPr>
          <w:rFonts w:eastAsia="Times New Roman" w:cs="Times New Roman"/>
          <w:lang w:val="ro-RO"/>
        </w:rPr>
      </w:pPr>
      <w:r w:rsidRPr="00074D16">
        <w:rPr>
          <w:rFonts w:eastAsia="Times New Roman" w:cs="Times New Roman"/>
          <w:lang w:val="ro-RO"/>
        </w:rPr>
        <w:t>ODD – Obiectiv de dezvoltare durabilă</w:t>
      </w:r>
    </w:p>
    <w:p w14:paraId="72884BE7" w14:textId="77777777" w:rsidR="00670FD4" w:rsidRDefault="00670FD4" w:rsidP="00670FD4">
      <w:pPr>
        <w:rPr>
          <w:rFonts w:eastAsia="Times New Roman" w:cs="Times New Roman"/>
          <w:lang w:val="ro-RO"/>
        </w:rPr>
      </w:pPr>
      <w:r w:rsidRPr="00074D16">
        <w:rPr>
          <w:rFonts w:eastAsia="Times New Roman" w:cs="Times New Roman"/>
          <w:lang w:val="ro-RO"/>
        </w:rPr>
        <w:t>OECD – Organisation for Economic Co-operation and Development</w:t>
      </w:r>
    </w:p>
    <w:p w14:paraId="71D4C3F1" w14:textId="77777777" w:rsidR="00670FD4" w:rsidRPr="00074D16" w:rsidRDefault="00670FD4" w:rsidP="00670FD4">
      <w:pPr>
        <w:rPr>
          <w:rFonts w:eastAsia="Times New Roman" w:cs="Times New Roman"/>
          <w:lang w:val="ro-RO"/>
        </w:rPr>
      </w:pPr>
      <w:r>
        <w:rPr>
          <w:rFonts w:eastAsia="Times New Roman" w:cs="Times New Roman"/>
          <w:lang w:val="ro-RO"/>
        </w:rPr>
        <w:t>O.M – Ordin de ministru</w:t>
      </w:r>
    </w:p>
    <w:p w14:paraId="0A6DEB77" w14:textId="77777777" w:rsidR="00670FD4" w:rsidRPr="00074D16" w:rsidRDefault="00670FD4" w:rsidP="00670FD4">
      <w:pPr>
        <w:rPr>
          <w:rFonts w:eastAsia="Times New Roman" w:cs="Times New Roman"/>
          <w:lang w:val="ro-RO"/>
        </w:rPr>
      </w:pPr>
      <w:r w:rsidRPr="00074D16">
        <w:rPr>
          <w:rFonts w:eastAsia="Times New Roman" w:cs="Times New Roman"/>
          <w:lang w:val="ro-RO"/>
        </w:rPr>
        <w:t>ONG – Organizație non guvernamentală</w:t>
      </w:r>
    </w:p>
    <w:p w14:paraId="35EEF1E6" w14:textId="77777777" w:rsidR="00670FD4" w:rsidRPr="00074D16" w:rsidRDefault="00670FD4" w:rsidP="00670FD4">
      <w:pPr>
        <w:rPr>
          <w:rFonts w:eastAsia="Times New Roman" w:cs="Times New Roman"/>
          <w:lang w:val="ro-RO"/>
        </w:rPr>
      </w:pPr>
      <w:r w:rsidRPr="00074D16">
        <w:rPr>
          <w:rFonts w:eastAsia="Times New Roman" w:cs="Times New Roman"/>
          <w:lang w:val="ro-RO"/>
        </w:rPr>
        <w:t>OUG – Ordonanță de urgență a guvernului</w:t>
      </w:r>
    </w:p>
    <w:p w14:paraId="2AC2CAD7" w14:textId="77777777" w:rsidR="00670FD4" w:rsidRPr="00074D16" w:rsidRDefault="00670FD4" w:rsidP="00670FD4">
      <w:pPr>
        <w:rPr>
          <w:rFonts w:eastAsia="Times New Roman" w:cs="Times New Roman"/>
          <w:lang w:val="ro-RO"/>
        </w:rPr>
      </w:pPr>
      <w:r w:rsidRPr="00074D16">
        <w:rPr>
          <w:rFonts w:eastAsia="Times New Roman" w:cs="Times New Roman"/>
          <w:lang w:val="ro-RO"/>
        </w:rPr>
        <w:t>P – Phosphorus (P)</w:t>
      </w:r>
    </w:p>
    <w:p w14:paraId="0DEC5C1F" w14:textId="77777777" w:rsidR="00670FD4" w:rsidRPr="00074D16" w:rsidRDefault="00670FD4" w:rsidP="00670FD4">
      <w:pPr>
        <w:rPr>
          <w:rFonts w:eastAsia="Times New Roman" w:cs="Times New Roman"/>
          <w:lang w:val="ro-RO"/>
        </w:rPr>
      </w:pPr>
      <w:r w:rsidRPr="00074D16">
        <w:rPr>
          <w:rFonts w:eastAsia="Times New Roman" w:cs="Times New Roman"/>
          <w:lang w:val="ro-RO"/>
        </w:rPr>
        <w:t>PAC – Politica Agricolă Comună</w:t>
      </w:r>
    </w:p>
    <w:p w14:paraId="3F96C5B6" w14:textId="77777777" w:rsidR="00670FD4" w:rsidRPr="00074D16" w:rsidRDefault="00670FD4" w:rsidP="00670FD4">
      <w:pPr>
        <w:rPr>
          <w:rFonts w:eastAsia="Times New Roman" w:cs="Times New Roman"/>
          <w:lang w:val="ro-RO"/>
        </w:rPr>
      </w:pPr>
      <w:r w:rsidRPr="00074D16">
        <w:rPr>
          <w:rFonts w:eastAsia="Times New Roman" w:cs="Times New Roman"/>
          <w:lang w:val="ro-RO"/>
        </w:rPr>
        <w:t>PAP – Programul de Pescuit și Acvacultură</w:t>
      </w:r>
    </w:p>
    <w:p w14:paraId="162BB6A7" w14:textId="77777777" w:rsidR="00670FD4" w:rsidRPr="00074D16" w:rsidRDefault="00670FD4" w:rsidP="00670FD4">
      <w:pPr>
        <w:rPr>
          <w:rFonts w:eastAsia="Times New Roman" w:cs="Times New Roman"/>
          <w:lang w:val="ro-RO"/>
        </w:rPr>
      </w:pPr>
      <w:r w:rsidRPr="00074D16">
        <w:rPr>
          <w:rFonts w:eastAsia="Times New Roman" w:cs="Times New Roman"/>
          <w:lang w:val="ro-RO"/>
        </w:rPr>
        <w:t>PASM – Plan de Amenajare a Spațiului Maritim</w:t>
      </w:r>
    </w:p>
    <w:p w14:paraId="260AEED9" w14:textId="77777777" w:rsidR="00670FD4" w:rsidRPr="00074D16" w:rsidRDefault="00670FD4" w:rsidP="00670FD4">
      <w:pPr>
        <w:rPr>
          <w:rFonts w:eastAsia="Times New Roman" w:cs="Times New Roman"/>
          <w:lang w:val="ro-RO"/>
        </w:rPr>
      </w:pPr>
      <w:r w:rsidRPr="00074D16">
        <w:rPr>
          <w:rFonts w:eastAsia="Times New Roman" w:cs="Times New Roman"/>
          <w:lang w:val="ro-RO"/>
        </w:rPr>
        <w:t>PAT - Programul de Asistență Tehnică</w:t>
      </w:r>
    </w:p>
    <w:p w14:paraId="0C79CDEE" w14:textId="77777777" w:rsidR="00670FD4" w:rsidRPr="00074D16" w:rsidRDefault="00670FD4" w:rsidP="00670FD4">
      <w:pPr>
        <w:rPr>
          <w:rFonts w:eastAsia="Times New Roman" w:cs="Times New Roman"/>
          <w:lang w:val="ro-RO"/>
        </w:rPr>
      </w:pPr>
      <w:r w:rsidRPr="00074D16">
        <w:rPr>
          <w:rFonts w:eastAsia="Times New Roman" w:cs="Times New Roman"/>
          <w:lang w:val="ro-RO"/>
        </w:rPr>
        <w:t>PATN – Planul de Amenajare a Teritoriului Național</w:t>
      </w:r>
    </w:p>
    <w:p w14:paraId="37DDE7CC" w14:textId="77777777" w:rsidR="00670FD4" w:rsidRDefault="00670FD4" w:rsidP="00670FD4">
      <w:pPr>
        <w:rPr>
          <w:rFonts w:eastAsia="Times New Roman" w:cs="Times New Roman"/>
          <w:lang w:val="ro-RO"/>
        </w:rPr>
      </w:pPr>
      <w:r w:rsidRPr="00074D16">
        <w:rPr>
          <w:rFonts w:eastAsia="Times New Roman" w:cs="Times New Roman"/>
          <w:lang w:val="ro-RO"/>
        </w:rPr>
        <w:t>PATZ – Plan de Amenajare a Teritoriului Zonal</w:t>
      </w:r>
    </w:p>
    <w:p w14:paraId="571249C3" w14:textId="77777777" w:rsidR="00670FD4" w:rsidRDefault="00670FD4" w:rsidP="00670FD4">
      <w:pPr>
        <w:rPr>
          <w:rFonts w:eastAsia="Times New Roman" w:cs="Times New Roman"/>
          <w:lang w:val="ro-RO"/>
        </w:rPr>
      </w:pPr>
      <w:r>
        <w:rPr>
          <w:rFonts w:eastAsia="Times New Roman" w:cs="Times New Roman"/>
          <w:lang w:val="ro-RO"/>
        </w:rPr>
        <w:t>Pb – plumb</w:t>
      </w:r>
    </w:p>
    <w:p w14:paraId="73A490B5" w14:textId="77777777" w:rsidR="00670FD4" w:rsidRPr="00074D16" w:rsidRDefault="00670FD4" w:rsidP="00670FD4">
      <w:pPr>
        <w:rPr>
          <w:rFonts w:eastAsia="Times New Roman" w:cs="Times New Roman"/>
          <w:lang w:val="ro-RO"/>
        </w:rPr>
      </w:pPr>
      <w:r>
        <w:rPr>
          <w:rFonts w:eastAsia="Times New Roman" w:cs="Times New Roman"/>
          <w:lang w:val="ro-RO"/>
        </w:rPr>
        <w:t xml:space="preserve">PCB - </w:t>
      </w:r>
      <w:r w:rsidRPr="0033469D">
        <w:rPr>
          <w:rFonts w:eastAsia="Times New Roman" w:cs="Times New Roman"/>
          <w:lang w:val="ro-RO"/>
        </w:rPr>
        <w:t>Bifenili policlorurați</w:t>
      </w:r>
    </w:p>
    <w:p w14:paraId="0B506BEA" w14:textId="77777777" w:rsidR="00670FD4" w:rsidRDefault="00670FD4" w:rsidP="00670FD4">
      <w:pPr>
        <w:rPr>
          <w:rFonts w:eastAsia="Times New Roman" w:cs="Times New Roman"/>
          <w:lang w:val="ro-RO"/>
        </w:rPr>
      </w:pPr>
      <w:r w:rsidRPr="00074D16">
        <w:rPr>
          <w:rFonts w:eastAsia="Times New Roman" w:cs="Times New Roman"/>
          <w:lang w:val="ro-RO"/>
        </w:rPr>
        <w:t>PCP – Politica Comună în domeniul Pescuitului</w:t>
      </w:r>
    </w:p>
    <w:p w14:paraId="2748A2BC" w14:textId="77777777" w:rsidR="00670FD4" w:rsidRPr="00074D16" w:rsidRDefault="00670FD4" w:rsidP="00670FD4">
      <w:pPr>
        <w:rPr>
          <w:rFonts w:eastAsia="Times New Roman" w:cs="Times New Roman"/>
          <w:lang w:val="ro-RO"/>
        </w:rPr>
      </w:pPr>
      <w:r w:rsidRPr="0033469D">
        <w:rPr>
          <w:rFonts w:eastAsia="Times New Roman" w:cs="Times New Roman"/>
          <w:lang w:val="ro-RO"/>
        </w:rPr>
        <w:t>p.e. – person equivalent</w:t>
      </w:r>
    </w:p>
    <w:p w14:paraId="2897DF04" w14:textId="77777777" w:rsidR="00670FD4" w:rsidRDefault="00670FD4" w:rsidP="00670FD4">
      <w:pPr>
        <w:rPr>
          <w:rFonts w:eastAsia="Times New Roman" w:cs="Times New Roman"/>
          <w:lang w:val="ro-RO"/>
        </w:rPr>
      </w:pPr>
      <w:r w:rsidRPr="00074D16">
        <w:rPr>
          <w:rFonts w:eastAsia="Times New Roman" w:cs="Times New Roman"/>
          <w:lang w:val="ro-RO"/>
        </w:rPr>
        <w:t>PJDG - Plan Județean de Gestionare a Deșeurilor</w:t>
      </w:r>
    </w:p>
    <w:p w14:paraId="65535253" w14:textId="77777777" w:rsidR="00670FD4" w:rsidRDefault="00670FD4" w:rsidP="00670FD4">
      <w:pPr>
        <w:rPr>
          <w:rFonts w:eastAsia="Times New Roman" w:cs="Times New Roman"/>
          <w:lang w:val="ro-RO"/>
        </w:rPr>
      </w:pPr>
      <w:r w:rsidRPr="0033469D">
        <w:rPr>
          <w:rFonts w:eastAsia="Times New Roman" w:cs="Times New Roman"/>
          <w:lang w:val="ro-RO"/>
        </w:rPr>
        <w:t>PLI - Pollution Load Index</w:t>
      </w:r>
    </w:p>
    <w:p w14:paraId="488A2AFF" w14:textId="77777777" w:rsidR="00670FD4" w:rsidRPr="00074D16" w:rsidRDefault="00670FD4" w:rsidP="00670FD4">
      <w:pPr>
        <w:rPr>
          <w:rFonts w:eastAsia="Times New Roman" w:cs="Times New Roman"/>
          <w:lang w:val="ro-RO"/>
        </w:rPr>
      </w:pPr>
      <w:r w:rsidRPr="0033469D">
        <w:rPr>
          <w:rFonts w:eastAsia="Times New Roman" w:cs="Times New Roman"/>
          <w:lang w:val="ro-RO"/>
        </w:rPr>
        <w:t>PM – Particle matter (Particule în suspensie)</w:t>
      </w:r>
    </w:p>
    <w:p w14:paraId="77A0413D" w14:textId="77777777" w:rsidR="00670FD4" w:rsidRPr="00074D16" w:rsidRDefault="00670FD4" w:rsidP="00670FD4">
      <w:pPr>
        <w:rPr>
          <w:rFonts w:eastAsia="Times New Roman" w:cs="Times New Roman"/>
          <w:lang w:val="ro-RO"/>
        </w:rPr>
      </w:pPr>
      <w:r w:rsidRPr="00074D16">
        <w:rPr>
          <w:rFonts w:eastAsia="Times New Roman" w:cs="Times New Roman"/>
          <w:lang w:val="ro-RO"/>
        </w:rPr>
        <w:t>PNCDI - Planul Național de Cercetare, Dezvoltare și Inovare</w:t>
      </w:r>
    </w:p>
    <w:p w14:paraId="59F3C1BC" w14:textId="77777777" w:rsidR="00670FD4" w:rsidRPr="00074D16" w:rsidRDefault="00670FD4" w:rsidP="00670FD4">
      <w:pPr>
        <w:rPr>
          <w:rFonts w:eastAsia="Times New Roman" w:cs="Times New Roman"/>
          <w:lang w:val="ro-RO"/>
        </w:rPr>
      </w:pPr>
      <w:r w:rsidRPr="00074D16">
        <w:rPr>
          <w:rFonts w:eastAsia="Times New Roman" w:cs="Times New Roman"/>
          <w:lang w:val="ro-RO"/>
        </w:rPr>
        <w:t>PNIESC – Planul Național Integrat în domeniul Energiei și Schimbărilor Climatice</w:t>
      </w:r>
    </w:p>
    <w:p w14:paraId="775C3DCF" w14:textId="77777777" w:rsidR="00670FD4" w:rsidRDefault="00670FD4" w:rsidP="00670FD4">
      <w:pPr>
        <w:rPr>
          <w:rFonts w:eastAsia="Times New Roman" w:cs="Times New Roman"/>
          <w:lang w:val="ro-RO"/>
        </w:rPr>
      </w:pPr>
      <w:r w:rsidRPr="00074D16">
        <w:rPr>
          <w:rFonts w:eastAsia="Times New Roman" w:cs="Times New Roman"/>
          <w:lang w:val="ro-RO"/>
        </w:rPr>
        <w:t>PNRR - Planul Național de Redresare și Reziliență</w:t>
      </w:r>
    </w:p>
    <w:p w14:paraId="28BC1959" w14:textId="77777777" w:rsidR="00670FD4" w:rsidRPr="00074D16" w:rsidRDefault="00670FD4" w:rsidP="00670FD4">
      <w:pPr>
        <w:rPr>
          <w:rFonts w:eastAsia="Times New Roman" w:cs="Times New Roman"/>
          <w:lang w:val="ro-RO"/>
        </w:rPr>
      </w:pPr>
      <w:r w:rsidRPr="0033469D">
        <w:rPr>
          <w:rFonts w:eastAsia="Times New Roman" w:cs="Times New Roman"/>
          <w:lang w:val="ro-RO"/>
        </w:rPr>
        <w:t>POCA - Programul Operațional Capacitate Administrativă</w:t>
      </w:r>
    </w:p>
    <w:p w14:paraId="53253B94" w14:textId="77777777" w:rsidR="00670FD4" w:rsidRPr="00074D16" w:rsidRDefault="00670FD4" w:rsidP="00670FD4">
      <w:pPr>
        <w:rPr>
          <w:rFonts w:eastAsia="Times New Roman" w:cs="Times New Roman"/>
          <w:lang w:val="ro-RO"/>
        </w:rPr>
      </w:pPr>
      <w:r w:rsidRPr="00074D16">
        <w:rPr>
          <w:rFonts w:eastAsia="Times New Roman" w:cs="Times New Roman"/>
          <w:lang w:val="ro-RO"/>
        </w:rPr>
        <w:t>POIM – Program Operațional Infrastructură Mare</w:t>
      </w:r>
    </w:p>
    <w:p w14:paraId="566B8B35" w14:textId="77777777" w:rsidR="00670FD4" w:rsidRPr="00074D16" w:rsidRDefault="00670FD4" w:rsidP="00670FD4">
      <w:pPr>
        <w:rPr>
          <w:rFonts w:eastAsia="Times New Roman" w:cs="Times New Roman"/>
          <w:lang w:val="ro-RO"/>
        </w:rPr>
      </w:pPr>
      <w:r w:rsidRPr="00074D16">
        <w:rPr>
          <w:rFonts w:eastAsia="Times New Roman" w:cs="Times New Roman"/>
          <w:lang w:val="ro-RO"/>
        </w:rPr>
        <w:t>PP - Polipropilenă</w:t>
      </w:r>
    </w:p>
    <w:p w14:paraId="76C8666A" w14:textId="77777777" w:rsidR="00670FD4" w:rsidRPr="00074D16" w:rsidRDefault="00670FD4" w:rsidP="00670FD4">
      <w:pPr>
        <w:rPr>
          <w:rFonts w:eastAsia="Times New Roman" w:cs="Times New Roman"/>
          <w:lang w:val="ro-RO"/>
        </w:rPr>
      </w:pPr>
      <w:r w:rsidRPr="00074D16">
        <w:rPr>
          <w:rFonts w:eastAsia="Times New Roman" w:cs="Times New Roman"/>
          <w:lang w:val="ro-RO"/>
        </w:rPr>
        <w:t>PUG – Plan urbanistic general</w:t>
      </w:r>
    </w:p>
    <w:p w14:paraId="010DDB82" w14:textId="77777777" w:rsidR="00670FD4" w:rsidRPr="00074D16" w:rsidRDefault="00670FD4" w:rsidP="00670FD4">
      <w:pPr>
        <w:rPr>
          <w:rFonts w:eastAsia="Times New Roman" w:cs="Times New Roman"/>
          <w:lang w:val="ro-RO"/>
        </w:rPr>
      </w:pPr>
      <w:r w:rsidRPr="00074D16">
        <w:rPr>
          <w:rFonts w:eastAsia="Times New Roman" w:cs="Times New Roman"/>
          <w:lang w:val="ro-RO"/>
        </w:rPr>
        <w:t>PUZ – Plan urbanistic zonal</w:t>
      </w:r>
    </w:p>
    <w:p w14:paraId="0BAACC64" w14:textId="77777777" w:rsidR="00670FD4" w:rsidRPr="00074D16" w:rsidRDefault="00670FD4" w:rsidP="00670FD4">
      <w:pPr>
        <w:rPr>
          <w:rFonts w:eastAsia="Times New Roman" w:cs="Times New Roman"/>
          <w:lang w:val="ro-RO"/>
        </w:rPr>
      </w:pPr>
      <w:r w:rsidRPr="00074D16">
        <w:rPr>
          <w:rFonts w:eastAsia="Times New Roman" w:cs="Times New Roman"/>
          <w:lang w:val="ro-RO"/>
        </w:rPr>
        <w:t>PVE – Pactul Verde European</w:t>
      </w:r>
    </w:p>
    <w:p w14:paraId="326FDAB8" w14:textId="77777777" w:rsidR="00670FD4" w:rsidRPr="00074D16" w:rsidRDefault="00670FD4" w:rsidP="00670FD4">
      <w:pPr>
        <w:rPr>
          <w:rFonts w:eastAsia="Times New Roman" w:cs="Times New Roman"/>
          <w:lang w:val="ro-RO"/>
        </w:rPr>
      </w:pPr>
      <w:r w:rsidRPr="00074D16">
        <w:rPr>
          <w:rFonts w:eastAsia="Times New Roman" w:cs="Times New Roman"/>
          <w:lang w:val="ro-RO"/>
        </w:rPr>
        <w:lastRenderedPageBreak/>
        <w:t>RAJA – Regia Autonomă Județeană de Apă</w:t>
      </w:r>
    </w:p>
    <w:p w14:paraId="08268147" w14:textId="77777777" w:rsidR="00670FD4" w:rsidRPr="00074D16" w:rsidRDefault="00670FD4" w:rsidP="00670FD4">
      <w:pPr>
        <w:rPr>
          <w:rFonts w:eastAsia="Times New Roman" w:cs="Times New Roman"/>
          <w:lang w:val="ro-RO"/>
        </w:rPr>
      </w:pPr>
      <w:r w:rsidRPr="00074D16">
        <w:rPr>
          <w:rFonts w:eastAsia="Times New Roman" w:cs="Times New Roman"/>
          <w:lang w:val="ro-RO"/>
        </w:rPr>
        <w:t>RBDD - Rezervația Biosferei Delta  Dunării</w:t>
      </w:r>
    </w:p>
    <w:p w14:paraId="483A3402" w14:textId="77777777" w:rsidR="00670FD4" w:rsidRPr="00074D16" w:rsidRDefault="00670FD4" w:rsidP="00670FD4">
      <w:pPr>
        <w:rPr>
          <w:rFonts w:eastAsia="Times New Roman" w:cs="Times New Roman"/>
          <w:lang w:val="ro-RO"/>
        </w:rPr>
      </w:pPr>
      <w:r w:rsidRPr="00074D16">
        <w:rPr>
          <w:rFonts w:eastAsia="Times New Roman" w:cs="Times New Roman"/>
          <w:lang w:val="ro-RO"/>
        </w:rPr>
        <w:t>RGU – Regulament General de Urbanism</w:t>
      </w:r>
    </w:p>
    <w:p w14:paraId="7BE9FD30" w14:textId="77777777" w:rsidR="00670FD4" w:rsidRPr="00074D16" w:rsidRDefault="00670FD4" w:rsidP="00670FD4">
      <w:pPr>
        <w:rPr>
          <w:rFonts w:eastAsia="Times New Roman" w:cs="Times New Roman"/>
          <w:lang w:val="ro-RO"/>
        </w:rPr>
      </w:pPr>
      <w:r w:rsidRPr="00074D16">
        <w:rPr>
          <w:rFonts w:eastAsia="Times New Roman" w:cs="Times New Roman"/>
          <w:lang w:val="ro-RO"/>
        </w:rPr>
        <w:t>RLU - Regulament Local de Urbanism</w:t>
      </w:r>
    </w:p>
    <w:p w14:paraId="5AA31578" w14:textId="77777777" w:rsidR="00670FD4" w:rsidRPr="00074D16" w:rsidRDefault="00670FD4" w:rsidP="00670FD4">
      <w:pPr>
        <w:rPr>
          <w:rFonts w:eastAsia="Times New Roman" w:cs="Times New Roman"/>
          <w:lang w:val="ro-RO"/>
        </w:rPr>
      </w:pPr>
      <w:r w:rsidRPr="00074D16">
        <w:rPr>
          <w:rFonts w:eastAsia="Times New Roman" w:cs="Times New Roman"/>
          <w:lang w:val="ro-RO"/>
        </w:rPr>
        <w:t>RPL - Recensământului Populației și Locuințelor</w:t>
      </w:r>
    </w:p>
    <w:p w14:paraId="3D7B8053" w14:textId="77777777" w:rsidR="00670FD4" w:rsidRPr="00074D16" w:rsidRDefault="00670FD4" w:rsidP="00670FD4">
      <w:pPr>
        <w:rPr>
          <w:rFonts w:eastAsia="Times New Roman" w:cs="Times New Roman"/>
          <w:lang w:val="ro-RO"/>
        </w:rPr>
      </w:pPr>
      <w:r w:rsidRPr="00074D16">
        <w:rPr>
          <w:rFonts w:eastAsia="Times New Roman" w:cs="Times New Roman"/>
          <w:lang w:val="ro-RO"/>
        </w:rPr>
        <w:t>RST – Recomandări specifice de țară</w:t>
      </w:r>
    </w:p>
    <w:p w14:paraId="45F6C0ED" w14:textId="77777777" w:rsidR="00670FD4" w:rsidRPr="0033469D" w:rsidRDefault="00670FD4" w:rsidP="00670FD4">
      <w:pPr>
        <w:rPr>
          <w:rFonts w:eastAsia="Times New Roman" w:cs="Times New Roman"/>
          <w:lang w:val="ro-RO"/>
        </w:rPr>
      </w:pPr>
      <w:r w:rsidRPr="0033469D">
        <w:rPr>
          <w:rFonts w:eastAsia="Times New Roman" w:cs="Times New Roman"/>
          <w:lang w:val="ro-RO"/>
        </w:rPr>
        <w:t>S – Suprafață</w:t>
      </w:r>
    </w:p>
    <w:p w14:paraId="26541698" w14:textId="77777777" w:rsidR="00670FD4" w:rsidRPr="0033469D" w:rsidRDefault="00670FD4" w:rsidP="00670FD4">
      <w:pPr>
        <w:rPr>
          <w:rFonts w:eastAsia="Times New Roman" w:cs="Times New Roman"/>
          <w:lang w:val="ro-RO"/>
        </w:rPr>
      </w:pPr>
      <w:r w:rsidRPr="0033469D">
        <w:rPr>
          <w:rFonts w:eastAsia="Times New Roman" w:cs="Times New Roman"/>
          <w:lang w:val="ro-RO"/>
        </w:rPr>
        <w:t>s – secundă</w:t>
      </w:r>
    </w:p>
    <w:p w14:paraId="02F39E8A" w14:textId="77777777" w:rsidR="00670FD4" w:rsidRPr="0033469D" w:rsidRDefault="00670FD4" w:rsidP="00670FD4">
      <w:pPr>
        <w:rPr>
          <w:rFonts w:eastAsia="Times New Roman" w:cs="Times New Roman"/>
          <w:lang w:val="ro-RO"/>
        </w:rPr>
      </w:pPr>
      <w:r w:rsidRPr="0033469D">
        <w:rPr>
          <w:rFonts w:eastAsia="Times New Roman" w:cs="Times New Roman"/>
          <w:lang w:val="ro-RO"/>
        </w:rPr>
        <w:t>s.a. – substanță activă</w:t>
      </w:r>
    </w:p>
    <w:p w14:paraId="5715B506" w14:textId="77777777" w:rsidR="00670FD4" w:rsidRDefault="00670FD4" w:rsidP="00670FD4">
      <w:pPr>
        <w:rPr>
          <w:rFonts w:eastAsia="Times New Roman" w:cs="Times New Roman"/>
          <w:lang w:val="ro-RO"/>
        </w:rPr>
      </w:pPr>
      <w:r w:rsidRPr="0033469D">
        <w:rPr>
          <w:rFonts w:eastAsia="Times New Roman" w:cs="Times New Roman"/>
          <w:lang w:val="ro-RO"/>
        </w:rPr>
        <w:t>SSB - Biomasa stocurilor de reproducători</w:t>
      </w:r>
    </w:p>
    <w:p w14:paraId="76CE9D6A" w14:textId="77777777" w:rsidR="00670FD4" w:rsidRPr="00074D16" w:rsidRDefault="00670FD4" w:rsidP="00670FD4">
      <w:pPr>
        <w:rPr>
          <w:rFonts w:eastAsia="Times New Roman" w:cs="Times New Roman"/>
          <w:lang w:val="ro-RO"/>
        </w:rPr>
      </w:pPr>
      <w:r w:rsidRPr="00074D16">
        <w:rPr>
          <w:rFonts w:eastAsia="Times New Roman" w:cs="Times New Roman"/>
          <w:lang w:val="ro-RO"/>
        </w:rPr>
        <w:t>SCI - Site of Community Importance (Site de importanță comunitară)</w:t>
      </w:r>
    </w:p>
    <w:p w14:paraId="6F79F479" w14:textId="77777777" w:rsidR="00670FD4" w:rsidRPr="00074D16" w:rsidRDefault="00670FD4" w:rsidP="00670FD4">
      <w:pPr>
        <w:rPr>
          <w:rFonts w:eastAsia="Times New Roman" w:cs="Times New Roman"/>
          <w:lang w:val="ro-RO"/>
        </w:rPr>
      </w:pPr>
      <w:r w:rsidRPr="00074D16">
        <w:rPr>
          <w:rFonts w:eastAsia="Times New Roman" w:cs="Times New Roman"/>
          <w:lang w:val="ro-RO"/>
        </w:rPr>
        <w:t>SDTR – Strategia de Dezvoltare Teritorială a României</w:t>
      </w:r>
    </w:p>
    <w:p w14:paraId="34A4C7A9" w14:textId="77777777" w:rsidR="00670FD4" w:rsidRPr="00074D16" w:rsidRDefault="00670FD4" w:rsidP="00670FD4">
      <w:pPr>
        <w:rPr>
          <w:rFonts w:eastAsia="Times New Roman" w:cs="Times New Roman"/>
          <w:lang w:val="ro-RO"/>
        </w:rPr>
      </w:pPr>
      <w:r w:rsidRPr="00074D16">
        <w:rPr>
          <w:rFonts w:eastAsia="Times New Roman" w:cs="Times New Roman"/>
          <w:lang w:val="ro-RO"/>
        </w:rPr>
        <w:t>SEB – Stare ecologică bună</w:t>
      </w:r>
    </w:p>
    <w:p w14:paraId="308C620E" w14:textId="77777777" w:rsidR="00670FD4" w:rsidRPr="00074D16" w:rsidRDefault="00670FD4" w:rsidP="00670FD4">
      <w:pPr>
        <w:rPr>
          <w:rFonts w:eastAsia="Times New Roman" w:cs="Times New Roman"/>
          <w:lang w:val="ro-RO"/>
        </w:rPr>
      </w:pPr>
      <w:r w:rsidRPr="00074D16">
        <w:rPr>
          <w:rFonts w:eastAsia="Times New Roman" w:cs="Times New Roman"/>
          <w:lang w:val="ro-RO"/>
        </w:rPr>
        <w:t>SNASC - Strategia Națională privind Adaptarea la Schimbările Climatice</w:t>
      </w:r>
    </w:p>
    <w:p w14:paraId="149A8DC1" w14:textId="77777777" w:rsidR="00670FD4" w:rsidRPr="00074D16" w:rsidRDefault="00670FD4" w:rsidP="00670FD4">
      <w:pPr>
        <w:rPr>
          <w:rFonts w:eastAsia="Times New Roman" w:cs="Times New Roman"/>
          <w:lang w:val="ro-RO"/>
        </w:rPr>
      </w:pPr>
      <w:r w:rsidRPr="00074D16">
        <w:rPr>
          <w:rFonts w:eastAsia="Times New Roman" w:cs="Times New Roman"/>
          <w:lang w:val="ro-RO"/>
        </w:rPr>
        <w:t>SNCISI - Strategiei Națională de Cercetare, Inovare și Specializare Inteligentă</w:t>
      </w:r>
    </w:p>
    <w:p w14:paraId="083CD05A" w14:textId="77777777" w:rsidR="00670FD4" w:rsidRPr="00074D16" w:rsidRDefault="00670FD4" w:rsidP="00670FD4">
      <w:pPr>
        <w:rPr>
          <w:rFonts w:eastAsia="Times New Roman" w:cs="Times New Roman"/>
          <w:lang w:val="ro-RO"/>
        </w:rPr>
      </w:pPr>
      <w:r w:rsidRPr="00074D16">
        <w:rPr>
          <w:rFonts w:eastAsia="Times New Roman" w:cs="Times New Roman"/>
          <w:lang w:val="ro-RO"/>
        </w:rPr>
        <w:t>SNDDR – Strategia Națională de Dezvoltare Durabilă a României</w:t>
      </w:r>
    </w:p>
    <w:p w14:paraId="2011B8C1" w14:textId="77777777" w:rsidR="00670FD4" w:rsidRPr="00074D16" w:rsidRDefault="00670FD4" w:rsidP="00670FD4">
      <w:pPr>
        <w:rPr>
          <w:rFonts w:eastAsia="Times New Roman" w:cs="Times New Roman"/>
          <w:lang w:val="ro-RO"/>
        </w:rPr>
      </w:pPr>
      <w:r w:rsidRPr="00074D16">
        <w:rPr>
          <w:rFonts w:eastAsia="Times New Roman" w:cs="Times New Roman"/>
          <w:lang w:val="ro-RO"/>
        </w:rPr>
        <w:t>SNDU – Strategia Națională de Dezvoltare Urbană</w:t>
      </w:r>
    </w:p>
    <w:p w14:paraId="62E99675" w14:textId="77777777" w:rsidR="00670FD4" w:rsidRPr="00074D16" w:rsidRDefault="00670FD4" w:rsidP="00670FD4">
      <w:pPr>
        <w:rPr>
          <w:rFonts w:eastAsia="Times New Roman" w:cs="Times New Roman"/>
          <w:lang w:val="ro-RO"/>
        </w:rPr>
      </w:pPr>
      <w:r w:rsidRPr="00074D16">
        <w:rPr>
          <w:rFonts w:eastAsia="Times New Roman" w:cs="Times New Roman"/>
          <w:lang w:val="ro-RO"/>
        </w:rPr>
        <w:t>SNPACB - Strategia Națională și Planul de Acțiune pentru conservarea biodiversității</w:t>
      </w:r>
    </w:p>
    <w:p w14:paraId="363DF83F" w14:textId="77777777" w:rsidR="00670FD4" w:rsidRPr="00074D16" w:rsidRDefault="00670FD4" w:rsidP="00670FD4">
      <w:pPr>
        <w:rPr>
          <w:rFonts w:eastAsia="Times New Roman" w:cs="Times New Roman"/>
          <w:lang w:val="ro-RO"/>
        </w:rPr>
      </w:pPr>
      <w:r w:rsidRPr="0033469D">
        <w:rPr>
          <w:rFonts w:eastAsia="Times New Roman" w:cs="Times New Roman"/>
          <w:lang w:val="ro-RO"/>
        </w:rPr>
        <w:t>SNT – Sistemul Național de Transport</w:t>
      </w:r>
    </w:p>
    <w:p w14:paraId="02695864" w14:textId="77777777" w:rsidR="00670FD4" w:rsidRDefault="00670FD4" w:rsidP="00670FD4">
      <w:pPr>
        <w:rPr>
          <w:rFonts w:eastAsia="Times New Roman" w:cs="Times New Roman"/>
          <w:lang w:val="ro-RO"/>
        </w:rPr>
      </w:pPr>
      <w:r w:rsidRPr="00074D16">
        <w:rPr>
          <w:rFonts w:eastAsia="Times New Roman" w:cs="Times New Roman"/>
          <w:lang w:val="ro-RO"/>
        </w:rPr>
        <w:t>SO</w:t>
      </w:r>
      <w:r w:rsidRPr="00074D16">
        <w:rPr>
          <w:rFonts w:eastAsia="Times New Roman" w:cs="Times New Roman"/>
          <w:vertAlign w:val="subscript"/>
          <w:lang w:val="ro-RO"/>
        </w:rPr>
        <w:t>2</w:t>
      </w:r>
      <w:r w:rsidRPr="00074D16">
        <w:rPr>
          <w:rFonts w:eastAsia="Times New Roman" w:cs="Times New Roman"/>
          <w:lang w:val="ro-RO"/>
        </w:rPr>
        <w:t xml:space="preserve"> – dioxid de sulf</w:t>
      </w:r>
    </w:p>
    <w:p w14:paraId="1E709D17" w14:textId="77777777" w:rsidR="00670FD4" w:rsidRPr="00074D16" w:rsidRDefault="00670FD4" w:rsidP="00670FD4">
      <w:pPr>
        <w:rPr>
          <w:rFonts w:eastAsia="Times New Roman" w:cs="Times New Roman"/>
          <w:lang w:val="ro-RO"/>
        </w:rPr>
      </w:pPr>
      <w:r w:rsidRPr="00074D16">
        <w:rPr>
          <w:rFonts w:eastAsia="Times New Roman" w:cs="Times New Roman"/>
          <w:lang w:val="ro-RO"/>
        </w:rPr>
        <w:t>SPA – Special Protection Area (Zonă de protecție specială)</w:t>
      </w:r>
    </w:p>
    <w:p w14:paraId="61474E01" w14:textId="77777777" w:rsidR="00670FD4" w:rsidRPr="00074D16" w:rsidRDefault="00670FD4" w:rsidP="00670FD4">
      <w:pPr>
        <w:rPr>
          <w:rFonts w:eastAsia="Times New Roman" w:cs="Times New Roman"/>
          <w:lang w:val="ro-RO"/>
        </w:rPr>
      </w:pPr>
      <w:r w:rsidRPr="00074D16">
        <w:rPr>
          <w:rFonts w:eastAsia="Times New Roman" w:cs="Times New Roman"/>
          <w:lang w:val="ro-RO"/>
        </w:rPr>
        <w:t>STA-ZC – Secretariat technic administrativ al zonei costiere</w:t>
      </w:r>
    </w:p>
    <w:p w14:paraId="07885442" w14:textId="77777777" w:rsidR="00670FD4" w:rsidRPr="00074D16" w:rsidRDefault="00670FD4" w:rsidP="00670FD4">
      <w:pPr>
        <w:rPr>
          <w:rFonts w:eastAsia="Times New Roman" w:cs="Times New Roman"/>
          <w:lang w:val="ro-RO"/>
        </w:rPr>
      </w:pPr>
      <w:r w:rsidRPr="00074D16">
        <w:rPr>
          <w:rFonts w:eastAsia="Times New Roman" w:cs="Times New Roman"/>
          <w:lang w:val="ro-RO"/>
        </w:rPr>
        <w:t>STP-CNZC – Secretariat Tehnic Permanent al Comintetului Național al Zonei Costiere</w:t>
      </w:r>
    </w:p>
    <w:p w14:paraId="14151DEE" w14:textId="77777777" w:rsidR="00670FD4" w:rsidRDefault="00670FD4" w:rsidP="00670FD4">
      <w:pPr>
        <w:rPr>
          <w:rFonts w:eastAsia="Times New Roman" w:cs="Times New Roman"/>
          <w:lang w:val="ro-RO"/>
        </w:rPr>
      </w:pPr>
      <w:r w:rsidRPr="00074D16">
        <w:rPr>
          <w:rFonts w:eastAsia="Times New Roman" w:cs="Times New Roman"/>
          <w:lang w:val="ro-RO"/>
        </w:rPr>
        <w:t xml:space="preserve">t </w:t>
      </w:r>
      <w:r>
        <w:rPr>
          <w:rFonts w:eastAsia="Times New Roman" w:cs="Times New Roman"/>
          <w:lang w:val="ro-RO"/>
        </w:rPr>
        <w:t>–</w:t>
      </w:r>
      <w:r w:rsidRPr="00074D16">
        <w:rPr>
          <w:rFonts w:eastAsia="Times New Roman" w:cs="Times New Roman"/>
          <w:lang w:val="ro-RO"/>
        </w:rPr>
        <w:t xml:space="preserve"> tonă</w:t>
      </w:r>
    </w:p>
    <w:p w14:paraId="0929DE8C" w14:textId="77777777" w:rsidR="00670FD4" w:rsidRPr="00074D16" w:rsidRDefault="00670FD4" w:rsidP="00670FD4">
      <w:pPr>
        <w:rPr>
          <w:rFonts w:eastAsia="Times New Roman" w:cs="Times New Roman"/>
          <w:lang w:val="ro-RO"/>
        </w:rPr>
      </w:pPr>
      <w:r w:rsidRPr="0033469D">
        <w:rPr>
          <w:rFonts w:eastAsia="Times New Roman" w:cs="Times New Roman"/>
          <w:lang w:val="ro-RO"/>
        </w:rPr>
        <w:t>TAC – Total Allowable Catch (capturi totale permise)</w:t>
      </w:r>
    </w:p>
    <w:p w14:paraId="264B6559" w14:textId="77777777" w:rsidR="00670FD4" w:rsidRPr="00074D16" w:rsidRDefault="00670FD4" w:rsidP="00670FD4">
      <w:pPr>
        <w:rPr>
          <w:rFonts w:eastAsia="Times New Roman" w:cs="Times New Roman"/>
          <w:lang w:val="ro-RO"/>
        </w:rPr>
      </w:pPr>
      <w:r w:rsidRPr="00074D16">
        <w:rPr>
          <w:rFonts w:eastAsia="Times New Roman" w:cs="Times New Roman"/>
          <w:lang w:val="ro-RO"/>
        </w:rPr>
        <w:t>tdw – tone deadweight</w:t>
      </w:r>
    </w:p>
    <w:p w14:paraId="357BBB8F" w14:textId="77777777" w:rsidR="00670FD4" w:rsidRPr="00074D16" w:rsidRDefault="00670FD4" w:rsidP="00670FD4">
      <w:pPr>
        <w:rPr>
          <w:rFonts w:eastAsia="Times New Roman" w:cs="Times New Roman"/>
          <w:lang w:val="ro-RO"/>
        </w:rPr>
      </w:pPr>
      <w:r w:rsidRPr="00074D16">
        <w:rPr>
          <w:rFonts w:eastAsia="Times New Roman" w:cs="Times New Roman"/>
          <w:lang w:val="ro-RO"/>
        </w:rPr>
        <w:t>TEN-T – Trans-European Transport Network (rețea de transport trans-europeană)</w:t>
      </w:r>
    </w:p>
    <w:p w14:paraId="66D72793" w14:textId="77777777" w:rsidR="00670FD4" w:rsidRPr="00074D16" w:rsidRDefault="00670FD4" w:rsidP="00670FD4">
      <w:pPr>
        <w:rPr>
          <w:rFonts w:eastAsia="Times New Roman" w:cs="Times New Roman"/>
          <w:lang w:val="ro-RO"/>
        </w:rPr>
      </w:pPr>
      <w:r w:rsidRPr="00074D16">
        <w:rPr>
          <w:rFonts w:eastAsia="Times New Roman" w:cs="Times New Roman"/>
          <w:lang w:val="ro-RO"/>
        </w:rPr>
        <w:t>UAIC- Universitatea Alexandru Ioan Cuza Iași</w:t>
      </w:r>
    </w:p>
    <w:p w14:paraId="67162F4E" w14:textId="77777777" w:rsidR="00670FD4" w:rsidRPr="00074D16" w:rsidRDefault="00670FD4" w:rsidP="00670FD4">
      <w:pPr>
        <w:rPr>
          <w:rFonts w:eastAsia="Times New Roman" w:cs="Times New Roman"/>
          <w:lang w:val="ro-RO"/>
        </w:rPr>
      </w:pPr>
      <w:r w:rsidRPr="00074D16">
        <w:rPr>
          <w:rFonts w:eastAsia="Times New Roman" w:cs="Times New Roman"/>
          <w:lang w:val="ro-RO"/>
        </w:rPr>
        <w:t>UAT – Unitate administrativ teritorială</w:t>
      </w:r>
    </w:p>
    <w:p w14:paraId="5921BBAB" w14:textId="77777777" w:rsidR="00670FD4" w:rsidRPr="00074D16" w:rsidRDefault="00670FD4" w:rsidP="00670FD4">
      <w:pPr>
        <w:rPr>
          <w:rFonts w:eastAsia="Times New Roman" w:cs="Times New Roman"/>
          <w:lang w:val="ro-RO"/>
        </w:rPr>
      </w:pPr>
      <w:r w:rsidRPr="00074D16">
        <w:rPr>
          <w:rFonts w:eastAsia="Times New Roman" w:cs="Times New Roman"/>
          <w:lang w:val="ro-RO"/>
        </w:rPr>
        <w:t>UB – Universitatea din București</w:t>
      </w:r>
    </w:p>
    <w:p w14:paraId="7E298461" w14:textId="77777777" w:rsidR="00670FD4" w:rsidRPr="00074D16" w:rsidRDefault="00670FD4" w:rsidP="00670FD4">
      <w:pPr>
        <w:rPr>
          <w:rFonts w:eastAsia="Times New Roman" w:cs="Times New Roman"/>
          <w:lang w:val="ro-RO"/>
        </w:rPr>
      </w:pPr>
      <w:r w:rsidRPr="00074D16">
        <w:rPr>
          <w:rFonts w:eastAsia="Times New Roman" w:cs="Times New Roman"/>
          <w:lang w:val="ro-RO"/>
        </w:rPr>
        <w:t>UE – Uniunea Europeană</w:t>
      </w:r>
    </w:p>
    <w:p w14:paraId="19C887B5" w14:textId="77777777" w:rsidR="00670FD4" w:rsidRPr="00074D16" w:rsidRDefault="00670FD4" w:rsidP="00670FD4">
      <w:pPr>
        <w:rPr>
          <w:rFonts w:eastAsia="Times New Roman" w:cs="Times New Roman"/>
          <w:lang w:val="ro-RO"/>
        </w:rPr>
      </w:pPr>
      <w:r w:rsidRPr="00074D16">
        <w:rPr>
          <w:rFonts w:eastAsia="Times New Roman" w:cs="Times New Roman"/>
          <w:lang w:val="ro-RO"/>
        </w:rPr>
        <w:t>UNEP – United Nations Environment Programme</w:t>
      </w:r>
    </w:p>
    <w:p w14:paraId="3D0AF801" w14:textId="77777777" w:rsidR="00670FD4" w:rsidRPr="00074D16" w:rsidRDefault="00670FD4" w:rsidP="00670FD4">
      <w:pPr>
        <w:rPr>
          <w:rFonts w:eastAsia="Times New Roman" w:cs="Times New Roman"/>
          <w:lang w:val="ro-RO"/>
        </w:rPr>
      </w:pPr>
      <w:r w:rsidRPr="00074D16">
        <w:rPr>
          <w:rFonts w:eastAsia="Times New Roman" w:cs="Times New Roman"/>
          <w:lang w:val="ro-RO"/>
        </w:rPr>
        <w:lastRenderedPageBreak/>
        <w:t>UNESCO - United Nations Educational, Scientific and Cultural Organization</w:t>
      </w:r>
    </w:p>
    <w:p w14:paraId="68D9229D" w14:textId="77777777" w:rsidR="00670FD4" w:rsidRDefault="00670FD4" w:rsidP="00670FD4">
      <w:pPr>
        <w:rPr>
          <w:rFonts w:eastAsia="Times New Roman" w:cs="Times New Roman"/>
          <w:lang w:val="ro-RO"/>
        </w:rPr>
      </w:pPr>
      <w:r w:rsidRPr="00074D16">
        <w:rPr>
          <w:rFonts w:eastAsia="Times New Roman" w:cs="Times New Roman"/>
          <w:lang w:val="ro-RO"/>
        </w:rPr>
        <w:t>UOC – Universitatea Ovidius Constanța</w:t>
      </w:r>
    </w:p>
    <w:p w14:paraId="6D11E295" w14:textId="77777777" w:rsidR="00670FD4" w:rsidRPr="00074D16" w:rsidRDefault="00670FD4" w:rsidP="00670FD4">
      <w:pPr>
        <w:rPr>
          <w:rFonts w:eastAsia="Times New Roman" w:cs="Times New Roman"/>
          <w:lang w:val="ro-RO"/>
        </w:rPr>
      </w:pPr>
      <w:r w:rsidRPr="0033469D">
        <w:rPr>
          <w:rFonts w:eastAsia="Times New Roman" w:cs="Times New Roman"/>
          <w:lang w:val="ro-RO"/>
        </w:rPr>
        <w:t>V - Volum</w:t>
      </w:r>
    </w:p>
    <w:p w14:paraId="622E7081" w14:textId="77777777" w:rsidR="00670FD4" w:rsidRDefault="00670FD4" w:rsidP="00670FD4">
      <w:pPr>
        <w:ind w:firstLine="567"/>
        <w:rPr>
          <w:rFonts w:eastAsia="Times New Roman" w:cs="Times New Roman"/>
          <w:lang w:val="ro-RO"/>
        </w:rPr>
      </w:pPr>
      <w:r w:rsidRPr="00074D16">
        <w:rPr>
          <w:rFonts w:eastAsia="Times New Roman" w:cs="Times New Roman"/>
          <w:lang w:val="ro-RO"/>
        </w:rPr>
        <w:t>WFD – Water Framework Directive (Directiva Cadru Apă 2000/60/CE)</w:t>
      </w:r>
    </w:p>
    <w:p w14:paraId="2A9EE0CD" w14:textId="77777777" w:rsidR="00670FD4" w:rsidRDefault="00670FD4" w:rsidP="00670FD4">
      <w:pPr>
        <w:pBdr>
          <w:top w:val="nil"/>
          <w:left w:val="nil"/>
          <w:bottom w:val="nil"/>
          <w:right w:val="nil"/>
          <w:between w:val="nil"/>
        </w:pBdr>
        <w:spacing w:after="200"/>
        <w:rPr>
          <w:rFonts w:eastAsia="Times New Roman" w:cs="Times New Roman"/>
        </w:rPr>
      </w:pPr>
      <w:r>
        <w:rPr>
          <w:rFonts w:eastAsia="Times New Roman" w:cs="Times New Roman"/>
        </w:rPr>
        <w:t>Zn - Zinc</w:t>
      </w:r>
    </w:p>
    <w:p w14:paraId="2C22ED71" w14:textId="77777777" w:rsidR="00670FD4" w:rsidRDefault="00670FD4" w:rsidP="00670FD4">
      <w:pPr>
        <w:ind w:firstLine="567"/>
        <w:rPr>
          <w:lang w:val="ro-RO"/>
        </w:rPr>
      </w:pPr>
    </w:p>
    <w:p w14:paraId="52FBE124" w14:textId="77777777" w:rsidR="00670FD4" w:rsidRDefault="00670FD4" w:rsidP="00670FD4">
      <w:pPr>
        <w:ind w:firstLine="567"/>
        <w:rPr>
          <w:lang w:val="ro-RO"/>
        </w:rPr>
      </w:pPr>
    </w:p>
    <w:p w14:paraId="23F8FACC" w14:textId="77777777" w:rsidR="00670FD4" w:rsidRDefault="00670FD4" w:rsidP="00670FD4">
      <w:pPr>
        <w:ind w:firstLine="567"/>
        <w:rPr>
          <w:lang w:val="ro-RO"/>
        </w:rPr>
      </w:pPr>
    </w:p>
    <w:p w14:paraId="21BA19FC" w14:textId="77777777" w:rsidR="00670FD4" w:rsidRDefault="00670FD4" w:rsidP="00670FD4">
      <w:pPr>
        <w:ind w:firstLine="567"/>
        <w:rPr>
          <w:lang w:val="ro-RO"/>
        </w:rPr>
      </w:pPr>
    </w:p>
    <w:p w14:paraId="7B83A306" w14:textId="77777777" w:rsidR="00670FD4" w:rsidRDefault="00670FD4" w:rsidP="00670FD4">
      <w:pPr>
        <w:ind w:firstLine="567"/>
        <w:rPr>
          <w:lang w:val="ro-RO"/>
        </w:rPr>
      </w:pPr>
    </w:p>
    <w:p w14:paraId="04120C27" w14:textId="77777777" w:rsidR="00670FD4" w:rsidRDefault="00670FD4" w:rsidP="00670FD4">
      <w:pPr>
        <w:ind w:firstLine="567"/>
        <w:rPr>
          <w:lang w:val="ro-RO"/>
        </w:rPr>
      </w:pPr>
    </w:p>
    <w:p w14:paraId="4368E818" w14:textId="77777777" w:rsidR="00670FD4" w:rsidRDefault="00670FD4" w:rsidP="00670FD4">
      <w:pPr>
        <w:ind w:firstLine="567"/>
        <w:rPr>
          <w:lang w:val="ro-RO"/>
        </w:rPr>
      </w:pPr>
    </w:p>
    <w:p w14:paraId="2A9CB5D7" w14:textId="77777777" w:rsidR="00670FD4" w:rsidRDefault="00670FD4" w:rsidP="00670FD4">
      <w:pPr>
        <w:ind w:firstLine="567"/>
        <w:rPr>
          <w:lang w:val="ro-RO"/>
        </w:rPr>
      </w:pPr>
    </w:p>
    <w:p w14:paraId="58F8B9C4" w14:textId="77777777" w:rsidR="00670FD4" w:rsidRDefault="00670FD4" w:rsidP="00670FD4">
      <w:pPr>
        <w:ind w:firstLine="567"/>
        <w:rPr>
          <w:lang w:val="ro-RO"/>
        </w:rPr>
      </w:pPr>
    </w:p>
    <w:p w14:paraId="58FB8B0A" w14:textId="77777777" w:rsidR="00670FD4" w:rsidRPr="00074D16" w:rsidRDefault="00670FD4" w:rsidP="00670FD4">
      <w:pPr>
        <w:ind w:firstLine="567"/>
        <w:rPr>
          <w:lang w:val="ro-RO"/>
        </w:rPr>
      </w:pPr>
    </w:p>
    <w:p w14:paraId="4511DB9E" w14:textId="77777777" w:rsidR="00670FD4" w:rsidRDefault="00670FD4" w:rsidP="00670FD4">
      <w:pPr>
        <w:ind w:firstLine="567"/>
        <w:rPr>
          <w:lang w:val="ro-RO"/>
        </w:rPr>
      </w:pPr>
    </w:p>
    <w:p w14:paraId="59232632" w14:textId="77777777" w:rsidR="00670FD4" w:rsidRDefault="00670FD4" w:rsidP="00670FD4">
      <w:pPr>
        <w:ind w:firstLine="567"/>
        <w:rPr>
          <w:lang w:val="ro-RO"/>
        </w:rPr>
      </w:pPr>
    </w:p>
    <w:p w14:paraId="347D3849" w14:textId="77777777" w:rsidR="00670FD4" w:rsidRDefault="00670FD4" w:rsidP="00670FD4">
      <w:pPr>
        <w:ind w:firstLine="567"/>
        <w:rPr>
          <w:lang w:val="ro-RO"/>
        </w:rPr>
      </w:pPr>
    </w:p>
    <w:p w14:paraId="42E5267B" w14:textId="77777777" w:rsidR="00670FD4" w:rsidRDefault="00670FD4" w:rsidP="00670FD4">
      <w:pPr>
        <w:ind w:firstLine="567"/>
        <w:rPr>
          <w:lang w:val="ro-RO"/>
        </w:rPr>
      </w:pPr>
    </w:p>
    <w:p w14:paraId="6C020DFA" w14:textId="77777777" w:rsidR="00670FD4" w:rsidRDefault="00670FD4" w:rsidP="00670FD4">
      <w:pPr>
        <w:ind w:firstLine="567"/>
        <w:rPr>
          <w:lang w:val="ro-RO"/>
        </w:rPr>
      </w:pPr>
    </w:p>
    <w:p w14:paraId="25DF3319" w14:textId="77777777" w:rsidR="00670FD4" w:rsidRDefault="00670FD4" w:rsidP="00670FD4">
      <w:pPr>
        <w:ind w:firstLine="567"/>
        <w:rPr>
          <w:lang w:val="ro-RO"/>
        </w:rPr>
      </w:pPr>
    </w:p>
    <w:p w14:paraId="7EB8028C" w14:textId="77777777" w:rsidR="00670FD4" w:rsidRDefault="00670FD4" w:rsidP="00670FD4">
      <w:pPr>
        <w:ind w:firstLine="567"/>
        <w:rPr>
          <w:lang w:val="ro-RO"/>
        </w:rPr>
      </w:pPr>
    </w:p>
    <w:p w14:paraId="7446A519" w14:textId="77777777" w:rsidR="00670FD4" w:rsidRDefault="00670FD4" w:rsidP="00670FD4">
      <w:pPr>
        <w:ind w:firstLine="567"/>
        <w:rPr>
          <w:lang w:val="ro-RO"/>
        </w:rPr>
      </w:pPr>
    </w:p>
    <w:p w14:paraId="5538B42E" w14:textId="77777777" w:rsidR="00670FD4" w:rsidRDefault="00670FD4" w:rsidP="00670FD4">
      <w:pPr>
        <w:ind w:firstLine="567"/>
        <w:rPr>
          <w:lang w:val="ro-RO"/>
        </w:rPr>
      </w:pPr>
    </w:p>
    <w:p w14:paraId="7B652B8A" w14:textId="77777777" w:rsidR="00670FD4" w:rsidRDefault="00670FD4" w:rsidP="00670FD4">
      <w:pPr>
        <w:ind w:firstLine="567"/>
        <w:rPr>
          <w:lang w:val="ro-RO"/>
        </w:rPr>
      </w:pPr>
    </w:p>
    <w:p w14:paraId="73443D5F" w14:textId="77777777" w:rsidR="00670FD4" w:rsidRDefault="00670FD4" w:rsidP="00670FD4">
      <w:pPr>
        <w:ind w:firstLine="567"/>
        <w:rPr>
          <w:lang w:val="ro-RO"/>
        </w:rPr>
      </w:pPr>
    </w:p>
    <w:p w14:paraId="0A350B79" w14:textId="77777777" w:rsidR="00670FD4" w:rsidRDefault="00670FD4" w:rsidP="00670FD4">
      <w:pPr>
        <w:ind w:firstLine="567"/>
        <w:rPr>
          <w:lang w:val="ro-RO"/>
        </w:rPr>
      </w:pPr>
    </w:p>
    <w:p w14:paraId="6B740F54" w14:textId="77777777" w:rsidR="00670FD4" w:rsidRDefault="00670FD4" w:rsidP="00670FD4">
      <w:pPr>
        <w:ind w:firstLine="567"/>
        <w:rPr>
          <w:lang w:val="ro-RO"/>
        </w:rPr>
      </w:pPr>
    </w:p>
    <w:p w14:paraId="7CB7175A" w14:textId="77777777" w:rsidR="00670FD4" w:rsidRDefault="00670FD4" w:rsidP="00670FD4">
      <w:pPr>
        <w:ind w:firstLine="567"/>
        <w:rPr>
          <w:lang w:val="ro-RO"/>
        </w:rPr>
      </w:pPr>
    </w:p>
    <w:p w14:paraId="1FF8A6A6" w14:textId="77777777" w:rsidR="00670FD4" w:rsidRDefault="00670FD4" w:rsidP="00670FD4">
      <w:pPr>
        <w:ind w:firstLine="567"/>
        <w:rPr>
          <w:lang w:val="ro-RO"/>
        </w:rPr>
      </w:pPr>
    </w:p>
    <w:p w14:paraId="171FF125" w14:textId="77777777" w:rsidR="00670FD4" w:rsidRDefault="00670FD4" w:rsidP="00670FD4">
      <w:pPr>
        <w:ind w:firstLine="567"/>
        <w:rPr>
          <w:lang w:val="ro-RO"/>
        </w:rPr>
      </w:pPr>
    </w:p>
    <w:p w14:paraId="31E62977" w14:textId="77777777" w:rsidR="00670FD4" w:rsidRDefault="00670FD4" w:rsidP="00670FD4">
      <w:pPr>
        <w:ind w:firstLine="567"/>
        <w:rPr>
          <w:lang w:val="ro-RO"/>
        </w:rPr>
      </w:pPr>
    </w:p>
    <w:p w14:paraId="56E0E6BE" w14:textId="77777777" w:rsidR="00670FD4" w:rsidRPr="0033469D" w:rsidRDefault="00670FD4" w:rsidP="00670FD4">
      <w:pPr>
        <w:pStyle w:val="Heading2"/>
      </w:pPr>
      <w:bookmarkStart w:id="3" w:name="_Toc171084801"/>
      <w:r w:rsidRPr="0033469D">
        <w:lastRenderedPageBreak/>
        <w:t xml:space="preserve">1.1 </w:t>
      </w:r>
      <w:r w:rsidRPr="005D2CE5">
        <w:t>Introducere</w:t>
      </w:r>
      <w:bookmarkEnd w:id="3"/>
    </w:p>
    <w:p w14:paraId="0D00E49D" w14:textId="77777777" w:rsidR="00670FD4" w:rsidRPr="008C6A37" w:rsidRDefault="00670FD4" w:rsidP="00670FD4">
      <w:pPr>
        <w:ind w:firstLine="567"/>
        <w:rPr>
          <w:lang w:val="ro-RO"/>
        </w:rPr>
      </w:pPr>
      <w:r w:rsidRPr="008C6A37">
        <w:rPr>
          <w:lang w:val="ro-RO"/>
        </w:rPr>
        <w:t>Managementul integrat al zonei costiere (MIZC) este unul dintre cele mai cunoscute și aplicate instrumente politice și legislative pentru zonele costiere, utilizat de factorii de decizie din întreaga lume și promovat de Comisia Europeană (Recomandarea Consiliului privind managementul integrat al zonelor de coastă din 2002, Protocolul Convenției de la Barcelona privind Managementul Integrat al Zonelor de Coastă, ratificat de UE în 2010 și noua inițiativă a CE privind planificarea spațiului maritim și managementul integrat al zonelor costiere din 2013) și alte organizații internaționale precum National Ocean and Atmospheric Administration (NOAA), United Nations Environment Programme (UNEP), Organisation for Economic Co-operation and Development (OECD), etc.</w:t>
      </w:r>
    </w:p>
    <w:p w14:paraId="764F097D" w14:textId="77777777" w:rsidR="00670FD4" w:rsidRPr="008C6A37" w:rsidRDefault="00670FD4" w:rsidP="00670FD4">
      <w:pPr>
        <w:ind w:firstLine="567"/>
        <w:rPr>
          <w:lang w:val="ro-RO"/>
        </w:rPr>
      </w:pPr>
      <w:r w:rsidRPr="008C6A37">
        <w:rPr>
          <w:lang w:val="ro-RO"/>
        </w:rPr>
        <w:t xml:space="preserve">Există mai multe definiții ale managementului integrat al zonei costiere, una dintre cele mai relevante fiind cea din articolului 2 al Protocolului Convenției de la Barcelona privind Managementul Integrat al Zonelor de Coastă, adoptată și de Comisia Mării Negre, conform căreia MIZC este </w:t>
      </w:r>
      <w:r w:rsidRPr="008C6A37">
        <w:rPr>
          <w:b/>
          <w:i/>
          <w:lang w:val="ro-RO"/>
        </w:rPr>
        <w:t>„un proces dinamic de gestionare și utilizare durabilă a zonelor de coastă, ținând cont în același timp de fragilitatea ecosistemelor și a peisajelor costiere, de diversitatea activităților și utilizărilor, de interacțiunile acestora, de orientarea maritimă a anumitor activități și utilizări și de impactul acestora atât asupra părții maritime, cât și celei terestre”</w:t>
      </w:r>
      <w:r w:rsidRPr="008C6A37">
        <w:rPr>
          <w:lang w:val="ro-RO"/>
        </w:rPr>
        <w:t>.</w:t>
      </w:r>
    </w:p>
    <w:p w14:paraId="512BF1ED" w14:textId="77777777" w:rsidR="00670FD4" w:rsidRPr="008C6A37" w:rsidRDefault="00670FD4" w:rsidP="00670FD4">
      <w:pPr>
        <w:ind w:firstLine="567"/>
        <w:rPr>
          <w:lang w:val="ro-RO"/>
        </w:rPr>
      </w:pPr>
      <w:r w:rsidRPr="008C6A37">
        <w:rPr>
          <w:lang w:val="ro-RO"/>
        </w:rPr>
        <w:t xml:space="preserve">Definirea zonei costiere este de o importanță deosebită în politicile publice ale MIZC, deși o definire clară a acesteia este destul de dificilă datorită naturii dinamice a zonelor costiere. Conform Ketchum (1972), </w:t>
      </w:r>
      <w:r w:rsidRPr="008C6A37">
        <w:rPr>
          <w:b/>
          <w:i/>
          <w:lang w:val="ro-RO"/>
        </w:rPr>
        <w:t>zona costieră este interfața dintre uscat și spațiul marin adiacent în care procesele terestre și utilizările terenurilor afectează direct procesele și utilizările maritime și invers</w:t>
      </w:r>
      <w:r w:rsidRPr="008C6A37">
        <w:rPr>
          <w:lang w:val="ro-RO"/>
        </w:rPr>
        <w:t xml:space="preserve">. </w:t>
      </w:r>
    </w:p>
    <w:p w14:paraId="1DECF222" w14:textId="77777777" w:rsidR="00670FD4" w:rsidRPr="008C6A37" w:rsidRDefault="00670FD4" w:rsidP="00670FD4">
      <w:pPr>
        <w:ind w:firstLine="567"/>
        <w:rPr>
          <w:lang w:val="ro-RO"/>
        </w:rPr>
      </w:pPr>
      <w:r w:rsidRPr="008C6A37">
        <w:rPr>
          <w:lang w:val="ro-RO"/>
        </w:rPr>
        <w:t xml:space="preserve">Zonele costiere sunt de mare importanță ecologică, socială, economică și culturală, dar în același timp foarte vulnerabile la schimbările climatice și presiunile antropice tot mai mari. Având în vedere aceste considerente, Comisia Europeană a inițiat în 1996 un program demonstrativ (EU Demonstrator Programme on ICZM) cuprinzând 35 de proiecte demonstrative și șase studii tematice, cu scopul de a evidenția problemele care afectează zonele costiere și identifica posibile măsuri de stopare / limitare a deteriorării acestora. </w:t>
      </w:r>
    </w:p>
    <w:p w14:paraId="2611BE72" w14:textId="77777777" w:rsidR="00670FD4" w:rsidRPr="008C6A37" w:rsidRDefault="00670FD4" w:rsidP="00670FD4">
      <w:pPr>
        <w:ind w:firstLine="567"/>
        <w:rPr>
          <w:lang w:val="ro-RO"/>
        </w:rPr>
      </w:pPr>
      <w:r w:rsidRPr="008C6A37">
        <w:rPr>
          <w:lang w:val="ro-RO"/>
        </w:rPr>
        <w:t>În 2000, pe baza experiențelor și a rezultatelor acestui program demonstrativ, Comisia Europeană a adoptat două documente ce au pus bazele politicilor MIZC în Europa, și anume:</w:t>
      </w:r>
    </w:p>
    <w:p w14:paraId="11C3E8D1" w14:textId="77777777" w:rsidR="00670FD4" w:rsidRPr="008C6A37" w:rsidRDefault="00670FD4" w:rsidP="00670FD4">
      <w:pPr>
        <w:numPr>
          <w:ilvl w:val="0"/>
          <w:numId w:val="9"/>
        </w:numPr>
        <w:ind w:firstLine="567"/>
        <w:rPr>
          <w:lang w:val="ro-RO"/>
        </w:rPr>
      </w:pPr>
      <w:r w:rsidRPr="008C6A37">
        <w:rPr>
          <w:lang w:val="ro-RO"/>
        </w:rPr>
        <w:t>o comunicare a Comisiei către Consiliul și Parlamentul European privind „Gestionarea integrată a zonelor costiere: o strategie pentru Europa” (COM/00/547 din 17.09.2000);</w:t>
      </w:r>
    </w:p>
    <w:p w14:paraId="23C765C1" w14:textId="77777777" w:rsidR="00670FD4" w:rsidRPr="008C6A37" w:rsidRDefault="00670FD4" w:rsidP="00670FD4">
      <w:pPr>
        <w:numPr>
          <w:ilvl w:val="0"/>
          <w:numId w:val="9"/>
        </w:numPr>
        <w:ind w:firstLine="567"/>
        <w:rPr>
          <w:lang w:val="ro-RO"/>
        </w:rPr>
      </w:pPr>
      <w:r w:rsidRPr="008C6A37">
        <w:rPr>
          <w:lang w:val="ro-RO"/>
        </w:rPr>
        <w:t>o recomandare a Parlamentului European și a Consiliului European privind implementarea managementului integrat al zonelor costiere în Europa (COM/00/545 din 08.09.2000). Această recomandare (2002/413/CE) a fost adoptată de Consiliul și Parlamentul European la 30.05.2002.</w:t>
      </w:r>
    </w:p>
    <w:p w14:paraId="3397700F" w14:textId="77777777" w:rsidR="00670FD4" w:rsidRPr="008C6A37" w:rsidRDefault="00670FD4" w:rsidP="00670FD4">
      <w:pPr>
        <w:ind w:firstLine="567"/>
        <w:rPr>
          <w:lang w:val="ro-RO"/>
        </w:rPr>
      </w:pPr>
      <w:r w:rsidRPr="008C6A37">
        <w:rPr>
          <w:lang w:val="ro-RO"/>
        </w:rPr>
        <w:t xml:space="preserve">O etapă deosebit de importantă în evoluția procesului MIZC la nivel european, cu implicații și pentru bazinul Mării Negre, începe odată cu semnarea la Madrid, în 2009, a </w:t>
      </w:r>
      <w:r w:rsidRPr="008C6A37">
        <w:rPr>
          <w:lang w:val="ro-RO"/>
        </w:rPr>
        <w:lastRenderedPageBreak/>
        <w:t>Protocolului privind Managementul Integrat al Zonelor de Coastă la Marea Mediterană (ratificat și intrat în vigoare în 2011). În 2019, este adoptat un document ce stabilește Cadrul Comun Regional pentru implementarea MIZC la Marea Mediterană (UNEP/MAP/PAP, 2019), considerat un instrument strategic care facilitează implementarea Protocolului MIZC la Marea Mediterană.</w:t>
      </w:r>
    </w:p>
    <w:p w14:paraId="53B2CC36" w14:textId="77777777" w:rsidR="00670FD4" w:rsidRPr="008C6A37" w:rsidRDefault="00670FD4" w:rsidP="00670FD4">
      <w:pPr>
        <w:ind w:firstLine="567"/>
        <w:rPr>
          <w:lang w:val="ro-RO"/>
        </w:rPr>
      </w:pPr>
      <w:r w:rsidRPr="008C6A37">
        <w:rPr>
          <w:lang w:val="ro-RO"/>
        </w:rPr>
        <w:t>Între timp, statele riverane Mării Negre urmăreau cu mare interes evoluțiile încurajatoare din Marea Mediterană, care a adoptat noul instrument obligatoriu din punct de vedere juridic sub forma Protocolului privind Managementul Integrat al Zonelor de Coastă la Marea Mediterană. Posibilitatea statelor riverane Mării Negre de a se angaja în adoptarea unui instrument similar din punct de vedere juridic, obligatoriu, într-o zonă marină semi închisă, regională, precum Marea Neagră a fost luată în considerare, identificându-se necesitatea  elaborării unui ghid ca o măsură provizorie până când dezvoltarea unui instrument juridic obligatoriu va deveni cu adevărat fezabilă la nivel regional. Această acțiune a fost inclusă în Planul Strategic de Acțiune pentru Protecția Mediului și Reabilitarea Mării Negre din 2009 ca obiectiv pe termen scurt (BS SAP, 2009). Pentru a oferi mijloacele pentru realizarea acestui obiectiv, în 2010, la solicitarea Comisiei Mării Negre, prin intermediul Secretariatului său, Comisia Europeană a fost de acord să introducă în cadrul proiectului european PEGASO dezvoltarea acestui ghid (</w:t>
      </w:r>
      <w:r w:rsidRPr="008C6A37">
        <w:rPr>
          <w:i/>
          <w:lang w:val="ro-RO"/>
        </w:rPr>
        <w:t>Guidelines on Integrated Coastal Zone Management in the Black Sea</w:t>
      </w:r>
      <w:r w:rsidRPr="008C6A37">
        <w:rPr>
          <w:lang w:val="ro-RO"/>
        </w:rPr>
        <w:t>) ca unul dintre rezultatele proiectului. Deoarece Protocolul privind Managementul Integrat al Zonelor de Coastă la Marea Mediterană era singurul exemplu al unui astfel de document legislativ internațional în vigoare, acest ghid a fost elaborat în jurul tematicilor principale acoperite de către Protocolul MIZC de la Marea Mediterană.</w:t>
      </w:r>
    </w:p>
    <w:p w14:paraId="0D510884" w14:textId="77777777" w:rsidR="00670FD4" w:rsidRPr="008C6A37" w:rsidRDefault="00670FD4" w:rsidP="00670FD4">
      <w:pPr>
        <w:ind w:firstLine="567"/>
        <w:rPr>
          <w:lang w:val="ro-RO"/>
        </w:rPr>
      </w:pPr>
      <w:r w:rsidRPr="008C6A37">
        <w:rPr>
          <w:lang w:val="ro-RO"/>
        </w:rPr>
        <w:t>La nivelul Comisiei Mării Negre este constituit Grupul Consultativ pentru Managementul Integrat al Zonei Costiere (ICZM AG), care are rolul de a face recomandări privind managementul zonei costiere și de a elabora și implementa strategii, metodologii și instrumente de management integrat al zonei costiere, coordonate la nivel regional, în contextul dezvoltării durabile (BS SAP, 2009). De asemenea, acest grup este responsabil de elaborarea raportului anual al Comisiei Mării Negre privind managementul integrat al zonei costiere (</w:t>
      </w:r>
      <w:hyperlink r:id="rId8">
        <w:r w:rsidRPr="008C6A37">
          <w:rPr>
            <w:rStyle w:val="Hyperlink"/>
            <w:lang w:val="ro-RO"/>
          </w:rPr>
          <w:t>www.blacksea-commission.org</w:t>
        </w:r>
      </w:hyperlink>
      <w:r w:rsidRPr="008C6A37">
        <w:rPr>
          <w:lang w:val="ro-RO"/>
        </w:rPr>
        <w:t xml:space="preserve">) furnizând totodată, în mod regulat, date / informații în statele riverane Mării Negre. Datele raportate anual (la Agenția Europeană de Mediu) se referă la dezvoltarea de politici, proiecte și diferiți indicatori în domenii și sectoare precum: geografie și demografie, energie, ape și ape uzate, biodiversitate, eroziune costieră, economie, turism, transport, managementul deșeurilor solide, agricultură, industrie și schimbări climatice. </w:t>
      </w:r>
    </w:p>
    <w:p w14:paraId="78C05BB5" w14:textId="77777777" w:rsidR="00670FD4" w:rsidRPr="008C6A37" w:rsidRDefault="00670FD4" w:rsidP="00670FD4">
      <w:pPr>
        <w:ind w:firstLine="567"/>
        <w:rPr>
          <w:lang w:val="ro-RO"/>
        </w:rPr>
      </w:pPr>
      <w:r w:rsidRPr="008C6A37">
        <w:rPr>
          <w:lang w:val="ro-RO"/>
        </w:rPr>
        <w:t>România a fost printre primele țări din bazinul Mării Negre care a creat cadrul legislativ în vederea implementării managementului integrat al zonei costiere. Prin adoptarea Ordonanţei de Urgenţă a Guvernului nr. 202/2002 privind gospodărirea integrată a zonei costiere, aprobată cu modificări prin Legea nr. 280/2003, România a recunoscut că managementul integrat al zonei costiere reprezintă un instrument valoros care a creat structuri şi un cadru legal pentru a promova implementarea acestuia în consens cu Recomandarea Parlamentului și a Consiliului European din 30.05.2002 privind implementarea MIZC în Europa (2002/413/EC).</w:t>
      </w:r>
    </w:p>
    <w:p w14:paraId="068B31F5" w14:textId="77777777" w:rsidR="00670FD4" w:rsidRPr="008C6A37" w:rsidRDefault="00670FD4" w:rsidP="00670FD4">
      <w:pPr>
        <w:ind w:firstLine="567"/>
        <w:rPr>
          <w:lang w:val="ro-RO"/>
        </w:rPr>
      </w:pPr>
      <w:r w:rsidRPr="008C6A37">
        <w:rPr>
          <w:lang w:val="ro-RO"/>
        </w:rPr>
        <w:lastRenderedPageBreak/>
        <w:t>În 2004, a fost înființat în baza Ordonanţei de Urgență nr. 202/2002 privind gospodărirea zonei costiere, aprobată cu modificări prin Legea nr. 280/2003, Comitetul Naţional al Zonei Costiere (CNZC), în scopul asigurării gospodăririi integrate a zonei costiere.</w:t>
      </w:r>
    </w:p>
    <w:p w14:paraId="25083994" w14:textId="77777777" w:rsidR="00670FD4" w:rsidRPr="008C6A37" w:rsidRDefault="00670FD4" w:rsidP="00670FD4">
      <w:pPr>
        <w:ind w:firstLine="567"/>
        <w:rPr>
          <w:lang w:val="ro-RO"/>
        </w:rPr>
      </w:pPr>
      <w:r w:rsidRPr="008C6A37">
        <w:rPr>
          <w:lang w:val="ro-RO"/>
        </w:rPr>
        <w:t xml:space="preserve">Cu toate acestea, Planul naţional privind gospodărirea integrată a zonei costiere nu a fost elaborat până în prezent din cauza funcţionalităţii necorespunzătoare a cadrului interinstituțional existent. Totodată, nu sunt stabilite zonele funcţionale şi inventarul componentelor de mediu ale zonei costiere, care reprezintă elemente de referinţă pentru respectarea principiilor stipulate în OUG 202/2002 privind gospodărirea integrată a zonei costiere, aprobată cu modificări prin Legea nr. 280/2003. Mai mult, integrarea politicilor de mediu în politicile și planurile sectoriale privind agricultura, energia, resursele minerale, industria, turismul, pescuitul şi acvacultura, transporturile şi dezvoltarea zonelor locuite este realizată doar parțial. De asemenea, în prezent, nu există o bază de date integrată sau un inventar național integrat privind zona costieră, iar raportările pe care România, ca stat membru al UE sau ca Parte a Convenției Mării Negre împotriva Poluării, are obligația să le transmită Comisiei Europene, respectiv Comisiei Mării Negre, sunt realizate prin intermediul punctelor focale naționale la nivel european sau din cadrul Comisiei Mării Negre. </w:t>
      </w:r>
    </w:p>
    <w:p w14:paraId="4795B7BC" w14:textId="77777777" w:rsidR="00670FD4" w:rsidRPr="008C6A37" w:rsidRDefault="00670FD4" w:rsidP="00670FD4">
      <w:pPr>
        <w:ind w:firstLine="567"/>
        <w:rPr>
          <w:i/>
          <w:lang w:val="ro-RO"/>
        </w:rPr>
      </w:pPr>
      <w:r w:rsidRPr="008C6A37">
        <w:rPr>
          <w:b/>
          <w:i/>
          <w:lang w:val="ro-RO"/>
        </w:rPr>
        <w:t>Necesitatea elaborării Strategiei Naționale privind g</w:t>
      </w:r>
      <w:r>
        <w:rPr>
          <w:b/>
          <w:i/>
          <w:lang w:val="ro-RO"/>
        </w:rPr>
        <w:t>ospodărirea</w:t>
      </w:r>
      <w:r w:rsidRPr="008C6A37">
        <w:rPr>
          <w:b/>
          <w:i/>
          <w:lang w:val="ro-RO"/>
        </w:rPr>
        <w:t xml:space="preserve"> integrată a zonei costiere</w:t>
      </w:r>
    </w:p>
    <w:p w14:paraId="55B68063" w14:textId="77777777" w:rsidR="00670FD4" w:rsidRPr="008C6A37" w:rsidRDefault="00670FD4" w:rsidP="00670FD4">
      <w:pPr>
        <w:ind w:firstLine="567"/>
        <w:rPr>
          <w:lang w:val="ro-RO"/>
        </w:rPr>
      </w:pPr>
      <w:r w:rsidRPr="008C6A37">
        <w:rPr>
          <w:lang w:val="ro-RO"/>
        </w:rPr>
        <w:t>Zona costieră românească oferă o multitudine de utilizări, care sunt de-o importanță socio-economică considerabilă pentru societate. Cu toate acestea, diferitele interese sectoriale caută, cel mai adesea, accesul și utilizarea exclusivă a zonei și resurselor din zona costieră. Abordarea sectorială în planificarea dezvoltării și managementului a resurselor zonei costiere, amplificată de presiunea populației și de complexitatea activităților umane poate conduce la conflicte de utilizare și la efecte socio-economice și de mediu adverse. Astfel, este nevoie de un document politic intersectorial, care să furnizeze o viziune pe termen mediu și lung pentru utilizarea şi dezvoltarea durabilă a zonei costiere a României. Necesitatea elaborării Strategiei Naționale privind gospodărirea integrată a zonei costiere apare ca urmare a problemelor cu care zona costieră încă se confruntă, cele mai importante fiind listate mai jos:</w:t>
      </w:r>
    </w:p>
    <w:p w14:paraId="55682EAE" w14:textId="77777777" w:rsidR="00670FD4" w:rsidRPr="008C6A37" w:rsidRDefault="00670FD4" w:rsidP="00670FD4">
      <w:pPr>
        <w:ind w:firstLine="567"/>
        <w:rPr>
          <w:lang w:val="ro-RO"/>
        </w:rPr>
      </w:pPr>
      <w:r w:rsidRPr="008C6A37">
        <w:rPr>
          <w:lang w:val="ro-RO"/>
        </w:rPr>
        <w:t>- dezvoltare costieră planificată și coordonată inadecvat,  ca urmare a unei abordări, de multe ori, sectoriale;</w:t>
      </w:r>
    </w:p>
    <w:p w14:paraId="18D3A573" w14:textId="77777777" w:rsidR="00670FD4" w:rsidRPr="008C6A37" w:rsidRDefault="00670FD4" w:rsidP="00670FD4">
      <w:pPr>
        <w:ind w:firstLine="567"/>
        <w:rPr>
          <w:lang w:val="ro-RO"/>
        </w:rPr>
      </w:pPr>
      <w:r w:rsidRPr="008C6A37">
        <w:rPr>
          <w:lang w:val="ro-RO"/>
        </w:rPr>
        <w:t>- parteneriatul și cooperarea inadecvate între părțile interesate;</w:t>
      </w:r>
    </w:p>
    <w:p w14:paraId="0A7EF742" w14:textId="77777777" w:rsidR="00670FD4" w:rsidRPr="008C6A37" w:rsidRDefault="00670FD4" w:rsidP="00670FD4">
      <w:pPr>
        <w:ind w:firstLine="567"/>
        <w:rPr>
          <w:lang w:val="ro-RO"/>
        </w:rPr>
      </w:pPr>
      <w:r w:rsidRPr="008C6A37">
        <w:rPr>
          <w:lang w:val="ro-RO"/>
        </w:rPr>
        <w:t>- cadrul instituțional și cel juridic nu abordează în mod adecvat problemele intersectoriale, în special în ceea ce privește mecanismele de coordonare și punere în aplicare;</w:t>
      </w:r>
    </w:p>
    <w:p w14:paraId="43E06795" w14:textId="77777777" w:rsidR="00670FD4" w:rsidRPr="008C6A37" w:rsidRDefault="00670FD4" w:rsidP="00670FD4">
      <w:pPr>
        <w:ind w:firstLine="567"/>
        <w:rPr>
          <w:lang w:val="ro-RO"/>
        </w:rPr>
      </w:pPr>
      <w:r w:rsidRPr="008C6A37">
        <w:rPr>
          <w:lang w:val="ro-RO"/>
        </w:rPr>
        <w:t>- participarea publicului, comunicarea, educația și conștientizarea încă inadecvate cu privire la problemele legate de managementul zonei costiere;</w:t>
      </w:r>
    </w:p>
    <w:p w14:paraId="12F29958" w14:textId="77777777" w:rsidR="00670FD4" w:rsidRPr="008C6A37" w:rsidRDefault="00670FD4" w:rsidP="00670FD4">
      <w:pPr>
        <w:ind w:firstLine="567"/>
        <w:rPr>
          <w:lang w:val="ro-RO"/>
        </w:rPr>
      </w:pPr>
      <w:r w:rsidRPr="008C6A37">
        <w:rPr>
          <w:lang w:val="ro-RO"/>
        </w:rPr>
        <w:t>- mecanisme și instrumente insuficiente pentru abordarea problemelor emergente care afectează zona costieră (eroziunea costieră, furtuni extreme, seceta, inundații, etc.)</w:t>
      </w:r>
    </w:p>
    <w:p w14:paraId="7FF1931E" w14:textId="77777777" w:rsidR="00670FD4" w:rsidRPr="008C6A37" w:rsidRDefault="00670FD4" w:rsidP="00670FD4">
      <w:pPr>
        <w:ind w:firstLine="567"/>
        <w:rPr>
          <w:lang w:val="ro-RO"/>
        </w:rPr>
      </w:pPr>
      <w:r w:rsidRPr="008C6A37">
        <w:rPr>
          <w:lang w:val="ro-RO"/>
        </w:rPr>
        <w:t>- mecanisme încă inadecvate pentru conservarea patrimoniului național cultural și natural și gestionarea activităților în siturile de patrimoniu.</w:t>
      </w:r>
    </w:p>
    <w:p w14:paraId="71A5D10B" w14:textId="77777777" w:rsidR="00670FD4" w:rsidRPr="008C6A37" w:rsidRDefault="00670FD4" w:rsidP="00670FD4">
      <w:pPr>
        <w:ind w:firstLine="567"/>
        <w:rPr>
          <w:lang w:val="ro-RO"/>
        </w:rPr>
      </w:pPr>
      <w:r w:rsidRPr="008C6A37">
        <w:rPr>
          <w:lang w:val="ro-RO"/>
        </w:rPr>
        <w:lastRenderedPageBreak/>
        <w:t>Managementul integrat al zonei costiere este cel mai potrivit proces pentru a anticipa și a răspunde preocupărilor și nevoilor pe termen lung, abordând în același timp provocările și oportunitățile actuale. Prin elaborarea și implementarea strategiei naționale privind g</w:t>
      </w:r>
      <w:r>
        <w:rPr>
          <w:lang w:val="ro-RO"/>
        </w:rPr>
        <w:t>ospodărirea</w:t>
      </w:r>
      <w:r w:rsidRPr="008C6A37">
        <w:rPr>
          <w:lang w:val="ro-RO"/>
        </w:rPr>
        <w:t xml:space="preserve"> integrată a zonei costiere, respectiv prin realizarea și implementarea unui plan de acțiune este stimulată și susținută creșterea economică durabilă (albastră / verde) a zonei costiere, utilizarea sustenabilă a resurselor, minimizând astfel degradarea sistemelor naturale, dar și conflictele dintre diverse utilizări ale zonei costiere. Strategia oferă un cadru de referință pentru managementul activităților multisectoriale, cât și opțiuni pentru viitoarele utilizări ale resurselor.</w:t>
      </w:r>
    </w:p>
    <w:p w14:paraId="0151899D" w14:textId="77777777" w:rsidR="00670FD4" w:rsidRPr="008C6A37" w:rsidRDefault="00670FD4" w:rsidP="00670FD4">
      <w:pPr>
        <w:ind w:firstLine="567"/>
        <w:rPr>
          <w:lang w:val="ro-RO"/>
        </w:rPr>
      </w:pPr>
      <w:r w:rsidRPr="008C6A37">
        <w:rPr>
          <w:lang w:val="ro-RO"/>
        </w:rPr>
        <w:t>Perioada de implementare a strategiei naționale privind g</w:t>
      </w:r>
      <w:r>
        <w:rPr>
          <w:lang w:val="ro-RO"/>
        </w:rPr>
        <w:t>ospodărirea</w:t>
      </w:r>
      <w:r w:rsidRPr="008C6A37">
        <w:rPr>
          <w:lang w:val="ro-RO"/>
        </w:rPr>
        <w:t xml:space="preserve"> integrată a zonei costiere este din momentul aprobării până în 2040.</w:t>
      </w:r>
    </w:p>
    <w:p w14:paraId="3018EDD4" w14:textId="77777777" w:rsidR="00670FD4" w:rsidRPr="008C6A37" w:rsidRDefault="00670FD4" w:rsidP="00670FD4">
      <w:pPr>
        <w:ind w:firstLine="567"/>
        <w:rPr>
          <w:b/>
          <w:i/>
          <w:lang w:val="ro-RO"/>
        </w:rPr>
      </w:pPr>
      <w:r w:rsidRPr="008C6A37">
        <w:rPr>
          <w:b/>
          <w:i/>
          <w:lang w:val="ro-RO"/>
        </w:rPr>
        <w:t>Metodologia utilizată pentru elaborarea Strategiei</w:t>
      </w:r>
    </w:p>
    <w:p w14:paraId="4768B4C9" w14:textId="77777777" w:rsidR="00670FD4" w:rsidRPr="008C6A37" w:rsidRDefault="00670FD4" w:rsidP="00670FD4">
      <w:pPr>
        <w:ind w:firstLine="567"/>
        <w:rPr>
          <w:lang w:val="ro-RO"/>
        </w:rPr>
      </w:pPr>
      <w:r w:rsidRPr="008C6A37">
        <w:rPr>
          <w:lang w:val="ro-RO"/>
        </w:rPr>
        <w:t>Elaborarea strategiei s-a realizat în concordanță cu legislația în vigoare, respectiv Hotărârea de Guvern nr. 379/2022 privind aprobarea metodologiei de elaborare, implementare, monitorizare, evaluare și actualizare a strategiilor guvernamentale. Astfel, elaborarea acestei strategii este fundamentată pe următoarele principii:</w:t>
      </w:r>
    </w:p>
    <w:p w14:paraId="16EC4F0A" w14:textId="77777777" w:rsidR="00670FD4" w:rsidRPr="008C6A37" w:rsidRDefault="00670FD4" w:rsidP="00670FD4">
      <w:pPr>
        <w:ind w:firstLine="567"/>
        <w:rPr>
          <w:lang w:val="ro-RO"/>
        </w:rPr>
      </w:pPr>
      <w:r w:rsidRPr="008C6A37">
        <w:rPr>
          <w:lang w:val="ro-RO"/>
        </w:rPr>
        <w:t>- principiul participării care se referă la procesele consultative ce implică autorități ale administrației publice centrale și/sau locale, organizații neguvernamentale, parteneri sociali, asociaţii profesionale, reprezentanţi ai sectorului privat;</w:t>
      </w:r>
    </w:p>
    <w:p w14:paraId="02A0DD7F" w14:textId="77777777" w:rsidR="00670FD4" w:rsidRPr="008C6A37" w:rsidRDefault="00670FD4" w:rsidP="00670FD4">
      <w:pPr>
        <w:ind w:firstLine="567"/>
        <w:rPr>
          <w:lang w:val="ro-RO"/>
        </w:rPr>
      </w:pPr>
      <w:r w:rsidRPr="008C6A37">
        <w:rPr>
          <w:lang w:val="ro-RO"/>
        </w:rPr>
        <w:t>- principiul responsabilității se referă la asumarea de către autoritatea inițiatoare (MMAP) a unui set explicit de rezultate în cadrul unei alocări bugetare definite într-o perioadă de timp specificată;</w:t>
      </w:r>
    </w:p>
    <w:p w14:paraId="705E00B7" w14:textId="77777777" w:rsidR="00670FD4" w:rsidRPr="008C6A37" w:rsidRDefault="00670FD4" w:rsidP="00670FD4">
      <w:pPr>
        <w:ind w:firstLine="567"/>
        <w:rPr>
          <w:lang w:val="ro-RO"/>
        </w:rPr>
      </w:pPr>
      <w:r w:rsidRPr="008C6A37">
        <w:rPr>
          <w:lang w:val="ro-RO"/>
        </w:rPr>
        <w:t>- principiul fundamentării ce asigură folosirea unor date/informații concrete, reale și validate în procesele de documentare și analize care preced elaborarea strategiilor;</w:t>
      </w:r>
    </w:p>
    <w:p w14:paraId="614E536F" w14:textId="77777777" w:rsidR="00670FD4" w:rsidRPr="008C6A37" w:rsidRDefault="00670FD4" w:rsidP="00670FD4">
      <w:pPr>
        <w:ind w:firstLine="567"/>
        <w:rPr>
          <w:lang w:val="ro-RO"/>
        </w:rPr>
      </w:pPr>
      <w:r w:rsidRPr="008C6A37">
        <w:rPr>
          <w:lang w:val="ro-RO"/>
        </w:rPr>
        <w:t>- principiul sustenabilității se referă la ansamblul acțiunilor și deciziilor inițiatorilor care contribuie la îndeplinirea obiectivelor Agendei 2030 pentru dezvoltare durabilă;</w:t>
      </w:r>
    </w:p>
    <w:p w14:paraId="14E3A9E9" w14:textId="77777777" w:rsidR="00670FD4" w:rsidRPr="008C6A37" w:rsidRDefault="00670FD4" w:rsidP="00670FD4">
      <w:pPr>
        <w:ind w:firstLine="567"/>
        <w:rPr>
          <w:lang w:val="ro-RO"/>
        </w:rPr>
      </w:pPr>
      <w:r w:rsidRPr="008C6A37">
        <w:rPr>
          <w:lang w:val="ro-RO"/>
        </w:rPr>
        <w:t>- principiul predictibilității se referă la acțiunile și deciziile inițiatorilor privind politicile publice și alocările bugetare stabilite în cadrul bugetar pe termen mediu și care contribuie la implementarea obiectivelor strategice și la obținerea rezultatelor asumate;</w:t>
      </w:r>
    </w:p>
    <w:p w14:paraId="7CFA0849" w14:textId="77777777" w:rsidR="00670FD4" w:rsidRPr="008C6A37" w:rsidRDefault="00670FD4" w:rsidP="00670FD4">
      <w:pPr>
        <w:ind w:firstLine="567"/>
        <w:rPr>
          <w:lang w:val="ro-RO"/>
        </w:rPr>
      </w:pPr>
      <w:r w:rsidRPr="008C6A37">
        <w:rPr>
          <w:lang w:val="ro-RO"/>
        </w:rPr>
        <w:t>- principiul transparenței - respectarea informării publicului, asigurarea accesului la informații conform prevederilor legale, precum și consultarea societății civile în luarea deciziilor privind dezvoltarea de politici de mediu, a legislaţiei şi reglementărilor privind mediul şi emiterea de acorduri, autorizații  şi avize de mediu.</w:t>
      </w:r>
    </w:p>
    <w:p w14:paraId="1F1CE503" w14:textId="77777777" w:rsidR="00670FD4" w:rsidRPr="008C6A37" w:rsidRDefault="00670FD4" w:rsidP="00670FD4">
      <w:pPr>
        <w:ind w:firstLine="567"/>
        <w:rPr>
          <w:lang w:val="ro-RO"/>
        </w:rPr>
      </w:pPr>
      <w:r w:rsidRPr="008C6A37">
        <w:rPr>
          <w:lang w:val="ro-RO"/>
        </w:rPr>
        <w:t xml:space="preserve">Elaborarea Strategiei a urmărit asigurarea concordanței depline între viziune, obiective general și cele specifice, respectiv furnizarea unui document realist, actual, fundamentat tehnic și corelat cu alte documente de planificare strategice. Strategia a fost elaborată în mai multe etape distincte, derulate complementar și succesiv. Au fost elaborate cinci livrabile, primele două constituind suportul pe care a fost elaborată strategia. </w:t>
      </w:r>
    </w:p>
    <w:p w14:paraId="328A6DBF" w14:textId="77777777" w:rsidR="00670FD4" w:rsidRPr="008C6A37" w:rsidRDefault="00670FD4" w:rsidP="00670FD4">
      <w:pPr>
        <w:ind w:firstLine="567"/>
        <w:rPr>
          <w:lang w:val="ro-RO"/>
        </w:rPr>
      </w:pPr>
      <w:r w:rsidRPr="008C6A37">
        <w:rPr>
          <w:lang w:val="ro-RO"/>
        </w:rPr>
        <w:lastRenderedPageBreak/>
        <w:t xml:space="preserve">Astfel, în Livrabilul 1 au fost prezentate aspecte privind starea actuală a zonei costiere (delimitarea zonei costiere, cadrul natural, starea actuală a calității mediului, biodiversității, patrimoniului cultural și peisajului, planificării teritoriale și a resurselor, starea actuală și tendințele referitoare la aspecte socio-demografice și economice, precum și principalele presiuni antropice și naturale din zona costieră și impactul acestora) și identificate principalele probleme cheie, vulnerabilitățile și nevoile în zona costieră. Tot în cadrul Livrabilului 1 au fost definite viziunea și obiectivele strategice și, de asemenea, analizate o serie de documente naționale adoptate sau aflate în curs de actualizare sau aprobare, ale căror principii, obiective și acțiuni sunt în concordanță cu Viziunea și Obiectivele Strategice definite anterior. </w:t>
      </w:r>
    </w:p>
    <w:p w14:paraId="03A10112" w14:textId="77777777" w:rsidR="00670FD4" w:rsidRPr="008C6A37" w:rsidRDefault="00670FD4" w:rsidP="00670FD4">
      <w:pPr>
        <w:ind w:firstLine="567"/>
        <w:rPr>
          <w:lang w:val="ro-RO"/>
        </w:rPr>
      </w:pPr>
      <w:r w:rsidRPr="008C6A37">
        <w:rPr>
          <w:lang w:val="ro-RO"/>
        </w:rPr>
        <w:t xml:space="preserve">Cel de-al doilea document suport, respectiv Livrabilului 2, conține informații referitoare la cadrul instituțional și legislativ, planul de acțiune al strategiei, cu descrierea acțiunilor propuse grupate în șase direcții de acțiune și monitorizare și evaluarea implementării strategiei. </w:t>
      </w:r>
    </w:p>
    <w:p w14:paraId="52B2CA5B" w14:textId="77777777" w:rsidR="00670FD4" w:rsidRPr="008C6A37" w:rsidRDefault="00670FD4" w:rsidP="00670FD4">
      <w:pPr>
        <w:ind w:firstLine="567"/>
        <w:rPr>
          <w:lang w:val="ro-RO"/>
        </w:rPr>
      </w:pPr>
      <w:r w:rsidRPr="008C6A37">
        <w:rPr>
          <w:lang w:val="ro-RO"/>
        </w:rPr>
        <w:t xml:space="preserve">În baza celor două documente suport a fost elaborată varianta draft a Strategiei, documentul a fost prezentat în cadrul a două evenimente publice </w:t>
      </w:r>
      <w:r w:rsidRPr="00074D16">
        <w:rPr>
          <w:lang w:val="ro-RO"/>
        </w:rPr>
        <w:t>(Ziua Internațională a Mării Negre 2023, Constanța, și Eveniment dedicat Zilei Mondiale a Urbanismului 2023, la Unive</w:t>
      </w:r>
      <w:r>
        <w:rPr>
          <w:lang w:val="ro-RO"/>
        </w:rPr>
        <w:t>rsitatea Ovidius din Constanța)</w:t>
      </w:r>
      <w:r w:rsidRPr="008C6A37">
        <w:rPr>
          <w:lang w:val="ro-RO"/>
        </w:rPr>
        <w:t xml:space="preserve">, iar observațiile și comentariile factorilor interesați au fost analizate și incluse, după caz, în varianta draft consolidată a Strategiei. Ulterior procesului de evaluare strategică de mediu va fi definitivată forma finală a Strategiei naționale privind gospodărirea integrată a zonei costiere, care va fi supusă avizării interinstituționale, urmând să fie aprobată prin act normativ de către Guvernul României.        </w:t>
      </w:r>
    </w:p>
    <w:p w14:paraId="3009F574" w14:textId="77777777" w:rsidR="00670FD4" w:rsidRPr="008C6A37" w:rsidRDefault="00670FD4" w:rsidP="00670FD4">
      <w:pPr>
        <w:ind w:firstLine="567"/>
        <w:rPr>
          <w:b/>
          <w:i/>
          <w:lang w:val="ro-RO"/>
        </w:rPr>
      </w:pPr>
      <w:r w:rsidRPr="008C6A37">
        <w:rPr>
          <w:b/>
          <w:i/>
          <w:lang w:val="ro-RO"/>
        </w:rPr>
        <w:t>Instituțiile implicate în elaborarea Strategiei</w:t>
      </w:r>
    </w:p>
    <w:p w14:paraId="091A284E" w14:textId="77777777" w:rsidR="00670FD4" w:rsidRPr="008C6A37" w:rsidRDefault="00670FD4" w:rsidP="00670FD4">
      <w:pPr>
        <w:ind w:firstLine="567"/>
        <w:rPr>
          <w:lang w:val="ro-RO"/>
        </w:rPr>
      </w:pPr>
      <w:r w:rsidRPr="008C6A37">
        <w:rPr>
          <w:lang w:val="ro-RO"/>
        </w:rPr>
        <w:t>Livrabilele și conținutul strategiei au fost dezvoltate în cadrul proiectului „Îmbunătățirea capacității autorității publice centrale în domeniul protecției mediului marin în ceea ce privește monitorizarea, evaluarea, planificarea, implementarea și raportarea cerințelor stabilite în Directiva Cadru privind Strategia Marină pentru Mediul Marin și pentru gospodărirea integrată a zonei costiere”, cod SIPOCA 608 / MySmis 127598,</w:t>
      </w:r>
      <w:r w:rsidRPr="008C6A37">
        <w:rPr>
          <w:b/>
          <w:lang w:val="ro-RO"/>
        </w:rPr>
        <w:t xml:space="preserve"> </w:t>
      </w:r>
      <w:r w:rsidRPr="008C6A37">
        <w:rPr>
          <w:lang w:val="ro-RO"/>
        </w:rPr>
        <w:t xml:space="preserve">implementat de către Ministerul Mediului, Apelor și Pădurilor (MMAP) în calitate de Lider, având ca partener Administrația Națională ,,Apele Române” (ANAR) și Institutul Național de Cercetare și Dezvoltare Marină “Grigore Antipa”, Constanța. </w:t>
      </w:r>
    </w:p>
    <w:p w14:paraId="4B88DE8D" w14:textId="77777777" w:rsidR="00670FD4" w:rsidRPr="008C6A37" w:rsidRDefault="00670FD4" w:rsidP="00670FD4">
      <w:pPr>
        <w:ind w:firstLine="567"/>
        <w:rPr>
          <w:lang w:val="ro-RO"/>
        </w:rPr>
      </w:pPr>
      <w:r w:rsidRPr="008C6A37">
        <w:rPr>
          <w:lang w:val="ro-RO"/>
        </w:rPr>
        <w:t>În cadrul acestui proiect, Ministerul Mediului, Apelor și Pădurilor a lansat procedura de achiziție servicii de consultanță și expertiză tehnică în vederea Elaborării Strategiei Naționale privind gospodărirea integrată a zonei costiere și a Planului de Management Integrat al zonei costiere. Câștigătoarea acestei proceduri de achiziție a fost declarată asocierea dintre Institutul Național de Cercetare-Dezvoltare pentru Geologie și Geoecologie Marină – GeoEcoMar, București (lider al asocierii) și Universitatea Ovidius Constanța.</w:t>
      </w:r>
    </w:p>
    <w:p w14:paraId="5CCE9320" w14:textId="77777777" w:rsidR="00670FD4" w:rsidRPr="00A92A31" w:rsidRDefault="00670FD4" w:rsidP="00670FD4">
      <w:pPr>
        <w:spacing w:before="0"/>
        <w:ind w:firstLine="0"/>
        <w:rPr>
          <w:sz w:val="28"/>
          <w:lang w:val="ro-RO"/>
        </w:rPr>
      </w:pPr>
    </w:p>
    <w:p w14:paraId="7BEF0C89" w14:textId="77777777" w:rsidR="00670FD4" w:rsidRPr="0033469D" w:rsidRDefault="00670FD4" w:rsidP="00670FD4">
      <w:pPr>
        <w:pStyle w:val="Heading2"/>
      </w:pPr>
      <w:bookmarkStart w:id="4" w:name="_Toc150247006"/>
      <w:bookmarkStart w:id="5" w:name="_Toc171084802"/>
      <w:r w:rsidRPr="0033469D">
        <w:t xml:space="preserve">1.2 Prioritățile, politicile și </w:t>
      </w:r>
      <w:r w:rsidRPr="005D2CE5">
        <w:t>cadrul</w:t>
      </w:r>
      <w:r w:rsidRPr="0033469D">
        <w:t xml:space="preserve"> legal existente</w:t>
      </w:r>
      <w:bookmarkEnd w:id="4"/>
      <w:bookmarkEnd w:id="5"/>
      <w:r w:rsidRPr="0033469D">
        <w:t> </w:t>
      </w:r>
    </w:p>
    <w:p w14:paraId="1CC0E2C7" w14:textId="77777777" w:rsidR="00670FD4" w:rsidRPr="008C6A37" w:rsidRDefault="00670FD4" w:rsidP="00670FD4">
      <w:pPr>
        <w:ind w:firstLine="567"/>
        <w:rPr>
          <w:lang w:val="ro-RO"/>
        </w:rPr>
      </w:pPr>
      <w:r w:rsidRPr="008C6A37">
        <w:rPr>
          <w:lang w:val="ro-RO"/>
        </w:rPr>
        <w:t xml:space="preserve">Prioritățile identificate pentru dezvoltarea sustenabilă a zonei costiere, în concordanță cu cele generale naționale, sunt: </w:t>
      </w:r>
    </w:p>
    <w:p w14:paraId="2EC89B46" w14:textId="77777777" w:rsidR="00670FD4" w:rsidRPr="008C6A37" w:rsidRDefault="00670FD4" w:rsidP="00670FD4">
      <w:pPr>
        <w:ind w:firstLine="567"/>
        <w:rPr>
          <w:lang w:val="ro-RO"/>
        </w:rPr>
      </w:pPr>
      <w:r w:rsidRPr="008C6A37">
        <w:rPr>
          <w:lang w:val="ro-RO"/>
        </w:rPr>
        <w:lastRenderedPageBreak/>
        <w:t>- protecția mediului costier, pe baza unei abordări ecosistemice, pentru păstrarea integrității acestuia și gestionarea durabilă a resurselor naturale ale zonei de coastă, atât a celor marine, cât și a celor terestre;</w:t>
      </w:r>
    </w:p>
    <w:p w14:paraId="60F9A1FF" w14:textId="77777777" w:rsidR="00670FD4" w:rsidRPr="008C6A37" w:rsidRDefault="00670FD4" w:rsidP="00670FD4">
      <w:pPr>
        <w:ind w:firstLine="567"/>
        <w:rPr>
          <w:lang w:val="ro-RO"/>
        </w:rPr>
      </w:pPr>
      <w:r w:rsidRPr="008C6A37">
        <w:rPr>
          <w:lang w:val="ro-RO"/>
        </w:rPr>
        <w:t>- recunoașterea amenințării schimbărilor climatice asupra zonelor costiere și a pericolelor pe care le implică acestea, respectiv creșterea nivelului mării și a frecvenței și intensității fenomenelor extreme (furtuni, inundații, secetă, etc);</w:t>
      </w:r>
    </w:p>
    <w:p w14:paraId="63C89E1C" w14:textId="77777777" w:rsidR="00670FD4" w:rsidRPr="008C6A37" w:rsidRDefault="00670FD4" w:rsidP="00670FD4">
      <w:pPr>
        <w:ind w:firstLine="567"/>
        <w:rPr>
          <w:lang w:val="ro-RO"/>
        </w:rPr>
      </w:pPr>
      <w:r w:rsidRPr="008C6A37">
        <w:rPr>
          <w:lang w:val="ro-RO"/>
        </w:rPr>
        <w:t>- măsuri adecvate și responsabile, din punct de vedere ecologic, de protecție a litoralului, inclusiv protecția așezărilor de coastă și a moștenirii lor culturale;</w:t>
      </w:r>
    </w:p>
    <w:p w14:paraId="22667649" w14:textId="77777777" w:rsidR="00670FD4" w:rsidRPr="008C6A37" w:rsidRDefault="00670FD4" w:rsidP="00670FD4">
      <w:pPr>
        <w:ind w:firstLine="567"/>
        <w:rPr>
          <w:lang w:val="ro-RO"/>
        </w:rPr>
      </w:pPr>
      <w:r w:rsidRPr="008C6A37">
        <w:rPr>
          <w:lang w:val="ro-RO"/>
        </w:rPr>
        <w:t>- dezvoltarea economică sustenabilă și creșterea numărului de locuri de muncă;</w:t>
      </w:r>
    </w:p>
    <w:p w14:paraId="4FD48764" w14:textId="77777777" w:rsidR="00670FD4" w:rsidRPr="008C6A37" w:rsidRDefault="00670FD4" w:rsidP="00670FD4">
      <w:pPr>
        <w:ind w:firstLine="567"/>
        <w:rPr>
          <w:lang w:val="ro-RO"/>
        </w:rPr>
      </w:pPr>
      <w:r w:rsidRPr="008C6A37">
        <w:rPr>
          <w:lang w:val="ro-RO"/>
        </w:rPr>
        <w:t>- un sistem social și cultural funcțional în comunitățile locale;</w:t>
      </w:r>
    </w:p>
    <w:p w14:paraId="275ADC00" w14:textId="77777777" w:rsidR="00670FD4" w:rsidRPr="008C6A37" w:rsidRDefault="00670FD4" w:rsidP="00670FD4">
      <w:pPr>
        <w:ind w:firstLine="567"/>
        <w:rPr>
          <w:lang w:val="ro-RO"/>
        </w:rPr>
      </w:pPr>
      <w:r w:rsidRPr="008C6A37">
        <w:rPr>
          <w:lang w:val="ro-RO"/>
        </w:rPr>
        <w:t>- crearea de spații  recreative accesibile publicului, cât și de peisaje cu valoare  estetică;</w:t>
      </w:r>
    </w:p>
    <w:p w14:paraId="63B6A937" w14:textId="77777777" w:rsidR="00670FD4" w:rsidRPr="008C6A37" w:rsidRDefault="00670FD4" w:rsidP="00670FD4">
      <w:pPr>
        <w:ind w:firstLine="567"/>
        <w:rPr>
          <w:lang w:val="ro-RO"/>
        </w:rPr>
      </w:pPr>
      <w:r w:rsidRPr="008C6A37">
        <w:rPr>
          <w:lang w:val="ro-RO"/>
        </w:rPr>
        <w:t>- în cazul comunităților de coastă izolate, trebuie asigurat accesul la serviciile de bază;</w:t>
      </w:r>
    </w:p>
    <w:p w14:paraId="71868C2D" w14:textId="77777777" w:rsidR="00670FD4" w:rsidRPr="00DC18E4" w:rsidRDefault="00670FD4" w:rsidP="00670FD4">
      <w:pPr>
        <w:ind w:firstLine="567"/>
        <w:rPr>
          <w:lang w:val="ro-RO"/>
        </w:rPr>
      </w:pPr>
      <w:r w:rsidRPr="008C6A37">
        <w:rPr>
          <w:lang w:val="ro-RO"/>
        </w:rPr>
        <w:t>- îmbunătățirea coordonării acțiunilor întreprinse de către toate autoritățile cu atribuții atât pe mare, cât și pe uscat, în vederea gestionarii interacțiunii mare-uscat.</w:t>
      </w:r>
    </w:p>
    <w:p w14:paraId="51BC9B73" w14:textId="77777777" w:rsidR="00670FD4" w:rsidRPr="00DC18E4" w:rsidRDefault="00670FD4" w:rsidP="00670FD4">
      <w:pPr>
        <w:ind w:firstLine="567"/>
        <w:rPr>
          <w:lang w:val="ro-RO"/>
        </w:rPr>
      </w:pPr>
      <w:r w:rsidRPr="00DC18E4">
        <w:rPr>
          <w:b/>
          <w:i/>
          <w:lang w:val="ro-RO"/>
        </w:rPr>
        <w:t>Cadrul de politici și legislativ european</w:t>
      </w:r>
      <w:r w:rsidRPr="00DC18E4">
        <w:rPr>
          <w:lang w:val="ro-RO"/>
        </w:rPr>
        <w:t xml:space="preserve"> ce influențează strategia națională privind g</w:t>
      </w:r>
      <w:r>
        <w:rPr>
          <w:lang w:val="ro-RO"/>
        </w:rPr>
        <w:t>ospodărirea</w:t>
      </w:r>
      <w:r w:rsidRPr="00DC18E4">
        <w:rPr>
          <w:lang w:val="ro-RO"/>
        </w:rPr>
        <w:t xml:space="preserve"> integrată a zonei costiere:</w:t>
      </w:r>
    </w:p>
    <w:p w14:paraId="4BA4636B" w14:textId="77777777" w:rsidR="00670FD4" w:rsidRPr="008C6A37" w:rsidRDefault="00670FD4" w:rsidP="00670FD4">
      <w:pPr>
        <w:ind w:firstLine="567"/>
        <w:rPr>
          <w:lang w:val="ro-RO"/>
        </w:rPr>
      </w:pPr>
      <w:r w:rsidRPr="008C6A37">
        <w:rPr>
          <w:b/>
          <w:i/>
          <w:lang w:val="ro-RO"/>
        </w:rPr>
        <w:t xml:space="preserve">Directiva 2000/60/CE a Parlamentului European și a Consiliului din 23 octombrie 2000 de stabilire a unui cadru de politică comunitară în domeniul apei </w:t>
      </w:r>
      <w:r w:rsidRPr="008C6A37">
        <w:rPr>
          <w:lang w:val="ro-RO"/>
        </w:rPr>
        <w:t>asigură stabilirea unor norme pentru stoparea deteriorării stării corpurilor de apă din UE și pentru obținerea și / sau menținerea unei stări  bune a corpurilor de apă (ape de suprafață: râuri, lacuri, ape tranzitorii și ape costiere), precum și a corpurilor de apă  subterană din Europa. Directiva se bazează pe o abordare de district (bazin) hidrografic pentru a se asigura că țările vecine cooperează pentru a gestiona râurile și alte corpurile de apă subterane cu caracter transfrontalier - aflată în proces de implementare ciclică, începând cu anul 2000;</w:t>
      </w:r>
    </w:p>
    <w:p w14:paraId="7C86D523" w14:textId="77777777" w:rsidR="00670FD4" w:rsidRPr="008C6A37" w:rsidRDefault="00670FD4" w:rsidP="00670FD4">
      <w:pPr>
        <w:ind w:firstLine="567"/>
        <w:rPr>
          <w:lang w:val="ro-RO"/>
        </w:rPr>
      </w:pPr>
      <w:r w:rsidRPr="008C6A37">
        <w:rPr>
          <w:b/>
          <w:i/>
          <w:lang w:val="ro-RO"/>
        </w:rPr>
        <w:t xml:space="preserve">Directiva 2008/56/CE a Parlamentului European și a Consiliului din 17 iunie 2008 de instituire a unui cadru de acțiune comunitară în domeniul politicii privind mediul marin (Directiva Cadru privind Strategia pentru Mediul Marin) </w:t>
      </w:r>
      <w:r w:rsidRPr="008C6A37">
        <w:rPr>
          <w:lang w:val="ro-RO"/>
        </w:rPr>
        <w:t>stabilește o abordare și obiective comune ale Uniunii Europene (UE) pentru prevenirea, protecția și conservarea mediului marin, având în vedere presiunile și impactul activităților umane dăunătoare, permițând în același timp utilizarea durabilă a acestuia, prin intermediul unei abordări ecosistemice;</w:t>
      </w:r>
    </w:p>
    <w:p w14:paraId="5BAB94AD" w14:textId="77777777" w:rsidR="00670FD4" w:rsidRPr="008C6A37" w:rsidRDefault="00670FD4" w:rsidP="00670FD4">
      <w:pPr>
        <w:ind w:firstLine="567"/>
        <w:rPr>
          <w:lang w:val="ro-RO"/>
        </w:rPr>
      </w:pPr>
      <w:r w:rsidRPr="008C6A37">
        <w:rPr>
          <w:b/>
          <w:i/>
          <w:lang w:val="ro-RO"/>
        </w:rPr>
        <w:t xml:space="preserve">Directiva 2013/39/UE a Parlamentului European și a Consiliului din 12 august 2013 de modificare a Directivelor 2000/60/CE și 2008/105/CE în ceea ce privește substanțele prioritare din domeniul politicii apei </w:t>
      </w:r>
      <w:r w:rsidRPr="008C6A37">
        <w:rPr>
          <w:lang w:val="ro-RO"/>
        </w:rPr>
        <w:t>prin care este extinsă</w:t>
      </w:r>
      <w:r w:rsidRPr="008C6A37">
        <w:rPr>
          <w:b/>
          <w:i/>
          <w:lang w:val="ro-RO"/>
        </w:rPr>
        <w:t xml:space="preserve"> </w:t>
      </w:r>
      <w:r w:rsidRPr="008C6A37">
        <w:rPr>
          <w:lang w:val="ro-RO"/>
        </w:rPr>
        <w:t xml:space="preserve">lista de substanțelor prioritare la nivel comunitar; </w:t>
      </w:r>
    </w:p>
    <w:p w14:paraId="60739F84" w14:textId="77777777" w:rsidR="00670FD4" w:rsidRPr="008C6A37" w:rsidRDefault="00670FD4" w:rsidP="00670FD4">
      <w:pPr>
        <w:ind w:firstLine="567"/>
        <w:rPr>
          <w:lang w:val="ro-RO"/>
        </w:rPr>
      </w:pPr>
      <w:r w:rsidRPr="008C6A37">
        <w:rPr>
          <w:b/>
          <w:i/>
          <w:lang w:val="ro-RO"/>
        </w:rPr>
        <w:t xml:space="preserve">Directiva 92/43/CEE din 21 mai 1992 privind conservarea habitatelor naturale și a speciilor de floră și faună sălbatice </w:t>
      </w:r>
      <w:r w:rsidRPr="008C6A37">
        <w:rPr>
          <w:lang w:val="ro-RO"/>
        </w:rPr>
        <w:t>are ca scop asigurarea menţinerii sau restabilirii unei stări favorabile de conservare a diversităţii biologice europene, prin stabilirea măsurilor specifice atât habitatelor naturale, cât şi speciilor sălbatice de floră şi faună, ţinând cont de exigenţele economice, sociale şi culturale ale statelor membre;</w:t>
      </w:r>
    </w:p>
    <w:p w14:paraId="4EBB6FA8" w14:textId="77777777" w:rsidR="00670FD4" w:rsidRPr="008C6A37" w:rsidRDefault="00670FD4" w:rsidP="00670FD4">
      <w:pPr>
        <w:ind w:firstLine="567"/>
        <w:rPr>
          <w:lang w:val="ro-RO"/>
        </w:rPr>
      </w:pPr>
      <w:r w:rsidRPr="008C6A37">
        <w:rPr>
          <w:b/>
          <w:i/>
          <w:lang w:val="ro-RO"/>
        </w:rPr>
        <w:lastRenderedPageBreak/>
        <w:t xml:space="preserve">Directiva 2009/147/CE a Parlamentului European și a Consiliului din 30 noiembrie 2009 privind conservarea păsărilor sălbatice </w:t>
      </w:r>
      <w:r w:rsidRPr="008C6A37">
        <w:rPr>
          <w:lang w:val="ro-RO"/>
        </w:rPr>
        <w:t>reglementează protejarea, gestionarea și controlul asupra tuturor speciilor de păsări care se găsesc în stare sălbatică pe teritoriul european al statelor membre și stabilește normele pentru exploatarea acestora, aplicându-se atât păsărilor, precum și ouălor, cuiburilor și habitatelor acestora;</w:t>
      </w:r>
    </w:p>
    <w:p w14:paraId="07B75EAB" w14:textId="77777777" w:rsidR="00670FD4" w:rsidRPr="008C6A37" w:rsidRDefault="00670FD4" w:rsidP="00670FD4">
      <w:pPr>
        <w:ind w:firstLine="567"/>
        <w:rPr>
          <w:lang w:val="ro-RO"/>
        </w:rPr>
      </w:pPr>
      <w:r w:rsidRPr="008C6A37">
        <w:rPr>
          <w:b/>
          <w:i/>
          <w:lang w:val="ro-RO"/>
        </w:rPr>
        <w:t xml:space="preserve">Directiva Consiliului din 21 mai 1991 privind tratarea apelor urbane reziduale (91/274/CEE) </w:t>
      </w:r>
      <w:r w:rsidRPr="008C6A37">
        <w:rPr>
          <w:lang w:val="ro-RO"/>
        </w:rPr>
        <w:t>are scopul de a proteja mediul acvatic din Uniunea Europeană de efectele adverse (precum eutrofizarea) ale apelor urbane reziduale;</w:t>
      </w:r>
    </w:p>
    <w:p w14:paraId="20B78969" w14:textId="77777777" w:rsidR="00670FD4" w:rsidRPr="008C6A37" w:rsidRDefault="00670FD4" w:rsidP="00670FD4">
      <w:pPr>
        <w:ind w:firstLine="567"/>
        <w:rPr>
          <w:lang w:val="ro-RO"/>
        </w:rPr>
      </w:pPr>
      <w:r w:rsidRPr="008C6A37">
        <w:rPr>
          <w:b/>
          <w:i/>
          <w:lang w:val="ro-RO"/>
        </w:rPr>
        <w:t>Directiva 2010/75/UE a Parlamentului European și a Consiliului din 24  noiembrie 2010 privind emisiile industriale</w:t>
      </w:r>
      <w:r w:rsidRPr="008C6A37">
        <w:rPr>
          <w:lang w:val="ro-RO"/>
        </w:rPr>
        <w:t xml:space="preserve"> acoperă ca zonă de reglementare mai multe directive, adunând într-un singur instrument legislativ clar şi coerent un set de norme comune pentru autorizarea şi controlul instalaţiilor industriale. Directiva are drept scop reducerea emisiilor industriale de pe teritoriul Uniunii Europene, cu precădere printr-o mai bună aplicare a celor mai bune tehnici disponibile;</w:t>
      </w:r>
    </w:p>
    <w:p w14:paraId="3C1F38F7" w14:textId="77777777" w:rsidR="00670FD4" w:rsidRPr="008C6A37" w:rsidRDefault="00670FD4" w:rsidP="00670FD4">
      <w:pPr>
        <w:ind w:firstLine="567"/>
        <w:rPr>
          <w:lang w:val="ro-RO"/>
        </w:rPr>
      </w:pPr>
      <w:hyperlink r:id="rId9">
        <w:r w:rsidRPr="00074D16">
          <w:rPr>
            <w:rStyle w:val="Hyperlink"/>
            <w:b/>
            <w:i/>
            <w:color w:val="auto"/>
            <w:u w:val="none"/>
            <w:lang w:val="ro-RO"/>
          </w:rPr>
          <w:t>Directiva 91/676/CEE a  Consiliului din 12 decembrie 1991 privind protecția apelor împotriva poluării cu nitrați proveniți din surse agricole</w:t>
        </w:r>
      </w:hyperlink>
      <w:r w:rsidRPr="008C6A37">
        <w:rPr>
          <w:b/>
          <w:i/>
          <w:lang w:val="ro-RO"/>
        </w:rPr>
        <w:t xml:space="preserve"> </w:t>
      </w:r>
      <w:r w:rsidRPr="008C6A37">
        <w:rPr>
          <w:lang w:val="ro-RO"/>
        </w:rPr>
        <w:t>face parte integrantă din Directiva-cadru privind Apa și este strâns legată de alte politici ale UE care vizează calitatea aerului, schimbările climatice și agricultura. Această directivă vizează reducerea poluării apei cu nitrați utilizați în scopuri agricole și prevenirea oricărei poluări în viitor;</w:t>
      </w:r>
    </w:p>
    <w:p w14:paraId="14D941F0" w14:textId="77777777" w:rsidR="00670FD4" w:rsidRPr="008C6A37" w:rsidRDefault="00670FD4" w:rsidP="00670FD4">
      <w:pPr>
        <w:ind w:firstLine="567"/>
        <w:rPr>
          <w:lang w:val="ro-RO"/>
        </w:rPr>
      </w:pPr>
      <w:r w:rsidRPr="008C6A37">
        <w:rPr>
          <w:b/>
          <w:i/>
          <w:lang w:val="ro-RO"/>
        </w:rPr>
        <w:t xml:space="preserve">Directiva 2006/7/CE a Parlamentului European și a Consiliului din 15 februarie 2006 privind gestionarea calității apei pentru scăldat </w:t>
      </w:r>
      <w:r w:rsidRPr="008C6A37">
        <w:rPr>
          <w:lang w:val="ro-RO"/>
        </w:rPr>
        <w:t>are ca scop conservarea, protejarea și îmbunătățirea calității mediului, precum și protejarea sănătății oamenilor, prin completarea Directivei 2000/60/CE. Directiva se aplică oricărui element al apelor de suprafață unde autoritatea competentă preconizează un număr mare de oameni la scăldat și în care nu a impus o interdicție permanentă sau nu a emis o recomandare permanentă împotriva scăldatului;</w:t>
      </w:r>
    </w:p>
    <w:p w14:paraId="6DC33E5F" w14:textId="77777777" w:rsidR="00670FD4" w:rsidRPr="008C6A37" w:rsidRDefault="00670FD4" w:rsidP="00670FD4">
      <w:pPr>
        <w:ind w:firstLine="567"/>
        <w:rPr>
          <w:lang w:val="ro-RO"/>
        </w:rPr>
      </w:pPr>
      <w:r w:rsidRPr="008C6A37">
        <w:rPr>
          <w:b/>
          <w:i/>
          <w:lang w:val="ro-RO"/>
        </w:rPr>
        <w:t>Pactul Verde European</w:t>
      </w:r>
      <w:r w:rsidRPr="008C6A37">
        <w:rPr>
          <w:lang w:val="ro-RO"/>
        </w:rPr>
        <w:t xml:space="preserve"> (intrat în vigoare în decembrie 2019) urmărește transformarea UE într-o economie eficientă din punct de vedere al utilizării resurselor, asigurând: zero emisii nete de gaze cu efect de seră până în 2050 și o creștere economică sustenabilă în ceea ce privește utilizarea resurselor;</w:t>
      </w:r>
    </w:p>
    <w:p w14:paraId="763CA677" w14:textId="77777777" w:rsidR="00670FD4" w:rsidRPr="008C6A37" w:rsidRDefault="00670FD4" w:rsidP="00670FD4">
      <w:pPr>
        <w:ind w:firstLine="567"/>
        <w:rPr>
          <w:lang w:val="ro-RO"/>
        </w:rPr>
      </w:pPr>
      <w:r w:rsidRPr="008C6A37">
        <w:rPr>
          <w:b/>
          <w:i/>
          <w:lang w:val="ro-RO"/>
        </w:rPr>
        <w:t>Planul de acțiune pentru poluare zero</w:t>
      </w:r>
      <w:r w:rsidRPr="008C6A37">
        <w:rPr>
          <w:lang w:val="ro-RO"/>
        </w:rPr>
        <w:t xml:space="preserve"> urmărește ca poluarea aerului, a apei și a solului să fie redusă la niveluri care să nu mai fie considerate dăunătoare pentru sănătate și pentru ecosistemele naturale și care să respecte limitele la care planeta noastră poate face față, creând astfel un mediu fără substanțe toxice. Acest plan a fost adoptat în 2021 și în cazul componentei apă se dorește îmbunătățirea calității acesteia prin reducerea deșeurilor, a deșeurilor de plastic în mări (50%) și a microplasticelor eliberate în mediul înconjurător (30%);</w:t>
      </w:r>
    </w:p>
    <w:p w14:paraId="0FCB0910" w14:textId="77777777" w:rsidR="00670FD4" w:rsidRPr="008C6A37" w:rsidRDefault="00670FD4" w:rsidP="00670FD4">
      <w:pPr>
        <w:ind w:firstLine="567"/>
        <w:rPr>
          <w:lang w:val="ro-RO"/>
        </w:rPr>
      </w:pPr>
      <w:r w:rsidRPr="008C6A37">
        <w:rPr>
          <w:b/>
          <w:i/>
          <w:lang w:val="ro-RO"/>
        </w:rPr>
        <w:t>Strategia UE privind biodiversitatea pentru 2030</w:t>
      </w:r>
      <w:r w:rsidRPr="008C6A37">
        <w:rPr>
          <w:lang w:val="ro-RO"/>
        </w:rPr>
        <w:t xml:space="preserve"> - reprezintă un set de măsuri și directive, menite să restabilească, protejeze și promoveze biodiversitatea, ca o condiție cheie pentru existența civilizației umane, reducerea riscurilor climatice, economice etc. Printre obiectivele principale sunt enumerate: protecția legală a cel puțin 30% din teritoriul UE, în principal a sistemelor terestre și marine a zonei tropicale și subtropicale, ca ecosisteme cu grad înalt de biodiversitate; protecția strictă a cel puțin o treime din teritoriile protejate legal; </w:t>
      </w:r>
      <w:r w:rsidRPr="008C6A37">
        <w:rPr>
          <w:lang w:val="ro-RO"/>
        </w:rPr>
        <w:lastRenderedPageBreak/>
        <w:t>definirea unor obiective clare de conservare a biodiversității. Printre acțiuni, sunt enumerate protejarea apelor, stimularea și protecția biodiversității în zonele urbane și periurbane, prevenirea introducerii speciilor invazive, protecția speciilor cu risc de dispariție, etc.</w:t>
      </w:r>
    </w:p>
    <w:p w14:paraId="7B275897" w14:textId="77777777" w:rsidR="00670FD4" w:rsidRPr="008C6A37" w:rsidRDefault="00670FD4" w:rsidP="00670FD4">
      <w:pPr>
        <w:ind w:firstLine="567"/>
        <w:rPr>
          <w:lang w:val="ro-RO"/>
        </w:rPr>
      </w:pPr>
      <w:hyperlink r:id="rId10">
        <w:r w:rsidRPr="00074D16">
          <w:rPr>
            <w:rStyle w:val="Hyperlink"/>
            <w:b/>
            <w:i/>
            <w:color w:val="auto"/>
            <w:u w:val="none"/>
            <w:lang w:val="ro-RO"/>
          </w:rPr>
          <w:t xml:space="preserve">Convenția privind accesul la </w:t>
        </w:r>
      </w:hyperlink>
      <w:r>
        <w:rPr>
          <w:b/>
          <w:i/>
          <w:lang w:val="ro-RO"/>
        </w:rPr>
        <w:t>informație</w:t>
      </w:r>
      <w:hyperlink r:id="rId11">
        <w:r w:rsidRPr="00074D16">
          <w:rPr>
            <w:rStyle w:val="Hyperlink"/>
            <w:b/>
            <w:i/>
            <w:color w:val="auto"/>
            <w:u w:val="none"/>
            <w:lang w:val="ro-RO"/>
          </w:rPr>
          <w:t>, participarea publicului la luarea deciziilor și accesul la justiție în probleme de mediu (Convenția de la Aarhus)</w:t>
        </w:r>
      </w:hyperlink>
      <w:r w:rsidRPr="008C6A37">
        <w:rPr>
          <w:lang w:val="ro-RO"/>
        </w:rPr>
        <w:t>, în vigoare de la 30 octombrie 2001, garantează accesul la informație, participarea publicului la luarea deciziilor și accesul la justiție în problemele de mediu;</w:t>
      </w:r>
    </w:p>
    <w:p w14:paraId="2F7E9863" w14:textId="77777777" w:rsidR="00670FD4" w:rsidRPr="008C6A37" w:rsidRDefault="00670FD4" w:rsidP="00670FD4">
      <w:pPr>
        <w:ind w:firstLine="567"/>
        <w:rPr>
          <w:lang w:val="ro-RO"/>
        </w:rPr>
      </w:pPr>
      <w:r w:rsidRPr="008C6A37">
        <w:rPr>
          <w:b/>
          <w:i/>
          <w:lang w:val="ro-RO"/>
        </w:rPr>
        <w:t>Directiva 2007/2/CE de instituire a unei infrastructuri pentru informaţii spaţiale în Comunitatea Europeană(INSPIRE)</w:t>
      </w:r>
      <w:r w:rsidRPr="008C6A37">
        <w:rPr>
          <w:lang w:val="ro-RO"/>
        </w:rPr>
        <w:t xml:space="preserve"> are</w:t>
      </w:r>
      <w:r w:rsidRPr="008C6A37">
        <w:rPr>
          <w:b/>
          <w:i/>
          <w:lang w:val="ro-RO"/>
        </w:rPr>
        <w:t xml:space="preserve"> </w:t>
      </w:r>
      <w:r w:rsidRPr="008C6A37">
        <w:rPr>
          <w:lang w:val="ro-RO"/>
        </w:rPr>
        <w:t>ca scop crearea unei infrastructuri de date spațiale ce poate fi folosit la nivelul UE în scopul politicilor de mediu și de identificare a activităților ce pot degrada calitatea mediului;</w:t>
      </w:r>
    </w:p>
    <w:p w14:paraId="26A8C770" w14:textId="77777777" w:rsidR="00670FD4" w:rsidRPr="008C6A37" w:rsidRDefault="00670FD4" w:rsidP="00670FD4">
      <w:pPr>
        <w:ind w:firstLine="567"/>
        <w:rPr>
          <w:lang w:val="ro-RO"/>
        </w:rPr>
      </w:pPr>
      <w:r w:rsidRPr="008C6A37">
        <w:rPr>
          <w:b/>
          <w:i/>
          <w:lang w:val="ro-RO"/>
        </w:rPr>
        <w:t>Politica de coeziune a Uniunii Europene</w:t>
      </w:r>
      <w:r w:rsidRPr="008C6A37">
        <w:rPr>
          <w:lang w:val="ro-RO"/>
        </w:rPr>
        <w:t xml:space="preserve"> reprezintă un pilon principal al construcției europene alături de politica de securitate și cea pentru cooperare în domeniile justiției și afacerilor interne, după cum este stipulat în Tratatul de la Maastricht din 1992. Politica de coeziune sprijină dezvoltarea armonioasă și echilibrată a statelor membre și a regiunilor acestora, prin reducerea disparităților. Coeziunea, la nivelul UE, are trei dimensiuni, socială, economică și teritorială și este realizată prin intermediul schemelor de sprijin financiar multianual, aferente etapelor de programare. Fondurile nerambursabile alocate perioadei 2021-2027 depășesc 390 de mld. euro și sprijină proiecte din varii, domenii precum protecția mediului și reconstrucția ecologică, dezvoltarea turismului și valorificarea patrimoniului.</w:t>
      </w:r>
    </w:p>
    <w:p w14:paraId="33F7D361" w14:textId="77777777" w:rsidR="00670FD4" w:rsidRPr="008C6A37" w:rsidRDefault="00670FD4" w:rsidP="00670FD4">
      <w:pPr>
        <w:ind w:firstLine="567"/>
        <w:rPr>
          <w:lang w:val="ro-RO"/>
        </w:rPr>
      </w:pPr>
      <w:r w:rsidRPr="008C6A37">
        <w:rPr>
          <w:b/>
          <w:i/>
          <w:lang w:val="ro-RO"/>
        </w:rPr>
        <w:t>Politica Agricolă Comună (PAC)</w:t>
      </w:r>
      <w:r w:rsidRPr="008C6A37">
        <w:rPr>
          <w:lang w:val="ro-RO"/>
        </w:rPr>
        <w:t xml:space="preserve"> garantează faptul că agricultorii pot furniza servicii pe termen lung prin promovarea </w:t>
      </w:r>
      <w:hyperlink r:id="rId12">
        <w:r w:rsidRPr="00A92A31">
          <w:rPr>
            <w:rStyle w:val="Hyperlink"/>
            <w:color w:val="auto"/>
            <w:u w:val="none"/>
            <w:lang w:val="ro-RO"/>
          </w:rPr>
          <w:t>sustenabilității economice</w:t>
        </w:r>
      </w:hyperlink>
      <w:r w:rsidRPr="008C6A37">
        <w:rPr>
          <w:lang w:val="ro-RO"/>
        </w:rPr>
        <w:t xml:space="preserve"> a agriculturii. La rândul lor, măsurile economice prevăzute de PAC conțin dispoziții favorabile incluziunii sociale. </w:t>
      </w:r>
      <w:hyperlink r:id="rId13">
        <w:r w:rsidRPr="00074D16">
          <w:rPr>
            <w:rStyle w:val="Hyperlink"/>
            <w:color w:val="auto"/>
            <w:u w:val="none"/>
            <w:lang w:val="ro-RO"/>
          </w:rPr>
          <w:t>Acțiunile de protecție a mediului</w:t>
        </w:r>
      </w:hyperlink>
      <w:r w:rsidRPr="008C6A37">
        <w:rPr>
          <w:lang w:val="ro-RO"/>
        </w:rPr>
        <w:t xml:space="preserve"> din cadrul PAC sunt, de asemenea, concepute pentru a fi sustenabile din punct de vedere social. Prin sprijinirea angajamentelor în materie de gestionare și investiții care sunt benefice pentru mediu, PAC permite agricultorilor să protejeze resursele naturale și biodiversitatea. În plus, prin politici și acțiuni care vizează în mod specific securitatea alimentară și sprijinirea comunităților rurale, PAC garantează că agricultura poate contribui la sustenabilitate, la toate nivelurile societății;</w:t>
      </w:r>
    </w:p>
    <w:p w14:paraId="4574F2D9" w14:textId="77777777" w:rsidR="00670FD4" w:rsidRPr="008C6A37" w:rsidRDefault="00670FD4" w:rsidP="00670FD4">
      <w:pPr>
        <w:ind w:firstLine="567"/>
        <w:rPr>
          <w:lang w:val="ro-RO"/>
        </w:rPr>
      </w:pPr>
      <w:r w:rsidRPr="008C6A37">
        <w:rPr>
          <w:b/>
          <w:i/>
          <w:lang w:val="ro-RO"/>
        </w:rPr>
        <w:t xml:space="preserve">Politica comună a UE în domeniul pescuitului (PCP) </w:t>
      </w:r>
      <w:r w:rsidRPr="008C6A37">
        <w:rPr>
          <w:lang w:val="ro-RO"/>
        </w:rPr>
        <w:t>are</w:t>
      </w:r>
      <w:r w:rsidRPr="008C6A37">
        <w:rPr>
          <w:b/>
          <w:i/>
          <w:lang w:val="ro-RO"/>
        </w:rPr>
        <w:t xml:space="preserve"> </w:t>
      </w:r>
      <w:r w:rsidRPr="008C6A37">
        <w:rPr>
          <w:lang w:val="ro-RO"/>
        </w:rPr>
        <w:t>ca obiectiv garantarea faptului că activitățile de pescuit și acvacultură contribuie la sustenabilitatea ecologică, economică și socială pe termen lung. PCP stabilește normele de gestionare a pescuitului, contribuind astfel la conservarea resurselor biologice marine, la creșterea productivității, la un nivel de trai echitabil pentru sectorul pescuitului, la piețe stabile și la disponibilitatea resurselor alimentare la prețuri rezonabile. În ceea ce privește măsurile de piață și sprijinul financiar, PCP cuprinde, de asemenea, resursele biologice de apă dulce și activitățile de acvacultură, precum și prelucrarea și comercializarea produselor pescărești și de acvacultură.</w:t>
      </w:r>
    </w:p>
    <w:p w14:paraId="32955B08" w14:textId="77777777" w:rsidR="00670FD4" w:rsidRPr="008C6A37" w:rsidRDefault="00670FD4" w:rsidP="00670FD4">
      <w:pPr>
        <w:ind w:firstLine="567"/>
        <w:rPr>
          <w:lang w:val="ro-RO"/>
        </w:rPr>
      </w:pPr>
      <w:r w:rsidRPr="008C6A37">
        <w:rPr>
          <w:b/>
          <w:i/>
          <w:lang w:val="ro-RO"/>
        </w:rPr>
        <w:t>Strategia UE privind adaptarea la schimbările climatice</w:t>
      </w:r>
      <w:r w:rsidRPr="008C6A37">
        <w:rPr>
          <w:lang w:val="ro-RO"/>
        </w:rPr>
        <w:t xml:space="preserve"> evidențiază pericolul și amenințările legate de sănătatea umană, economie și mediu, din cauza schimbărilor climatice continue. Printre acestea se numără decesele și pagubele cauzate de inundații, valuri de căldură sau incendii de pădure. În acest sens, o soluție poate fi refacerea capacității de infiltrație (funcția </w:t>
      </w:r>
      <w:r w:rsidRPr="008C6A37">
        <w:rPr>
          <w:lang w:val="ro-RO"/>
        </w:rPr>
        <w:lastRenderedPageBreak/>
        <w:t>de burete) a solurilor ce va stimula alimentarea rezervei de apă din acvifere și reducerea riscului la inundații - strategie aprobată pe 24.02.2021.</w:t>
      </w:r>
    </w:p>
    <w:p w14:paraId="26D20079" w14:textId="77777777" w:rsidR="00670FD4" w:rsidRPr="008C6A37" w:rsidRDefault="00670FD4" w:rsidP="00670FD4">
      <w:pPr>
        <w:ind w:firstLine="567"/>
        <w:rPr>
          <w:lang w:val="ro-RO"/>
        </w:rPr>
      </w:pPr>
      <w:r w:rsidRPr="008C6A37">
        <w:rPr>
          <w:b/>
          <w:i/>
          <w:lang w:val="ro-RO"/>
        </w:rPr>
        <w:t>Cadrul de politici și legislativ național</w:t>
      </w:r>
    </w:p>
    <w:p w14:paraId="6168EF22" w14:textId="77777777" w:rsidR="00670FD4" w:rsidRPr="008C6A37" w:rsidRDefault="00670FD4" w:rsidP="00670FD4">
      <w:pPr>
        <w:ind w:firstLine="567"/>
        <w:rPr>
          <w:lang w:val="ro-RO"/>
        </w:rPr>
      </w:pPr>
      <w:r w:rsidRPr="008C6A37">
        <w:rPr>
          <w:lang w:val="ro-RO"/>
        </w:rPr>
        <w:t>România a adoptat, în perioada recentă, o serie de strategii și planuri naționale integrate care fundamentează cadrul strategic privind conservarea patrimoniului natural și cultural, prevenirea și limitarea / stoparea poluării, planificarea spațială, dezvoltarea durabilă și managementul hazardelor și riscurilor, ale căror prevederi au fost luate în considerare în cadrul prezentei strategii.</w:t>
      </w:r>
    </w:p>
    <w:p w14:paraId="11AAC8A4" w14:textId="77777777" w:rsidR="00670FD4" w:rsidRPr="008C6A37" w:rsidRDefault="00670FD4" w:rsidP="00670FD4">
      <w:pPr>
        <w:ind w:firstLine="567"/>
        <w:rPr>
          <w:b/>
          <w:i/>
          <w:lang w:val="ro-RO"/>
        </w:rPr>
      </w:pPr>
      <w:r w:rsidRPr="008C6A37">
        <w:rPr>
          <w:b/>
          <w:i/>
          <w:lang w:val="ro-RO"/>
        </w:rPr>
        <w:t>Acordul de Parteneriat</w:t>
      </w:r>
      <w:r w:rsidRPr="008C6A37">
        <w:rPr>
          <w:lang w:val="ro-RO"/>
        </w:rPr>
        <w:t xml:space="preserve"> este un document cu caracter strategic, pentru programarea investițiilor care pot fi susținute prin instrumentele financiare ale Politicii de Coeziune ale UE și prin fondurile destinate sectorului piscicol, pentru perioadele de programare multianuală (de 7 ani) de implementare a Politicii de Coeziune. Actualul Acord de Parteneriat pentru intervalul 2021-2027, a fost semnat în forma sa finală în iulie 2022 și prevede o alocare financiară din partea UE, de circa 31,5 mld. euro, care va fi utilizată în cadrul a 9 Programe Naționale și a 8 Programe Regionale. Obiectivele vizate pentru actuala perioadă de programare sunt: competitivitate economică și digitalizare, economie verde, sistem modern de sănătate publică, transport durabil, piața muncii și sărăcia, pescuitul durabil.</w:t>
      </w:r>
    </w:p>
    <w:p w14:paraId="5FDFF486" w14:textId="77777777" w:rsidR="00670FD4" w:rsidRPr="008C6A37" w:rsidRDefault="00670FD4" w:rsidP="00670FD4">
      <w:pPr>
        <w:ind w:firstLine="567"/>
        <w:rPr>
          <w:lang w:val="ro-RO"/>
        </w:rPr>
      </w:pPr>
      <w:r w:rsidRPr="008C6A37">
        <w:rPr>
          <w:b/>
          <w:i/>
          <w:lang w:val="ro-RO"/>
        </w:rPr>
        <w:t>Planul Național de Redresare și Reziliență (PNRR</w:t>
      </w:r>
      <w:r w:rsidRPr="008C6A37">
        <w:rPr>
          <w:lang w:val="ro-RO"/>
        </w:rPr>
        <w:t xml:space="preserve">), aprobat de Comisia Europeană (CE) în 2021, este documentul strategic al României care fundamentează prioritățile de reformă și domeniile de investiții pentru aplicarea Mecanismului de Redresare și Reziliență la nivel național, având ca scop final accelerarea implementării reformelor sustenabile și a investițiilor publice conexe, respectiv asigurarea ameliorării stării economiei naționale după criza generată de COVID-19, creșterea economică și crearea de locuri de muncă necesare pentru incluziunea forței de muncă, sprijinirea tranziției verzi și a celei digitale pentru promovarea creșterii durabile. </w:t>
      </w:r>
    </w:p>
    <w:p w14:paraId="2DB49452" w14:textId="77777777" w:rsidR="00670FD4" w:rsidRPr="008C6A37" w:rsidRDefault="00670FD4" w:rsidP="00670FD4">
      <w:pPr>
        <w:ind w:firstLine="567"/>
        <w:rPr>
          <w:b/>
          <w:i/>
          <w:lang w:val="ro-RO"/>
        </w:rPr>
      </w:pPr>
      <w:r w:rsidRPr="008C6A37">
        <w:rPr>
          <w:lang w:val="ro-RO"/>
        </w:rPr>
        <w:t>Planul conține 171 de măsuri (64 de reforme și 107 investiții), structurate în jurul a 6 piloni și 15 componente. Relevante pentru strategia națională privind managementul zonei costiere sunt Pilonul I - Tranziție verde, cu componentele Managementul apei, Transport sustenabil, Energia, Pădurile și biodiversitatea, Managementul deșeurilor, Pilonul IV - Coeziune socială și teritorială (componenta 11 Turism și cultură) și pilonul VI - Noua generație, componenta Educație.</w:t>
      </w:r>
    </w:p>
    <w:p w14:paraId="03AAC6E3" w14:textId="77777777" w:rsidR="00670FD4" w:rsidRPr="008C6A37" w:rsidRDefault="00670FD4" w:rsidP="00670FD4">
      <w:pPr>
        <w:ind w:firstLine="567"/>
        <w:rPr>
          <w:b/>
          <w:i/>
          <w:lang w:val="ro-RO"/>
        </w:rPr>
      </w:pPr>
      <w:r w:rsidRPr="008C6A37">
        <w:rPr>
          <w:b/>
          <w:i/>
          <w:lang w:val="ro-RO"/>
        </w:rPr>
        <w:t xml:space="preserve">Strategia Națională pentru Dezvoltarea Durabilă a României 2030 (SNDDR) </w:t>
      </w:r>
      <w:r w:rsidRPr="008C6A37">
        <w:rPr>
          <w:lang w:val="ro-RO"/>
        </w:rPr>
        <w:t xml:space="preserve"> reprezintă răspunsul României la Agenda 2030 pentru Dezvoltare Durabilă și stabilește cadrul național pentru implementarea celor 17 Obiective de Dezvoltare Durabilă (ODD). Cele mai relevante pentru strategia națională privind g</w:t>
      </w:r>
      <w:r>
        <w:rPr>
          <w:lang w:val="ro-RO"/>
        </w:rPr>
        <w:t>ospodărirea</w:t>
      </w:r>
      <w:r w:rsidRPr="008C6A37">
        <w:rPr>
          <w:lang w:val="ro-RO"/>
        </w:rPr>
        <w:t xml:space="preserve"> integrată a zonei costiere sunt: i) ODD 13 - Acțiune climatică, care vizează consolidarea capacității de adaptare și reziliență a României pentru a combate pericolele legate de schimbările climatice și dezastrele naturale prin integrarea măsurilor de diminuare și de adaptare la schimbările climatice și dezastrele naturale atât în strategiile, cât și în politicile naționale și în planificarea și creșterea nivelului de educație și conștientizare privind schimbările climatice; ii) ODD 14 – Viața acvatică, care vizează prevenirea și reducerea poluării marine, gestionarea și protecția durabilă a </w:t>
      </w:r>
      <w:r w:rsidRPr="008C6A37">
        <w:rPr>
          <w:lang w:val="ro-RO"/>
        </w:rPr>
        <w:lastRenderedPageBreak/>
        <w:t xml:space="preserve">ecosistemelor marine, conservarea zonelor costiere și asigurarea unui pescuit durabil; iii) ODD15 – Viața terestră, care vizează conservarea și utilizarea durabilă a ecosistemelor terestre, combaterea deșertificării, restaurarea terenurilor și solurilor degradate, inclusiv a terenurilor afectate de secetă și inundații, dezvoltarea infrastructurii verzi, conservarea și protejarea zonelor umede, tranziția către o economie circulară. </w:t>
      </w:r>
    </w:p>
    <w:p w14:paraId="499CB5AD" w14:textId="77777777" w:rsidR="00670FD4" w:rsidRPr="008C6A37" w:rsidRDefault="00670FD4" w:rsidP="00670FD4">
      <w:pPr>
        <w:ind w:firstLine="567"/>
        <w:rPr>
          <w:lang w:val="ro-RO"/>
        </w:rPr>
      </w:pPr>
      <w:r w:rsidRPr="008C6A37">
        <w:rPr>
          <w:lang w:val="ro-RO"/>
        </w:rPr>
        <w:t>Pe lângă aceste obiective referitoare la protejarea și conservarea mediului, precum și la adaptarea la schimbările climatice, SNDDR vizează și: i) dezvoltarea unui sector agroalimentar durabil și competitiv pentru îmbunătățirea calității vieții, promovarea producției autohtone și ecologice și valorificarea produselor tradiționale (ODD 2 Foamete zero), ii) creșterea calității vieții prin dezvoltarea infrastructurii de apă și canalizare și a serviciilor publice (ODD 6) - Apă curată și sanitație), iii) dezvoltarea infrastructurii calitative, sigure și durabile, reabilitarea durabilă a industriilor pentru utilizarea eficientă a resurselor, prin adoptarea tehnologiilor și proceselor industriale ecologice (ODD 9 Industrie, Inovație și Infrastructură), iv) promovarea conceptului de smart-city, consolidarea eforturilor de protecție și salvgardare a patrimoniului cultural, reducerea impactului negativ asupra mediului în orașe, inclusiv prin acordarea unei atenții deosebite calității aerului și mediului în general (ODD 11 Orașe și comunități durabile).</w:t>
      </w:r>
    </w:p>
    <w:p w14:paraId="1BF28511" w14:textId="77777777" w:rsidR="00670FD4" w:rsidRPr="008C6A37" w:rsidRDefault="00670FD4" w:rsidP="00670FD4">
      <w:pPr>
        <w:ind w:firstLine="567"/>
        <w:rPr>
          <w:lang w:val="ro-RO"/>
        </w:rPr>
      </w:pPr>
      <w:r w:rsidRPr="008C6A37">
        <w:rPr>
          <w:b/>
          <w:i/>
          <w:lang w:val="ro-RO"/>
        </w:rPr>
        <w:t xml:space="preserve">Strategia Națională privind Adaptarea la Schimbările Climatice pentru perioada 2023-2030 cu perspectiva anului 2050 (SNASC) și Planul naţional de acţiune pentru implementarea acesteia </w:t>
      </w:r>
      <w:r w:rsidRPr="008C6A37">
        <w:rPr>
          <w:lang w:val="ro-RO"/>
        </w:rPr>
        <w:t>urmăresc îmbunătățirea capacității de adaptare și creșterea rezilienței sistemelor socio-economice și naturale la impactul variabilității și schimbărilor climatice pe diferite areale și intervale de timp.</w:t>
      </w:r>
    </w:p>
    <w:p w14:paraId="41E7A123" w14:textId="77777777" w:rsidR="00670FD4" w:rsidRPr="008C6A37" w:rsidRDefault="00670FD4" w:rsidP="00670FD4">
      <w:pPr>
        <w:ind w:firstLine="567"/>
        <w:rPr>
          <w:lang w:val="ro-RO"/>
        </w:rPr>
      </w:pPr>
      <w:r w:rsidRPr="008C6A37">
        <w:rPr>
          <w:b/>
          <w:i/>
          <w:lang w:val="ro-RO"/>
        </w:rPr>
        <w:t>Strategia Națională de Management al Riscului la Inundații pe termen mediu și lung</w:t>
      </w:r>
      <w:r w:rsidRPr="008C6A37">
        <w:rPr>
          <w:lang w:val="ro-RO"/>
        </w:rPr>
        <w:t xml:space="preserve"> cuprinde un ansamblu de acţiuni la nivel naţional şi bazinal, care include: planificare, programe, politici cadru, coordonare, facilitare, sporirea conştientizării şi consolidarea socială, rezilienţa. Obiectivele acestei strategii sunt: i) obiective economice, ce urmăresc protecţia infrastructurii economice existente împotriva inundaţiilor şi garantarea satisfacerii oportunităţilor economice ale generaţiilor viitoare, ii) obiectivele sociale, ce au în vedere protecţia populaţiei şi a comunităţilor umane împotriva inundaţiilor prin asigurarea unui nivel acceptabil de protecţie a populaţiei şi creşterea capacităţii societăţii de a se dezvolta în condiţiile riscului asumat de producere a viiturilor (creşterea rezilienţei) și iii) obiective de mediu, care urmăresc ca prin realizarea acestei strategii să se atingă obiectivele socio-economice cu păstrarea unui echilibru între dezvoltarea economico-socială şi obiectivele de mediu.</w:t>
      </w:r>
    </w:p>
    <w:p w14:paraId="6E1D8BE3" w14:textId="77777777" w:rsidR="00670FD4" w:rsidRPr="008C6A37" w:rsidRDefault="00670FD4" w:rsidP="00670FD4">
      <w:pPr>
        <w:ind w:firstLine="567"/>
        <w:rPr>
          <w:lang w:val="ro-RO"/>
        </w:rPr>
      </w:pPr>
      <w:r w:rsidRPr="008C6A37">
        <w:rPr>
          <w:b/>
          <w:i/>
          <w:lang w:val="ro-RO"/>
        </w:rPr>
        <w:t>Strategia pentru transport durabil pe perioada 2007-2013 şi 2020, 2030</w:t>
      </w:r>
      <w:r w:rsidRPr="008C6A37">
        <w:rPr>
          <w:lang w:val="ro-RO"/>
        </w:rPr>
        <w:t xml:space="preserve"> are ca obiectiv general dezvoltarea echilibrată a sistemului naţional de transport care să asigure o infrastructură şi servicii de transport moderne şi durabile, dezvoltarea sustenabilă a economiei şi îmbunătăţirea calităţii vieţii. Acțiunile prevăzute în această strategie pentru perioada 2021-2030 vor urmări și relansarea transportului naval şi consolidarea progresivă a serviciilor intermodale de transport. Dezvoltarea reţelei de căi navigabile trebuie să fie considerată un element esenţial al dezvoltării unui sistem intermodal de transport pe plan intraeuropean.</w:t>
      </w:r>
    </w:p>
    <w:p w14:paraId="7E8C6AF0" w14:textId="77777777" w:rsidR="00670FD4" w:rsidRPr="008C6A37" w:rsidRDefault="00670FD4" w:rsidP="00670FD4">
      <w:pPr>
        <w:ind w:firstLine="567"/>
        <w:rPr>
          <w:lang w:val="ro-RO"/>
        </w:rPr>
      </w:pPr>
      <w:r w:rsidRPr="008C6A37">
        <w:rPr>
          <w:b/>
          <w:i/>
          <w:lang w:val="ro-RO"/>
        </w:rPr>
        <w:t>Master Planul General de Transport al României</w:t>
      </w:r>
      <w:r w:rsidRPr="008C6A37">
        <w:rPr>
          <w:lang w:val="ro-RO"/>
        </w:rPr>
        <w:t xml:space="preserve">,  aprobat prin  H.G nr. 666 / 2016, cu modificările și completările ulterioare, este un act normativ prin care este aprobat Programul </w:t>
      </w:r>
      <w:r w:rsidRPr="008C6A37">
        <w:rPr>
          <w:lang w:val="ro-RO"/>
        </w:rPr>
        <w:lastRenderedPageBreak/>
        <w:t>investițional pentru dezvoltarea infrastructurii de transport pentru perioada 2021-2030 și care are ca scop dezvoltarea sustenabilă a infrastructurii de transport, interoperabilitatea acestora precum și creșterea conectivității naționale și transeuropene pentru societate și mediul de afaceri precum și implementarea unui sistem de transport eficient economic, sustenabil, sigur, cu impact redus asupra mediului.</w:t>
      </w:r>
    </w:p>
    <w:p w14:paraId="6BEF738B" w14:textId="77777777" w:rsidR="00670FD4" w:rsidRPr="008C6A37" w:rsidRDefault="00670FD4" w:rsidP="00670FD4">
      <w:pPr>
        <w:ind w:firstLine="567"/>
        <w:rPr>
          <w:lang w:val="ro-RO"/>
        </w:rPr>
      </w:pPr>
      <w:r w:rsidRPr="008C6A37">
        <w:rPr>
          <w:b/>
          <w:i/>
          <w:lang w:val="ro-RO"/>
        </w:rPr>
        <w:t>Strategia Națională a României pentru Dezvoltarea Turismului 2023-2035</w:t>
      </w:r>
      <w:r w:rsidRPr="008C6A37">
        <w:rPr>
          <w:lang w:val="ro-RO"/>
        </w:rPr>
        <w:t xml:space="preserve">  se concentrează pe trei niveluri, pentru a servi drept ghid pentru dezvoltarea sustenabilă a turismului în România, astfel încât: i) să consolideze în continuare România ca destinație turistică bine cunoscută, pe tot parcursul anului; ii) să prețuiască oamenii, tradiția, locurile, patrimoniul natural și cultural al României; iii) să crească vizibilitatea României pe piețele internaționale de turism de prim rang. Obiectivele avute în vedere pentru dezvoltarea turismului, relevante și pentru prezenta strategie sunt legate de: i) dezvoltarea destinațiilor turistice cu implicarea tuturor actorilor din turism prin încurajarea parteneriatelor dintre mediul privat și cel public la nivel de destinație, în vederea creșterii calității și performanței managementului destinațiilor turistice din România; ii) creșterea notorietății destinației turistice România; iii) reducerea sezonalității și creșterea duratei medii a sejurului; iii) identificarea de noi oportunități de dezvoltare și stimularea creșterii circulației turistice interne și internaționale și iv) sprijinirea mediului antreprenorial în domeniul turismului. </w:t>
      </w:r>
    </w:p>
    <w:p w14:paraId="5C308D29" w14:textId="77777777" w:rsidR="00670FD4" w:rsidRPr="008C6A37" w:rsidRDefault="00670FD4" w:rsidP="00670FD4">
      <w:pPr>
        <w:ind w:firstLine="567"/>
        <w:rPr>
          <w:lang w:val="ro-RO"/>
        </w:rPr>
      </w:pPr>
      <w:r w:rsidRPr="008C6A37">
        <w:rPr>
          <w:b/>
          <w:i/>
          <w:lang w:val="ro-RO"/>
        </w:rPr>
        <w:t xml:space="preserve">Strategia Națională de Dezvoltare Urbană Integrată pentru Orașe Reziliente, Verzi, Incluzive și Competitive 2022 – 2035 – Politica Urbană a României (SNDU) </w:t>
      </w:r>
      <w:r w:rsidRPr="008C6A37">
        <w:rPr>
          <w:lang w:val="ro-RO"/>
        </w:rPr>
        <w:t>reprezintă un instrument de planificare care să răspundă nevoilor de dezvoltare locală și să asigure continuitatea pe termen lung a viziunii de dezvoltare. Strategia ajută administrațiile locale să ia cunoștință de problemele/aspectele principale ale comunității, să formuleze priorități de viitor și, în special, să identifice investițiile pe care trebuie să le efectueze pentru accesarea finanțării externe și pentru dezvoltare.</w:t>
      </w:r>
    </w:p>
    <w:p w14:paraId="4DA44CDD" w14:textId="77777777" w:rsidR="00670FD4" w:rsidRPr="008C6A37" w:rsidRDefault="00670FD4" w:rsidP="00670FD4">
      <w:pPr>
        <w:ind w:firstLine="567"/>
        <w:rPr>
          <w:lang w:val="ro-RO"/>
        </w:rPr>
      </w:pPr>
      <w:r w:rsidRPr="008C6A37">
        <w:rPr>
          <w:b/>
          <w:i/>
          <w:lang w:val="ro-RO"/>
        </w:rPr>
        <w:t xml:space="preserve">Strategia de dezvoltare teritorială a României 2035 </w:t>
      </w:r>
      <w:r w:rsidRPr="008C6A37">
        <w:rPr>
          <w:lang w:val="ro-RO"/>
        </w:rPr>
        <w:t>reprezintă instrumentul de implementare a sistemului de amenajare a teritoriului național – incluzând planurile de dezvoltare regională și planurile urbanistice generale – și sprijină operaționalizarea programelor de investiție sectorială până în 2035. Este documentul programatic pe termen lung prin care este conturată viziunea de dezvoltare a teritoriului național pentru orizontul de timp 2035 și sunt stabilite obiective de dezvoltare, măsuri, acțiuni și proiecte concrete la nivel teritorial. Obiectivele generale relevante pentru strategia națională privind g</w:t>
      </w:r>
      <w:r>
        <w:rPr>
          <w:lang w:val="ro-RO"/>
        </w:rPr>
        <w:t>ospodărirea</w:t>
      </w:r>
      <w:r w:rsidRPr="008C6A37">
        <w:rPr>
          <w:lang w:val="ro-RO"/>
        </w:rPr>
        <w:t xml:space="preserve"> zonei costiere sunt: creșterea calității vieții prin dezvoltarea infrastructurii tehnico-edilitară și serviciilor publice în vederea asigurării unor spaţii urbane şi rurale de calitate, atractive şi incluzive; protejarea patrimoniului natural și construit şi valorificarea elementelor de identitate teritorială și creşterea capacităţii instituţionale de gestionare a proceselor de dezvoltare teritorială.</w:t>
      </w:r>
    </w:p>
    <w:p w14:paraId="33259480" w14:textId="77777777" w:rsidR="00670FD4" w:rsidRPr="008C6A37" w:rsidRDefault="00670FD4" w:rsidP="00670FD4">
      <w:pPr>
        <w:ind w:firstLine="567"/>
        <w:rPr>
          <w:lang w:val="ro-RO"/>
        </w:rPr>
      </w:pPr>
      <w:r w:rsidRPr="008C6A37">
        <w:rPr>
          <w:b/>
          <w:i/>
          <w:lang w:val="ro-RO"/>
        </w:rPr>
        <w:t xml:space="preserve">Strategia integrată de dezvoltare durabilă a Deltei Dunării 2016-2030 </w:t>
      </w:r>
      <w:r w:rsidRPr="008C6A37">
        <w:rPr>
          <w:lang w:val="ro-RO"/>
        </w:rPr>
        <w:t xml:space="preserve">are ca principal obiectiv trasarea cadrului pentru o dezvoltarea planificată și sensibilă din punct de vedere al mediului în regiunea Delta Dunării. Zona vizată de această strategie acoperă o parte însemnată din zona costieră astfel încât obiectivele acestei strategii și direcțiile de acțiune sunt relevante, în mare măsură, și pentru strategia privind </w:t>
      </w:r>
      <w:r>
        <w:rPr>
          <w:lang w:val="ro-RO"/>
        </w:rPr>
        <w:t>gospodărirea</w:t>
      </w:r>
      <w:r w:rsidRPr="008C6A37">
        <w:rPr>
          <w:lang w:val="ro-RO"/>
        </w:rPr>
        <w:t xml:space="preserve"> zonei costiere. </w:t>
      </w:r>
    </w:p>
    <w:p w14:paraId="43BEC0A6" w14:textId="77777777" w:rsidR="00670FD4" w:rsidRPr="008C6A37" w:rsidRDefault="00670FD4" w:rsidP="00670FD4">
      <w:pPr>
        <w:ind w:firstLine="567"/>
        <w:rPr>
          <w:lang w:val="ro-RO"/>
        </w:rPr>
      </w:pPr>
      <w:r w:rsidRPr="008C6A37">
        <w:rPr>
          <w:b/>
          <w:i/>
          <w:lang w:val="ro-RO"/>
        </w:rPr>
        <w:lastRenderedPageBreak/>
        <w:t xml:space="preserve">Strategia Națională și Planul de Acțiune pentru conservarea biodiversității 2014-2020 (SNPACB 2014-2020) (în curs de actualizare) </w:t>
      </w:r>
      <w:r w:rsidRPr="008C6A37">
        <w:rPr>
          <w:lang w:val="ro-RO"/>
        </w:rPr>
        <w:t>concentrează, într-o manieră armonizată, obiectivele generale de conservare şi utilizare durabilă a diversităţii biologice prevăzute şi de alte instrumente internaţionale de mediu, asigurând, în acelaşi timp, integrarea politicilor naţionale la nivel regional şi global. Cu alte cuvinte, SNPACB constituie un punct de referinţă esenţial pentru dezvoltarea durabilă a României și, implicit, a zonei costiere.</w:t>
      </w:r>
    </w:p>
    <w:p w14:paraId="07F18B75" w14:textId="77777777" w:rsidR="00670FD4" w:rsidRPr="008C6A37" w:rsidRDefault="00670FD4" w:rsidP="00670FD4">
      <w:pPr>
        <w:ind w:firstLine="567"/>
        <w:rPr>
          <w:lang w:val="ro-RO"/>
        </w:rPr>
      </w:pPr>
      <w:r w:rsidRPr="008C6A37">
        <w:rPr>
          <w:b/>
          <w:i/>
          <w:lang w:val="ro-RO"/>
        </w:rPr>
        <w:t xml:space="preserve">Programul pentru Acvacultură şi Pescuit 2021-2027 (PAP) </w:t>
      </w:r>
      <w:r w:rsidRPr="008C6A37">
        <w:rPr>
          <w:lang w:val="ro-RO"/>
        </w:rPr>
        <w:t>asigură principalul sprijin financiar pentru dezvoltarea sectorului pescăresc din România în perioada de programare 2021-2027. Obiectivele strategice ale PAP urmăresc asigurarea condiţiilor pentru implementarea Politicii Comune de Pescuit în România, cu luarea în considerare a angajamentelor Comisiei Generale pentru Pescuit la Marea Mediterană (GFCM). Implementarea PAP urmăreşte să contribuie la: i) dezvoltarea unui pescuit comercial durabil în mare şi în apele interioare; ii) o acvacultură durabilă şi competitivă, care să folosească eficient resursele disponibile; iii) organizarea pieţei pescăreşti, inclusiv consolidarea organizaţiilor pescăreşti şi sprijinirea lanţului scurt de comercializare; iv) dezvoltarea zonelor pescăreşti, punând în valoarea oportunităţile oferite de economia albastră durabilă.</w:t>
      </w:r>
    </w:p>
    <w:p w14:paraId="587FB13D" w14:textId="77777777" w:rsidR="00670FD4" w:rsidRPr="008C6A37" w:rsidRDefault="00670FD4" w:rsidP="00670FD4">
      <w:pPr>
        <w:ind w:firstLine="567"/>
        <w:rPr>
          <w:lang w:val="ro-RO"/>
        </w:rPr>
      </w:pPr>
      <w:r w:rsidRPr="008C6A37">
        <w:rPr>
          <w:b/>
          <w:i/>
          <w:lang w:val="ro-RO"/>
        </w:rPr>
        <w:t xml:space="preserve">Planul de amenajare a spațiului maritim (PASM) (în curs de aprobare) </w:t>
      </w:r>
      <w:r w:rsidRPr="008C6A37">
        <w:rPr>
          <w:lang w:val="ro-RO"/>
        </w:rPr>
        <w:t>are ca obiectiv principal promovarea unui proces decizional coordonat și integrat privind dezvoltarea durabilă a regiunii Mării Negre, prin politici coerente privind domeniul marin. Viziunea Planului pe termen lung este ca utilizările viitoare ale apelor marine din sectorul românesc al Mării Negre să fie dezvoltate durabil prin sinergiile create la nivelul politicilor sectoriale și prin mobilizarea autorităților competente și a actorilor-cheie ai economiei albastre, astfel încât să fie atinsă starea ecologică bună prin care se susține reziliența, competitivitatea și incluziunea.</w:t>
      </w:r>
    </w:p>
    <w:p w14:paraId="35BF51AB" w14:textId="77777777" w:rsidR="00670FD4" w:rsidRDefault="00670FD4" w:rsidP="00670FD4">
      <w:pPr>
        <w:ind w:firstLine="567"/>
        <w:rPr>
          <w:lang w:val="ro-RO"/>
        </w:rPr>
      </w:pPr>
      <w:r w:rsidRPr="008C6A37">
        <w:rPr>
          <w:b/>
          <w:i/>
          <w:lang w:val="ro-RO"/>
        </w:rPr>
        <w:t xml:space="preserve">Planul Național Integrat în domeniul Energiei și Schimbărilor Climatice (PNIESC) 2021-2030 </w:t>
      </w:r>
      <w:r w:rsidRPr="008C6A37">
        <w:rPr>
          <w:lang w:val="ro-RO"/>
        </w:rPr>
        <w:t>stabilește obiectivele și contribuțiile naționale la realizarea obiectivelor UE privind schimbările climatice asumate în urma aderării UE la Acordul de la Paris. Obiectivele naționale stabilite în acest Plan sunt structurate pe cele cinci dimensiuni, respectiv decarbonatarea, eficiență energetică, securitate energetică, piața internă a energiei și cercetare, inovare și competitivitate.</w:t>
      </w:r>
      <w:r w:rsidRPr="008C6A37">
        <w:rPr>
          <w:b/>
          <w:i/>
          <w:lang w:val="ro-RO"/>
        </w:rPr>
        <w:t xml:space="preserve"> </w:t>
      </w:r>
      <w:r w:rsidRPr="008C6A37">
        <w:rPr>
          <w:lang w:val="ro-RO"/>
        </w:rPr>
        <w:t>Relevante pentru strategia națională privind g</w:t>
      </w:r>
      <w:r>
        <w:rPr>
          <w:lang w:val="ro-RO"/>
        </w:rPr>
        <w:t>ospodărirea</w:t>
      </w:r>
      <w:r w:rsidRPr="008C6A37">
        <w:rPr>
          <w:lang w:val="ro-RO"/>
        </w:rPr>
        <w:t xml:space="preserve"> integrată a zonei costiere sunt: i) promovarea tranziției către o economie circulară, prin politici și măsuri de gestionare a deșeurilor; ii) creșterea ponderii energiei din surse alternative; iii) creșterea gradului de diversificare a surselor de energie și iv) promovarea tehnologiilor pentru energie curată, implementarea tehnologiilor cu emisii reduse de dioxid de carbon.</w:t>
      </w:r>
    </w:p>
    <w:p w14:paraId="07ACE52A" w14:textId="77777777" w:rsidR="00670FD4" w:rsidRPr="00A92A31" w:rsidRDefault="00670FD4" w:rsidP="00670FD4">
      <w:pPr>
        <w:ind w:firstLine="0"/>
        <w:rPr>
          <w:b/>
          <w:i/>
          <w:sz w:val="28"/>
          <w:lang w:val="ro-RO"/>
        </w:rPr>
      </w:pPr>
    </w:p>
    <w:p w14:paraId="0EE04025" w14:textId="77777777" w:rsidR="00670FD4" w:rsidRPr="0033469D" w:rsidRDefault="00670FD4" w:rsidP="00670FD4">
      <w:pPr>
        <w:pStyle w:val="Heading2"/>
      </w:pPr>
      <w:bookmarkStart w:id="6" w:name="_Toc150247007"/>
      <w:bookmarkStart w:id="7" w:name="_Toc171084803"/>
      <w:r>
        <w:t xml:space="preserve">1.3 </w:t>
      </w:r>
      <w:r w:rsidRPr="0033469D">
        <w:t xml:space="preserve">Analiza </w:t>
      </w:r>
      <w:r w:rsidRPr="005D2CE5">
        <w:t>contextului</w:t>
      </w:r>
      <w:r w:rsidRPr="0033469D">
        <w:t xml:space="preserve"> și definirea problemelor  actuale</w:t>
      </w:r>
      <w:bookmarkEnd w:id="6"/>
      <w:bookmarkEnd w:id="7"/>
    </w:p>
    <w:p w14:paraId="4C0994A5" w14:textId="77777777" w:rsidR="00670FD4" w:rsidRPr="008C6A37" w:rsidRDefault="00670FD4" w:rsidP="00670FD4">
      <w:pPr>
        <w:ind w:firstLine="567"/>
        <w:rPr>
          <w:lang w:val="ro-RO"/>
        </w:rPr>
      </w:pPr>
      <w:r w:rsidRPr="008C6A37">
        <w:rPr>
          <w:lang w:val="ro-RO"/>
        </w:rPr>
        <w:t>În  documentele Comisiei Mării Negre, respectiv în “Guideline on Integrated Coastal Zone Management in the Black Sea”, a cărui elaborare a avut la bază Protocolul ICZM de la Marea Mediterană, limitele geografice ale zonei costiere se recomandă a se stabili astfel:</w:t>
      </w:r>
    </w:p>
    <w:p w14:paraId="2698698A" w14:textId="77777777" w:rsidR="00670FD4" w:rsidRPr="008C6A37" w:rsidRDefault="00670FD4" w:rsidP="00670FD4">
      <w:pPr>
        <w:numPr>
          <w:ilvl w:val="0"/>
          <w:numId w:val="4"/>
        </w:numPr>
        <w:ind w:firstLine="567"/>
        <w:rPr>
          <w:lang w:val="ro-RO"/>
        </w:rPr>
      </w:pPr>
      <w:r w:rsidRPr="008C6A37">
        <w:rPr>
          <w:lang w:val="ro-RO"/>
        </w:rPr>
        <w:t>limita dinspre mare - limita exterioară a apelor teritoriale ale țărilor riverane Mării Negre;</w:t>
      </w:r>
    </w:p>
    <w:p w14:paraId="4015A6AE" w14:textId="77777777" w:rsidR="00670FD4" w:rsidRPr="008C6A37" w:rsidRDefault="00670FD4" w:rsidP="00670FD4">
      <w:pPr>
        <w:numPr>
          <w:ilvl w:val="0"/>
          <w:numId w:val="4"/>
        </w:numPr>
        <w:ind w:firstLine="567"/>
        <w:rPr>
          <w:lang w:val="ro-RO"/>
        </w:rPr>
      </w:pPr>
      <w:r w:rsidRPr="008C6A37">
        <w:rPr>
          <w:lang w:val="ro-RO"/>
        </w:rPr>
        <w:lastRenderedPageBreak/>
        <w:t>limita dinspre uscat - limita unităților de coastă competente așa cum sunt definite de țările riverane Mării Negre.</w:t>
      </w:r>
    </w:p>
    <w:p w14:paraId="19A828FF" w14:textId="77777777" w:rsidR="00670FD4" w:rsidRPr="008C6A37" w:rsidRDefault="00670FD4" w:rsidP="00670FD4">
      <w:pPr>
        <w:ind w:firstLine="567"/>
        <w:rPr>
          <w:lang w:val="ro-RO"/>
        </w:rPr>
      </w:pPr>
      <w:r w:rsidRPr="008C6A37">
        <w:rPr>
          <w:lang w:val="ro-RO"/>
        </w:rPr>
        <w:t>În cadrul prezentei strategii, limita dinspre mare este considerată limita a 12 mile marine de la linia de bază, respectiv apele teritoriale ale României, în timp ce stabilirea limitei dinspre uscat s-a realizat pe baza a trei criterii, respectiv:</w:t>
      </w:r>
    </w:p>
    <w:p w14:paraId="6339728F" w14:textId="77777777" w:rsidR="00670FD4" w:rsidRPr="008C6A37" w:rsidRDefault="00670FD4" w:rsidP="00670FD4">
      <w:pPr>
        <w:numPr>
          <w:ilvl w:val="0"/>
          <w:numId w:val="8"/>
        </w:numPr>
        <w:ind w:firstLine="567"/>
        <w:rPr>
          <w:lang w:val="ro-RO"/>
        </w:rPr>
      </w:pPr>
      <w:r w:rsidRPr="008C6A37">
        <w:rPr>
          <w:lang w:val="ro-RO"/>
        </w:rPr>
        <w:t>criteriul proximității;</w:t>
      </w:r>
    </w:p>
    <w:p w14:paraId="2DECD36F" w14:textId="77777777" w:rsidR="00670FD4" w:rsidRPr="008C6A37" w:rsidRDefault="00670FD4" w:rsidP="00670FD4">
      <w:pPr>
        <w:numPr>
          <w:ilvl w:val="0"/>
          <w:numId w:val="8"/>
        </w:numPr>
        <w:ind w:firstLine="567"/>
        <w:rPr>
          <w:lang w:val="ro-RO"/>
        </w:rPr>
      </w:pPr>
      <w:r w:rsidRPr="008C6A37">
        <w:rPr>
          <w:lang w:val="ro-RO"/>
        </w:rPr>
        <w:t>criteriul legăturilor funcționale;</w:t>
      </w:r>
    </w:p>
    <w:p w14:paraId="717809FC" w14:textId="77777777" w:rsidR="00670FD4" w:rsidRPr="008C6A37" w:rsidRDefault="00670FD4" w:rsidP="00670FD4">
      <w:pPr>
        <w:numPr>
          <w:ilvl w:val="0"/>
          <w:numId w:val="8"/>
        </w:numPr>
        <w:ind w:firstLine="567"/>
        <w:rPr>
          <w:lang w:val="ro-RO"/>
        </w:rPr>
      </w:pPr>
      <w:r w:rsidRPr="008C6A37">
        <w:rPr>
          <w:lang w:val="ro-RO"/>
        </w:rPr>
        <w:t>criteriul administrativ-teritorial.</w:t>
      </w:r>
    </w:p>
    <w:p w14:paraId="2523FF63" w14:textId="77777777" w:rsidR="00670FD4" w:rsidRPr="008C6A37" w:rsidRDefault="00670FD4" w:rsidP="00670FD4">
      <w:pPr>
        <w:ind w:firstLine="567"/>
        <w:rPr>
          <w:lang w:val="ro-RO"/>
        </w:rPr>
      </w:pPr>
      <w:r w:rsidRPr="008C6A37">
        <w:rPr>
          <w:lang w:val="ro-RO"/>
        </w:rPr>
        <w:t xml:space="preserve">Astfel, zona costieră românească cuprinde un număr de 19 UAT-uri, din județele Tulcea și Constanța (Tabel </w:t>
      </w:r>
      <w:r>
        <w:rPr>
          <w:lang w:val="ro-RO"/>
        </w:rPr>
        <w:t>1.</w:t>
      </w:r>
      <w:r w:rsidRPr="008C6A37">
        <w:rPr>
          <w:lang w:val="ro-RO"/>
        </w:rPr>
        <w:t xml:space="preserve">3.1 și Fig. </w:t>
      </w:r>
      <w:r>
        <w:rPr>
          <w:lang w:val="ro-RO"/>
        </w:rPr>
        <w:t>1.</w:t>
      </w:r>
      <w:r w:rsidRPr="008C6A37">
        <w:rPr>
          <w:lang w:val="ro-RO"/>
        </w:rPr>
        <w:t xml:space="preserve">3.1), dintre care 2 municipii (Constanța și Mangalia), 4 orașe (Sulina, Năvodari, Eforie, Techirghiol și) și 13 comune (C.A Rosetti, Sfântu Gheorghe, Murighiol, Jurilovca, în județul Tulcea și Mihai Viteazu, Istria, Săcele, Corbu, Agigea, Tuzla, Costinești, 23 August și Limanu, în județul Constanța). În total, zona costieră cuprinde un număr de 48 de localități dintre care 10 sunt localități componente ale municipiilor și orașelor și alte 38 sunt sate componente ale celor 13 comune (16 în județul Tulcea și 22 în județul Constanța). </w:t>
      </w:r>
    </w:p>
    <w:p w14:paraId="71092FBC" w14:textId="77777777" w:rsidR="00670FD4" w:rsidRDefault="00670FD4" w:rsidP="00670FD4">
      <w:pPr>
        <w:rPr>
          <w:b/>
          <w:lang w:val="ro-RO"/>
        </w:rPr>
      </w:pPr>
    </w:p>
    <w:p w14:paraId="08793709" w14:textId="77777777" w:rsidR="00670FD4" w:rsidRPr="008C6A37" w:rsidRDefault="00670FD4" w:rsidP="00670FD4">
      <w:pPr>
        <w:ind w:firstLine="567"/>
        <w:rPr>
          <w:b/>
          <w:lang w:val="ro-RO"/>
        </w:rPr>
      </w:pPr>
      <w:r w:rsidRPr="008C6A37">
        <w:rPr>
          <w:b/>
          <w:lang w:val="ro-RO"/>
        </w:rPr>
        <w:t xml:space="preserve">Tabel </w:t>
      </w:r>
      <w:r>
        <w:rPr>
          <w:b/>
          <w:lang w:val="ro-RO"/>
        </w:rPr>
        <w:t>1.</w:t>
      </w:r>
      <w:r w:rsidRPr="008C6A37">
        <w:rPr>
          <w:b/>
          <w:lang w:val="ro-RO"/>
        </w:rPr>
        <w:t xml:space="preserve">3.1  Structura administrativă a zonei costiere </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0"/>
        <w:gridCol w:w="1419"/>
        <w:gridCol w:w="1373"/>
        <w:gridCol w:w="901"/>
        <w:gridCol w:w="708"/>
        <w:gridCol w:w="991"/>
        <w:gridCol w:w="708"/>
        <w:gridCol w:w="1699"/>
        <w:gridCol w:w="1134"/>
      </w:tblGrid>
      <w:tr w:rsidR="00670FD4" w:rsidRPr="00BC11DC" w14:paraId="787DAA14" w14:textId="77777777" w:rsidTr="001925BA">
        <w:tc>
          <w:tcPr>
            <w:tcW w:w="560" w:type="dxa"/>
            <w:vMerge w:val="restart"/>
          </w:tcPr>
          <w:p w14:paraId="2D4111F0" w14:textId="77777777" w:rsidR="00670FD4" w:rsidRPr="00BC11DC" w:rsidRDefault="00670FD4" w:rsidP="001925BA">
            <w:pPr>
              <w:spacing w:before="0" w:after="0"/>
              <w:ind w:firstLine="0"/>
              <w:jc w:val="center"/>
              <w:rPr>
                <w:rFonts w:eastAsia="Times New Roman"/>
                <w:b/>
                <w:kern w:val="0"/>
                <w:sz w:val="20"/>
                <w:szCs w:val="20"/>
                <w:lang w:val="ro-RO"/>
              </w:rPr>
            </w:pPr>
            <w:r w:rsidRPr="00BC11DC">
              <w:rPr>
                <w:rFonts w:eastAsia="Times New Roman"/>
                <w:b/>
                <w:kern w:val="0"/>
                <w:sz w:val="20"/>
                <w:szCs w:val="20"/>
                <w:lang w:val="ro-RO"/>
              </w:rPr>
              <w:t>Nr. crt</w:t>
            </w:r>
          </w:p>
        </w:tc>
        <w:tc>
          <w:tcPr>
            <w:tcW w:w="1419" w:type="dxa"/>
            <w:vMerge w:val="restart"/>
          </w:tcPr>
          <w:p w14:paraId="3459EA79" w14:textId="77777777" w:rsidR="00670FD4" w:rsidRPr="00BC11DC" w:rsidRDefault="00670FD4" w:rsidP="001925BA">
            <w:pPr>
              <w:spacing w:before="0" w:after="0"/>
              <w:ind w:firstLine="0"/>
              <w:jc w:val="center"/>
              <w:rPr>
                <w:rFonts w:eastAsia="Times New Roman"/>
                <w:b/>
                <w:kern w:val="0"/>
                <w:sz w:val="20"/>
                <w:szCs w:val="20"/>
                <w:lang w:val="ro-RO"/>
              </w:rPr>
            </w:pPr>
            <w:r w:rsidRPr="00BC11DC">
              <w:rPr>
                <w:rFonts w:eastAsia="Times New Roman"/>
                <w:b/>
                <w:kern w:val="0"/>
                <w:sz w:val="20"/>
                <w:szCs w:val="20"/>
                <w:lang w:val="ro-RO"/>
              </w:rPr>
              <w:t>Denumire UAT</w:t>
            </w:r>
          </w:p>
        </w:tc>
        <w:tc>
          <w:tcPr>
            <w:tcW w:w="1373" w:type="dxa"/>
            <w:vMerge w:val="restart"/>
          </w:tcPr>
          <w:p w14:paraId="7884E5F7" w14:textId="77777777" w:rsidR="00670FD4" w:rsidRPr="00BC11DC" w:rsidRDefault="00670FD4" w:rsidP="001925BA">
            <w:pPr>
              <w:spacing w:before="0" w:after="0"/>
              <w:ind w:firstLine="0"/>
              <w:jc w:val="center"/>
              <w:rPr>
                <w:rFonts w:eastAsia="Times New Roman"/>
                <w:b/>
                <w:kern w:val="0"/>
                <w:sz w:val="20"/>
                <w:szCs w:val="20"/>
                <w:lang w:val="ro-RO"/>
              </w:rPr>
            </w:pPr>
            <w:r w:rsidRPr="00BC11DC">
              <w:rPr>
                <w:rFonts w:eastAsia="Times New Roman"/>
                <w:b/>
                <w:kern w:val="0"/>
                <w:sz w:val="20"/>
                <w:szCs w:val="20"/>
                <w:lang w:val="ro-RO"/>
              </w:rPr>
              <w:t>Statut administrativ</w:t>
            </w:r>
          </w:p>
        </w:tc>
        <w:tc>
          <w:tcPr>
            <w:tcW w:w="1609" w:type="dxa"/>
            <w:gridSpan w:val="2"/>
          </w:tcPr>
          <w:p w14:paraId="1D7735E9" w14:textId="77777777" w:rsidR="00670FD4" w:rsidRPr="00BC11DC" w:rsidRDefault="00670FD4" w:rsidP="001925BA">
            <w:pPr>
              <w:spacing w:before="0" w:after="0"/>
              <w:ind w:firstLine="0"/>
              <w:jc w:val="center"/>
              <w:rPr>
                <w:rFonts w:eastAsia="Times New Roman"/>
                <w:b/>
                <w:kern w:val="0"/>
                <w:sz w:val="20"/>
                <w:szCs w:val="20"/>
                <w:lang w:val="ro-RO"/>
              </w:rPr>
            </w:pPr>
            <w:r w:rsidRPr="00BC11DC">
              <w:rPr>
                <w:rFonts w:eastAsia="Times New Roman"/>
                <w:b/>
                <w:kern w:val="0"/>
                <w:sz w:val="20"/>
                <w:szCs w:val="20"/>
                <w:lang w:val="ro-RO"/>
              </w:rPr>
              <w:t>Populație UAT</w:t>
            </w:r>
          </w:p>
        </w:tc>
        <w:tc>
          <w:tcPr>
            <w:tcW w:w="1699" w:type="dxa"/>
            <w:gridSpan w:val="2"/>
          </w:tcPr>
          <w:p w14:paraId="015BE4D2" w14:textId="77777777" w:rsidR="00670FD4" w:rsidRPr="00BC11DC" w:rsidRDefault="00670FD4" w:rsidP="001925BA">
            <w:pPr>
              <w:spacing w:before="0" w:after="0"/>
              <w:ind w:firstLine="0"/>
              <w:jc w:val="center"/>
              <w:rPr>
                <w:rFonts w:eastAsia="Times New Roman"/>
                <w:b/>
                <w:kern w:val="0"/>
                <w:sz w:val="20"/>
                <w:szCs w:val="20"/>
                <w:lang w:val="ro-RO"/>
              </w:rPr>
            </w:pPr>
            <w:r w:rsidRPr="00BC11DC">
              <w:rPr>
                <w:rFonts w:eastAsia="Times New Roman"/>
                <w:b/>
                <w:kern w:val="0"/>
                <w:sz w:val="20"/>
                <w:szCs w:val="20"/>
                <w:lang w:val="ro-RO"/>
              </w:rPr>
              <w:t>Suprafața UAT</w:t>
            </w:r>
          </w:p>
        </w:tc>
        <w:tc>
          <w:tcPr>
            <w:tcW w:w="1699" w:type="dxa"/>
            <w:vMerge w:val="restart"/>
          </w:tcPr>
          <w:p w14:paraId="3D65F01B" w14:textId="77777777" w:rsidR="00670FD4" w:rsidRPr="00BC11DC" w:rsidRDefault="00670FD4" w:rsidP="001925BA">
            <w:pPr>
              <w:spacing w:before="0" w:after="0"/>
              <w:ind w:firstLine="0"/>
              <w:jc w:val="center"/>
              <w:rPr>
                <w:rFonts w:eastAsia="Times New Roman"/>
                <w:b/>
                <w:kern w:val="0"/>
                <w:sz w:val="20"/>
                <w:szCs w:val="20"/>
                <w:lang w:val="ro-RO"/>
              </w:rPr>
            </w:pPr>
            <w:r w:rsidRPr="00BC11DC">
              <w:rPr>
                <w:rFonts w:eastAsia="Times New Roman"/>
                <w:b/>
                <w:kern w:val="0"/>
                <w:sz w:val="20"/>
                <w:szCs w:val="20"/>
                <w:lang w:val="ro-RO"/>
              </w:rPr>
              <w:t>Localități/Sate componente</w:t>
            </w:r>
          </w:p>
        </w:tc>
        <w:tc>
          <w:tcPr>
            <w:tcW w:w="1134" w:type="dxa"/>
            <w:vMerge w:val="restart"/>
          </w:tcPr>
          <w:p w14:paraId="0AB90EE9" w14:textId="77777777" w:rsidR="00670FD4" w:rsidRPr="00BC11DC" w:rsidRDefault="00670FD4" w:rsidP="001925BA">
            <w:pPr>
              <w:spacing w:before="0" w:after="0"/>
              <w:ind w:firstLine="0"/>
              <w:jc w:val="center"/>
              <w:rPr>
                <w:rFonts w:eastAsia="Times New Roman"/>
                <w:b/>
                <w:kern w:val="0"/>
                <w:sz w:val="20"/>
                <w:szCs w:val="20"/>
                <w:lang w:val="ro-RO"/>
              </w:rPr>
            </w:pPr>
            <w:r w:rsidRPr="00BC11DC">
              <w:rPr>
                <w:rFonts w:eastAsia="Times New Roman"/>
                <w:b/>
                <w:kern w:val="0"/>
                <w:sz w:val="20"/>
                <w:szCs w:val="20"/>
                <w:lang w:val="ro-RO"/>
              </w:rPr>
              <w:t>Rang (cf. L351/2001</w:t>
            </w:r>
          </w:p>
        </w:tc>
      </w:tr>
      <w:tr w:rsidR="00670FD4" w:rsidRPr="00BC11DC" w14:paraId="0D3FD583" w14:textId="77777777" w:rsidTr="001925BA">
        <w:tc>
          <w:tcPr>
            <w:tcW w:w="560" w:type="dxa"/>
            <w:vMerge/>
          </w:tcPr>
          <w:p w14:paraId="07F2AC44" w14:textId="77777777" w:rsidR="00670FD4" w:rsidRPr="00BC11DC" w:rsidRDefault="00670FD4" w:rsidP="001925BA">
            <w:pPr>
              <w:widowControl w:val="0"/>
              <w:pBdr>
                <w:top w:val="nil"/>
                <w:left w:val="nil"/>
                <w:bottom w:val="nil"/>
                <w:right w:val="nil"/>
                <w:between w:val="nil"/>
              </w:pBdr>
              <w:spacing w:before="0" w:after="0"/>
              <w:ind w:firstLine="0"/>
              <w:jc w:val="left"/>
              <w:rPr>
                <w:rFonts w:eastAsia="Times New Roman"/>
                <w:b/>
                <w:kern w:val="0"/>
                <w:sz w:val="20"/>
                <w:szCs w:val="20"/>
                <w:lang w:val="ro-RO"/>
              </w:rPr>
            </w:pPr>
          </w:p>
        </w:tc>
        <w:tc>
          <w:tcPr>
            <w:tcW w:w="1419" w:type="dxa"/>
            <w:vMerge/>
          </w:tcPr>
          <w:p w14:paraId="03C76EDE" w14:textId="77777777" w:rsidR="00670FD4" w:rsidRPr="00BC11DC" w:rsidRDefault="00670FD4" w:rsidP="001925BA">
            <w:pPr>
              <w:widowControl w:val="0"/>
              <w:pBdr>
                <w:top w:val="nil"/>
                <w:left w:val="nil"/>
                <w:bottom w:val="nil"/>
                <w:right w:val="nil"/>
                <w:between w:val="nil"/>
              </w:pBdr>
              <w:spacing w:before="0" w:after="0"/>
              <w:ind w:firstLine="0"/>
              <w:jc w:val="left"/>
              <w:rPr>
                <w:rFonts w:eastAsia="Times New Roman"/>
                <w:b/>
                <w:kern w:val="0"/>
                <w:sz w:val="20"/>
                <w:szCs w:val="20"/>
                <w:lang w:val="ro-RO"/>
              </w:rPr>
            </w:pPr>
          </w:p>
        </w:tc>
        <w:tc>
          <w:tcPr>
            <w:tcW w:w="1373" w:type="dxa"/>
            <w:vMerge/>
          </w:tcPr>
          <w:p w14:paraId="14F4FD0A" w14:textId="77777777" w:rsidR="00670FD4" w:rsidRPr="00BC11DC" w:rsidRDefault="00670FD4" w:rsidP="001925BA">
            <w:pPr>
              <w:widowControl w:val="0"/>
              <w:pBdr>
                <w:top w:val="nil"/>
                <w:left w:val="nil"/>
                <w:bottom w:val="nil"/>
                <w:right w:val="nil"/>
                <w:between w:val="nil"/>
              </w:pBdr>
              <w:spacing w:before="0" w:after="0"/>
              <w:ind w:firstLine="0"/>
              <w:jc w:val="left"/>
              <w:rPr>
                <w:rFonts w:eastAsia="Times New Roman"/>
                <w:b/>
                <w:kern w:val="0"/>
                <w:sz w:val="20"/>
                <w:szCs w:val="20"/>
                <w:lang w:val="ro-RO"/>
              </w:rPr>
            </w:pPr>
          </w:p>
        </w:tc>
        <w:tc>
          <w:tcPr>
            <w:tcW w:w="901" w:type="dxa"/>
          </w:tcPr>
          <w:p w14:paraId="159C1990"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b/>
                <w:kern w:val="0"/>
                <w:sz w:val="20"/>
                <w:szCs w:val="20"/>
                <w:lang w:val="ro-RO"/>
              </w:rPr>
              <w:t>nr. loc.</w:t>
            </w:r>
          </w:p>
        </w:tc>
        <w:tc>
          <w:tcPr>
            <w:tcW w:w="708" w:type="dxa"/>
          </w:tcPr>
          <w:p w14:paraId="208D743E"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b/>
                <w:kern w:val="0"/>
                <w:sz w:val="20"/>
                <w:szCs w:val="20"/>
                <w:lang w:val="ro-RO"/>
              </w:rPr>
              <w:t>%</w:t>
            </w:r>
          </w:p>
        </w:tc>
        <w:tc>
          <w:tcPr>
            <w:tcW w:w="991" w:type="dxa"/>
          </w:tcPr>
          <w:p w14:paraId="6DB13A93"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b/>
                <w:kern w:val="0"/>
                <w:sz w:val="20"/>
                <w:szCs w:val="20"/>
                <w:lang w:val="ro-RO"/>
              </w:rPr>
              <w:t>ha</w:t>
            </w:r>
          </w:p>
        </w:tc>
        <w:tc>
          <w:tcPr>
            <w:tcW w:w="708" w:type="dxa"/>
          </w:tcPr>
          <w:p w14:paraId="43210141"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b/>
                <w:kern w:val="0"/>
                <w:sz w:val="20"/>
                <w:szCs w:val="20"/>
                <w:lang w:val="ro-RO"/>
              </w:rPr>
              <w:t>%</w:t>
            </w:r>
          </w:p>
        </w:tc>
        <w:tc>
          <w:tcPr>
            <w:tcW w:w="1699" w:type="dxa"/>
            <w:vMerge/>
          </w:tcPr>
          <w:p w14:paraId="6439EB29" w14:textId="77777777" w:rsidR="00670FD4" w:rsidRPr="00BC11DC" w:rsidRDefault="00670FD4" w:rsidP="001925BA">
            <w:pPr>
              <w:widowControl w:val="0"/>
              <w:pBdr>
                <w:top w:val="nil"/>
                <w:left w:val="nil"/>
                <w:bottom w:val="nil"/>
                <w:right w:val="nil"/>
                <w:between w:val="nil"/>
              </w:pBdr>
              <w:spacing w:before="0" w:after="0"/>
              <w:ind w:firstLine="0"/>
              <w:jc w:val="left"/>
              <w:rPr>
                <w:rFonts w:eastAsia="Times New Roman"/>
                <w:b/>
                <w:kern w:val="0"/>
                <w:sz w:val="20"/>
                <w:szCs w:val="20"/>
                <w:lang w:val="ro-RO"/>
              </w:rPr>
            </w:pPr>
          </w:p>
        </w:tc>
        <w:tc>
          <w:tcPr>
            <w:tcW w:w="1134" w:type="dxa"/>
            <w:vMerge/>
          </w:tcPr>
          <w:p w14:paraId="1CFF67DA" w14:textId="77777777" w:rsidR="00670FD4" w:rsidRPr="00BC11DC" w:rsidRDefault="00670FD4" w:rsidP="001925BA">
            <w:pPr>
              <w:widowControl w:val="0"/>
              <w:pBdr>
                <w:top w:val="nil"/>
                <w:left w:val="nil"/>
                <w:bottom w:val="nil"/>
                <w:right w:val="nil"/>
                <w:between w:val="nil"/>
              </w:pBdr>
              <w:spacing w:before="0" w:after="0"/>
              <w:ind w:firstLine="0"/>
              <w:jc w:val="left"/>
              <w:rPr>
                <w:rFonts w:eastAsia="Times New Roman"/>
                <w:b/>
                <w:kern w:val="0"/>
                <w:sz w:val="20"/>
                <w:szCs w:val="20"/>
                <w:lang w:val="ro-RO"/>
              </w:rPr>
            </w:pPr>
          </w:p>
        </w:tc>
      </w:tr>
      <w:tr w:rsidR="00670FD4" w:rsidRPr="00BC11DC" w14:paraId="1611470D" w14:textId="77777777" w:rsidTr="001925BA">
        <w:tc>
          <w:tcPr>
            <w:tcW w:w="560" w:type="dxa"/>
          </w:tcPr>
          <w:p w14:paraId="64EEC8B9"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1</w:t>
            </w:r>
          </w:p>
        </w:tc>
        <w:tc>
          <w:tcPr>
            <w:tcW w:w="1419" w:type="dxa"/>
          </w:tcPr>
          <w:p w14:paraId="37973BA5"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C.A Rosetti</w:t>
            </w:r>
          </w:p>
        </w:tc>
        <w:tc>
          <w:tcPr>
            <w:tcW w:w="1373" w:type="dxa"/>
          </w:tcPr>
          <w:p w14:paraId="3FD80BFF"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Comună</w:t>
            </w:r>
          </w:p>
        </w:tc>
        <w:tc>
          <w:tcPr>
            <w:tcW w:w="901" w:type="dxa"/>
          </w:tcPr>
          <w:p w14:paraId="5E51146B"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636</w:t>
            </w:r>
          </w:p>
        </w:tc>
        <w:tc>
          <w:tcPr>
            <w:tcW w:w="708" w:type="dxa"/>
          </w:tcPr>
          <w:p w14:paraId="67894474"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0,16</w:t>
            </w:r>
          </w:p>
        </w:tc>
        <w:tc>
          <w:tcPr>
            <w:tcW w:w="991" w:type="dxa"/>
          </w:tcPr>
          <w:p w14:paraId="18141273"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26.638</w:t>
            </w:r>
          </w:p>
        </w:tc>
        <w:tc>
          <w:tcPr>
            <w:tcW w:w="708" w:type="dxa"/>
          </w:tcPr>
          <w:p w14:paraId="5514865D"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7,49</w:t>
            </w:r>
          </w:p>
        </w:tc>
        <w:tc>
          <w:tcPr>
            <w:tcW w:w="1699" w:type="dxa"/>
          </w:tcPr>
          <w:p w14:paraId="0F738DA8" w14:textId="77777777" w:rsidR="00670FD4" w:rsidRPr="00BC11DC" w:rsidRDefault="00670FD4" w:rsidP="001925BA">
            <w:pPr>
              <w:spacing w:before="0" w:after="0" w:line="240" w:lineRule="auto"/>
              <w:ind w:firstLine="0"/>
              <w:rPr>
                <w:rFonts w:eastAsia="Times New Roman"/>
                <w:kern w:val="0"/>
                <w:sz w:val="20"/>
                <w:szCs w:val="20"/>
                <w:lang w:val="ro-RO"/>
              </w:rPr>
            </w:pPr>
            <w:r w:rsidRPr="00BC11DC">
              <w:rPr>
                <w:rFonts w:eastAsia="Times New Roman"/>
                <w:kern w:val="0"/>
                <w:sz w:val="20"/>
                <w:szCs w:val="20"/>
                <w:lang w:val="ro-RO"/>
              </w:rPr>
              <w:t>C.A. Rosetti</w:t>
            </w:r>
          </w:p>
          <w:p w14:paraId="5F0E20C6" w14:textId="77777777" w:rsidR="00670FD4" w:rsidRPr="00BC11DC" w:rsidRDefault="00670FD4" w:rsidP="001925BA">
            <w:pPr>
              <w:spacing w:before="0" w:after="0" w:line="240" w:lineRule="auto"/>
              <w:ind w:firstLine="0"/>
              <w:rPr>
                <w:rFonts w:eastAsia="Times New Roman"/>
                <w:kern w:val="0"/>
                <w:sz w:val="20"/>
                <w:szCs w:val="20"/>
                <w:lang w:val="ro-RO"/>
              </w:rPr>
            </w:pPr>
            <w:r w:rsidRPr="00BC11DC">
              <w:rPr>
                <w:rFonts w:eastAsia="Times New Roman"/>
                <w:kern w:val="0"/>
                <w:sz w:val="20"/>
                <w:szCs w:val="20"/>
                <w:lang w:val="ro-RO"/>
              </w:rPr>
              <w:t>Cardon</w:t>
            </w:r>
          </w:p>
          <w:p w14:paraId="3C0C355B" w14:textId="77777777" w:rsidR="00670FD4" w:rsidRPr="00BC11DC" w:rsidRDefault="00670FD4" w:rsidP="001925BA">
            <w:pPr>
              <w:spacing w:before="0" w:after="0" w:line="240" w:lineRule="auto"/>
              <w:ind w:firstLine="0"/>
              <w:rPr>
                <w:rFonts w:eastAsia="Times New Roman"/>
                <w:kern w:val="0"/>
                <w:sz w:val="20"/>
                <w:szCs w:val="20"/>
                <w:lang w:val="ro-RO"/>
              </w:rPr>
            </w:pPr>
            <w:r w:rsidRPr="00BC11DC">
              <w:rPr>
                <w:rFonts w:eastAsia="Times New Roman"/>
                <w:kern w:val="0"/>
                <w:sz w:val="20"/>
                <w:szCs w:val="20"/>
                <w:lang w:val="ro-RO"/>
              </w:rPr>
              <w:t>Letea</w:t>
            </w:r>
          </w:p>
          <w:p w14:paraId="3B67AD57" w14:textId="77777777" w:rsidR="00670FD4" w:rsidRPr="00BC11DC" w:rsidRDefault="00670FD4" w:rsidP="001925BA">
            <w:pPr>
              <w:spacing w:before="0" w:after="0" w:line="240" w:lineRule="auto"/>
              <w:ind w:firstLine="0"/>
              <w:rPr>
                <w:rFonts w:eastAsia="Times New Roman"/>
                <w:kern w:val="0"/>
                <w:sz w:val="20"/>
                <w:szCs w:val="20"/>
                <w:lang w:val="ro-RO"/>
              </w:rPr>
            </w:pPr>
            <w:r w:rsidRPr="00BC11DC">
              <w:rPr>
                <w:rFonts w:eastAsia="Times New Roman"/>
                <w:kern w:val="0"/>
                <w:sz w:val="20"/>
                <w:szCs w:val="20"/>
                <w:lang w:val="ro-RO"/>
              </w:rPr>
              <w:t>Periprava</w:t>
            </w:r>
          </w:p>
          <w:p w14:paraId="1371AED0" w14:textId="77777777" w:rsidR="00670FD4" w:rsidRPr="00BC11DC" w:rsidRDefault="00670FD4" w:rsidP="001925BA">
            <w:pPr>
              <w:spacing w:before="0" w:after="0" w:line="240" w:lineRule="auto"/>
              <w:ind w:firstLine="0"/>
              <w:rPr>
                <w:rFonts w:eastAsia="Times New Roman"/>
                <w:kern w:val="0"/>
                <w:sz w:val="20"/>
                <w:szCs w:val="20"/>
                <w:lang w:val="ro-RO"/>
              </w:rPr>
            </w:pPr>
            <w:r w:rsidRPr="00BC11DC">
              <w:rPr>
                <w:rFonts w:eastAsia="Times New Roman"/>
                <w:kern w:val="0"/>
                <w:sz w:val="20"/>
                <w:szCs w:val="20"/>
                <w:lang w:val="ro-RO"/>
              </w:rPr>
              <w:t>Sfiştofca</w:t>
            </w:r>
          </w:p>
        </w:tc>
        <w:tc>
          <w:tcPr>
            <w:tcW w:w="1134" w:type="dxa"/>
          </w:tcPr>
          <w:p w14:paraId="0B4C0AA0"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IV</w:t>
            </w:r>
          </w:p>
          <w:p w14:paraId="7F406447"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V</w:t>
            </w:r>
          </w:p>
          <w:p w14:paraId="6453F4EC"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V</w:t>
            </w:r>
          </w:p>
          <w:p w14:paraId="03E7E8C4"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V</w:t>
            </w:r>
          </w:p>
          <w:p w14:paraId="72D9514F"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V</w:t>
            </w:r>
          </w:p>
        </w:tc>
      </w:tr>
      <w:tr w:rsidR="00670FD4" w:rsidRPr="00BC11DC" w14:paraId="519CD051" w14:textId="77777777" w:rsidTr="001925BA">
        <w:tc>
          <w:tcPr>
            <w:tcW w:w="560" w:type="dxa"/>
          </w:tcPr>
          <w:p w14:paraId="2FDF813C"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2</w:t>
            </w:r>
          </w:p>
        </w:tc>
        <w:tc>
          <w:tcPr>
            <w:tcW w:w="1419" w:type="dxa"/>
            <w:tcBorders>
              <w:top w:val="single" w:sz="6" w:space="0" w:color="000000"/>
              <w:left w:val="single" w:sz="6" w:space="0" w:color="000000"/>
              <w:bottom w:val="single" w:sz="6" w:space="0" w:color="000000"/>
              <w:right w:val="single" w:sz="6" w:space="0" w:color="000000"/>
            </w:tcBorders>
          </w:tcPr>
          <w:p w14:paraId="2C6DA786"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Sulina</w:t>
            </w:r>
          </w:p>
        </w:tc>
        <w:tc>
          <w:tcPr>
            <w:tcW w:w="1373" w:type="dxa"/>
            <w:tcBorders>
              <w:top w:val="single" w:sz="6" w:space="0" w:color="000000"/>
              <w:left w:val="single" w:sz="6" w:space="0" w:color="000000"/>
              <w:bottom w:val="single" w:sz="6" w:space="0" w:color="000000"/>
              <w:right w:val="single" w:sz="6" w:space="0" w:color="000000"/>
            </w:tcBorders>
          </w:tcPr>
          <w:p w14:paraId="05C09986"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Oraș</w:t>
            </w:r>
          </w:p>
        </w:tc>
        <w:tc>
          <w:tcPr>
            <w:tcW w:w="901" w:type="dxa"/>
            <w:tcBorders>
              <w:top w:val="single" w:sz="6" w:space="0" w:color="000000"/>
              <w:left w:val="single" w:sz="6" w:space="0" w:color="000000"/>
              <w:bottom w:val="single" w:sz="6" w:space="0" w:color="000000"/>
              <w:right w:val="single" w:sz="6" w:space="0" w:color="000000"/>
            </w:tcBorders>
          </w:tcPr>
          <w:p w14:paraId="48CE54FD"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3.118</w:t>
            </w:r>
          </w:p>
        </w:tc>
        <w:tc>
          <w:tcPr>
            <w:tcW w:w="708" w:type="dxa"/>
            <w:tcBorders>
              <w:top w:val="single" w:sz="6" w:space="0" w:color="000000"/>
              <w:left w:val="single" w:sz="6" w:space="0" w:color="000000"/>
              <w:bottom w:val="single" w:sz="6" w:space="0" w:color="000000"/>
              <w:right w:val="single" w:sz="6" w:space="0" w:color="000000"/>
            </w:tcBorders>
          </w:tcPr>
          <w:p w14:paraId="2E9F474D"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0,78</w:t>
            </w:r>
          </w:p>
        </w:tc>
        <w:tc>
          <w:tcPr>
            <w:tcW w:w="991" w:type="dxa"/>
            <w:tcBorders>
              <w:top w:val="single" w:sz="6" w:space="0" w:color="000000"/>
              <w:left w:val="single" w:sz="6" w:space="0" w:color="000000"/>
              <w:bottom w:val="single" w:sz="6" w:space="0" w:color="000000"/>
              <w:right w:val="single" w:sz="6" w:space="0" w:color="000000"/>
            </w:tcBorders>
          </w:tcPr>
          <w:p w14:paraId="2F7F2333"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32.835</w:t>
            </w:r>
          </w:p>
        </w:tc>
        <w:tc>
          <w:tcPr>
            <w:tcW w:w="708" w:type="dxa"/>
            <w:tcBorders>
              <w:top w:val="single" w:sz="6" w:space="0" w:color="000000"/>
              <w:left w:val="single" w:sz="6" w:space="0" w:color="000000"/>
              <w:bottom w:val="single" w:sz="6" w:space="0" w:color="000000"/>
              <w:right w:val="single" w:sz="6" w:space="0" w:color="000000"/>
            </w:tcBorders>
          </w:tcPr>
          <w:p w14:paraId="3B762748"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9,24</w:t>
            </w:r>
          </w:p>
        </w:tc>
        <w:tc>
          <w:tcPr>
            <w:tcW w:w="1699" w:type="dxa"/>
            <w:tcBorders>
              <w:top w:val="single" w:sz="6" w:space="0" w:color="000000"/>
              <w:left w:val="single" w:sz="6" w:space="0" w:color="000000"/>
              <w:bottom w:val="single" w:sz="6" w:space="0" w:color="000000"/>
              <w:right w:val="single" w:sz="6" w:space="0" w:color="000000"/>
            </w:tcBorders>
          </w:tcPr>
          <w:p w14:paraId="3ECDC122" w14:textId="77777777" w:rsidR="00670FD4" w:rsidRPr="00BC11DC" w:rsidRDefault="00670FD4" w:rsidP="001925BA">
            <w:pPr>
              <w:spacing w:before="0" w:after="0" w:line="240" w:lineRule="auto"/>
              <w:ind w:firstLine="0"/>
              <w:jc w:val="left"/>
              <w:rPr>
                <w:rFonts w:eastAsia="Times New Roman"/>
                <w:kern w:val="0"/>
                <w:sz w:val="20"/>
                <w:szCs w:val="20"/>
                <w:lang w:val="ro-RO"/>
              </w:rPr>
            </w:pPr>
            <w:r w:rsidRPr="00BC11DC">
              <w:rPr>
                <w:rFonts w:eastAsia="Times New Roman"/>
                <w:kern w:val="0"/>
                <w:sz w:val="20"/>
                <w:szCs w:val="20"/>
                <w:lang w:val="ro-RO"/>
              </w:rPr>
              <w:t>Sulina</w:t>
            </w:r>
          </w:p>
        </w:tc>
        <w:tc>
          <w:tcPr>
            <w:tcW w:w="1134" w:type="dxa"/>
            <w:tcBorders>
              <w:top w:val="single" w:sz="6" w:space="0" w:color="000000"/>
              <w:left w:val="single" w:sz="6" w:space="0" w:color="000000"/>
              <w:bottom w:val="single" w:sz="6" w:space="0" w:color="000000"/>
              <w:right w:val="single" w:sz="6" w:space="0" w:color="000000"/>
            </w:tcBorders>
          </w:tcPr>
          <w:p w14:paraId="7677163B"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III</w:t>
            </w:r>
          </w:p>
        </w:tc>
      </w:tr>
      <w:tr w:rsidR="00670FD4" w:rsidRPr="00BC11DC" w14:paraId="334AF442" w14:textId="77777777" w:rsidTr="001925BA">
        <w:tc>
          <w:tcPr>
            <w:tcW w:w="560" w:type="dxa"/>
          </w:tcPr>
          <w:p w14:paraId="07F08913"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3</w:t>
            </w:r>
          </w:p>
        </w:tc>
        <w:tc>
          <w:tcPr>
            <w:tcW w:w="1419" w:type="dxa"/>
            <w:tcBorders>
              <w:top w:val="single" w:sz="6" w:space="0" w:color="000000"/>
              <w:left w:val="single" w:sz="6" w:space="0" w:color="000000"/>
              <w:bottom w:val="single" w:sz="6" w:space="0" w:color="000000"/>
              <w:right w:val="single" w:sz="6" w:space="0" w:color="000000"/>
            </w:tcBorders>
          </w:tcPr>
          <w:p w14:paraId="31C7429E"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Sfântu Gheorghe</w:t>
            </w:r>
          </w:p>
        </w:tc>
        <w:tc>
          <w:tcPr>
            <w:tcW w:w="1373" w:type="dxa"/>
            <w:tcBorders>
              <w:top w:val="single" w:sz="6" w:space="0" w:color="000000"/>
              <w:left w:val="single" w:sz="6" w:space="0" w:color="000000"/>
              <w:bottom w:val="single" w:sz="6" w:space="0" w:color="000000"/>
              <w:right w:val="single" w:sz="6" w:space="0" w:color="000000"/>
            </w:tcBorders>
          </w:tcPr>
          <w:p w14:paraId="44538163"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Comună</w:t>
            </w:r>
          </w:p>
        </w:tc>
        <w:tc>
          <w:tcPr>
            <w:tcW w:w="901" w:type="dxa"/>
            <w:tcBorders>
              <w:top w:val="single" w:sz="6" w:space="0" w:color="000000"/>
              <w:left w:val="single" w:sz="6" w:space="0" w:color="000000"/>
              <w:bottom w:val="single" w:sz="6" w:space="0" w:color="000000"/>
              <w:right w:val="single" w:sz="6" w:space="0" w:color="000000"/>
            </w:tcBorders>
          </w:tcPr>
          <w:p w14:paraId="52979293"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639</w:t>
            </w:r>
          </w:p>
        </w:tc>
        <w:tc>
          <w:tcPr>
            <w:tcW w:w="708" w:type="dxa"/>
            <w:tcBorders>
              <w:top w:val="single" w:sz="6" w:space="0" w:color="000000"/>
              <w:left w:val="single" w:sz="6" w:space="0" w:color="000000"/>
              <w:bottom w:val="single" w:sz="6" w:space="0" w:color="000000"/>
              <w:right w:val="single" w:sz="6" w:space="0" w:color="000000"/>
            </w:tcBorders>
          </w:tcPr>
          <w:p w14:paraId="1BDEE28D"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0,16</w:t>
            </w:r>
          </w:p>
        </w:tc>
        <w:tc>
          <w:tcPr>
            <w:tcW w:w="991" w:type="dxa"/>
            <w:tcBorders>
              <w:top w:val="single" w:sz="6" w:space="0" w:color="000000"/>
              <w:left w:val="single" w:sz="6" w:space="0" w:color="000000"/>
              <w:bottom w:val="single" w:sz="6" w:space="0" w:color="000000"/>
              <w:right w:val="single" w:sz="6" w:space="0" w:color="000000"/>
            </w:tcBorders>
          </w:tcPr>
          <w:p w14:paraId="50A60A32"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60.576</w:t>
            </w:r>
          </w:p>
        </w:tc>
        <w:tc>
          <w:tcPr>
            <w:tcW w:w="708" w:type="dxa"/>
            <w:tcBorders>
              <w:top w:val="single" w:sz="6" w:space="0" w:color="000000"/>
              <w:left w:val="single" w:sz="6" w:space="0" w:color="000000"/>
              <w:bottom w:val="single" w:sz="6" w:space="0" w:color="000000"/>
              <w:right w:val="single" w:sz="6" w:space="0" w:color="000000"/>
            </w:tcBorders>
          </w:tcPr>
          <w:p w14:paraId="0CE20B3D"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17,04</w:t>
            </w:r>
          </w:p>
        </w:tc>
        <w:tc>
          <w:tcPr>
            <w:tcW w:w="1699" w:type="dxa"/>
            <w:tcBorders>
              <w:top w:val="single" w:sz="6" w:space="0" w:color="000000"/>
              <w:left w:val="single" w:sz="6" w:space="0" w:color="000000"/>
              <w:bottom w:val="single" w:sz="6" w:space="0" w:color="000000"/>
              <w:right w:val="single" w:sz="6" w:space="0" w:color="000000"/>
            </w:tcBorders>
          </w:tcPr>
          <w:p w14:paraId="56D5EC4A" w14:textId="77777777" w:rsidR="00670FD4" w:rsidRPr="00BC11DC" w:rsidRDefault="00670FD4" w:rsidP="001925BA">
            <w:pPr>
              <w:spacing w:before="0" w:after="0" w:line="240" w:lineRule="auto"/>
              <w:ind w:firstLine="0"/>
              <w:jc w:val="left"/>
              <w:rPr>
                <w:rFonts w:eastAsia="Times New Roman"/>
                <w:kern w:val="0"/>
                <w:sz w:val="20"/>
                <w:szCs w:val="20"/>
                <w:lang w:val="ro-RO"/>
              </w:rPr>
            </w:pPr>
            <w:r w:rsidRPr="00BC11DC">
              <w:rPr>
                <w:rFonts w:eastAsia="Times New Roman"/>
                <w:kern w:val="0"/>
                <w:sz w:val="20"/>
                <w:szCs w:val="20"/>
                <w:lang w:val="ro-RO"/>
              </w:rPr>
              <w:t>Sfântu Gheorghe</w:t>
            </w:r>
          </w:p>
        </w:tc>
        <w:tc>
          <w:tcPr>
            <w:tcW w:w="1134" w:type="dxa"/>
            <w:tcBorders>
              <w:top w:val="single" w:sz="6" w:space="0" w:color="000000"/>
              <w:left w:val="single" w:sz="6" w:space="0" w:color="000000"/>
              <w:bottom w:val="single" w:sz="6" w:space="0" w:color="000000"/>
              <w:right w:val="single" w:sz="6" w:space="0" w:color="000000"/>
            </w:tcBorders>
          </w:tcPr>
          <w:p w14:paraId="67D6B782"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IV</w:t>
            </w:r>
          </w:p>
        </w:tc>
      </w:tr>
      <w:tr w:rsidR="00670FD4" w:rsidRPr="00BC11DC" w14:paraId="5B33FC06" w14:textId="77777777" w:rsidTr="001925BA">
        <w:tc>
          <w:tcPr>
            <w:tcW w:w="560" w:type="dxa"/>
          </w:tcPr>
          <w:p w14:paraId="5D894F62"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4</w:t>
            </w:r>
          </w:p>
        </w:tc>
        <w:tc>
          <w:tcPr>
            <w:tcW w:w="1419" w:type="dxa"/>
            <w:tcBorders>
              <w:top w:val="single" w:sz="6" w:space="0" w:color="000000"/>
              <w:left w:val="single" w:sz="6" w:space="0" w:color="000000"/>
              <w:bottom w:val="single" w:sz="6" w:space="0" w:color="000000"/>
              <w:right w:val="single" w:sz="6" w:space="0" w:color="000000"/>
            </w:tcBorders>
          </w:tcPr>
          <w:p w14:paraId="77B74069"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Murighiol</w:t>
            </w:r>
          </w:p>
        </w:tc>
        <w:tc>
          <w:tcPr>
            <w:tcW w:w="1373" w:type="dxa"/>
            <w:tcBorders>
              <w:top w:val="single" w:sz="6" w:space="0" w:color="000000"/>
              <w:left w:val="single" w:sz="6" w:space="0" w:color="000000"/>
              <w:bottom w:val="single" w:sz="6" w:space="0" w:color="000000"/>
              <w:right w:val="single" w:sz="6" w:space="0" w:color="000000"/>
            </w:tcBorders>
          </w:tcPr>
          <w:p w14:paraId="4C2EE5DE"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Comună</w:t>
            </w:r>
          </w:p>
        </w:tc>
        <w:tc>
          <w:tcPr>
            <w:tcW w:w="901" w:type="dxa"/>
            <w:tcBorders>
              <w:top w:val="single" w:sz="6" w:space="0" w:color="000000"/>
              <w:left w:val="single" w:sz="6" w:space="0" w:color="000000"/>
              <w:bottom w:val="single" w:sz="6" w:space="0" w:color="000000"/>
              <w:right w:val="single" w:sz="6" w:space="0" w:color="000000"/>
            </w:tcBorders>
          </w:tcPr>
          <w:p w14:paraId="3E355AE1"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2.959</w:t>
            </w:r>
          </w:p>
        </w:tc>
        <w:tc>
          <w:tcPr>
            <w:tcW w:w="708" w:type="dxa"/>
            <w:tcBorders>
              <w:top w:val="single" w:sz="6" w:space="0" w:color="000000"/>
              <w:left w:val="single" w:sz="6" w:space="0" w:color="000000"/>
              <w:bottom w:val="single" w:sz="6" w:space="0" w:color="000000"/>
              <w:right w:val="single" w:sz="6" w:space="0" w:color="000000"/>
            </w:tcBorders>
          </w:tcPr>
          <w:p w14:paraId="1FEC2C6D"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0,74</w:t>
            </w:r>
          </w:p>
        </w:tc>
        <w:tc>
          <w:tcPr>
            <w:tcW w:w="991" w:type="dxa"/>
            <w:tcBorders>
              <w:top w:val="single" w:sz="6" w:space="0" w:color="000000"/>
              <w:left w:val="single" w:sz="6" w:space="0" w:color="000000"/>
              <w:bottom w:val="single" w:sz="6" w:space="0" w:color="000000"/>
              <w:right w:val="single" w:sz="6" w:space="0" w:color="000000"/>
            </w:tcBorders>
          </w:tcPr>
          <w:p w14:paraId="42711E66"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80.449</w:t>
            </w:r>
          </w:p>
        </w:tc>
        <w:tc>
          <w:tcPr>
            <w:tcW w:w="708" w:type="dxa"/>
            <w:tcBorders>
              <w:top w:val="single" w:sz="6" w:space="0" w:color="000000"/>
              <w:left w:val="single" w:sz="6" w:space="0" w:color="000000"/>
              <w:bottom w:val="single" w:sz="6" w:space="0" w:color="000000"/>
              <w:right w:val="single" w:sz="6" w:space="0" w:color="000000"/>
            </w:tcBorders>
          </w:tcPr>
          <w:p w14:paraId="08A80FDE"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22,63</w:t>
            </w:r>
          </w:p>
        </w:tc>
        <w:tc>
          <w:tcPr>
            <w:tcW w:w="1699" w:type="dxa"/>
            <w:tcBorders>
              <w:top w:val="single" w:sz="6" w:space="0" w:color="000000"/>
              <w:left w:val="single" w:sz="6" w:space="0" w:color="000000"/>
              <w:bottom w:val="single" w:sz="6" w:space="0" w:color="000000"/>
              <w:right w:val="single" w:sz="6" w:space="0" w:color="000000"/>
            </w:tcBorders>
          </w:tcPr>
          <w:p w14:paraId="32755ED6"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lang w:val="ro-RO"/>
              </w:rPr>
            </w:pPr>
            <w:r w:rsidRPr="00BC11DC">
              <w:rPr>
                <w:rFonts w:eastAsia="Times New Roman"/>
                <w:color w:val="000000"/>
                <w:kern w:val="0"/>
                <w:sz w:val="20"/>
                <w:szCs w:val="20"/>
                <w:lang w:val="ro-RO"/>
              </w:rPr>
              <w:t>Murighiol</w:t>
            </w:r>
          </w:p>
          <w:p w14:paraId="5BC41181"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lang w:val="ro-RO"/>
              </w:rPr>
            </w:pPr>
            <w:r w:rsidRPr="00BC11DC">
              <w:rPr>
                <w:rFonts w:eastAsia="Times New Roman"/>
                <w:color w:val="000000"/>
                <w:kern w:val="0"/>
                <w:sz w:val="20"/>
                <w:szCs w:val="20"/>
                <w:lang w:val="ro-RO"/>
              </w:rPr>
              <w:t>Colina</w:t>
            </w:r>
          </w:p>
          <w:p w14:paraId="0BE072EF"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lang w:val="ro-RO"/>
              </w:rPr>
            </w:pPr>
            <w:r w:rsidRPr="00BC11DC">
              <w:rPr>
                <w:rFonts w:eastAsia="Times New Roman"/>
                <w:color w:val="000000"/>
                <w:kern w:val="0"/>
                <w:sz w:val="20"/>
                <w:szCs w:val="20"/>
                <w:lang w:val="ro-RO"/>
              </w:rPr>
              <w:t>Dunavăţu de Jos</w:t>
            </w:r>
          </w:p>
          <w:p w14:paraId="3CA5F1F9"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lang w:val="ro-RO"/>
              </w:rPr>
            </w:pPr>
            <w:r w:rsidRPr="00BC11DC">
              <w:rPr>
                <w:rFonts w:eastAsia="Times New Roman"/>
                <w:color w:val="000000"/>
                <w:kern w:val="0"/>
                <w:sz w:val="20"/>
                <w:szCs w:val="20"/>
                <w:lang w:val="ro-RO"/>
              </w:rPr>
              <w:t>Dunavăţu de Sus</w:t>
            </w:r>
          </w:p>
          <w:p w14:paraId="4540AB4F"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lang w:val="ro-RO"/>
              </w:rPr>
            </w:pPr>
            <w:r w:rsidRPr="00BC11DC">
              <w:rPr>
                <w:rFonts w:eastAsia="Times New Roman"/>
                <w:color w:val="000000"/>
                <w:kern w:val="0"/>
                <w:sz w:val="20"/>
                <w:szCs w:val="20"/>
                <w:lang w:val="ro-RO"/>
              </w:rPr>
              <w:t>Plopul</w:t>
            </w:r>
          </w:p>
          <w:p w14:paraId="5CF8C4F9"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Sarinasuf</w:t>
            </w:r>
          </w:p>
          <w:p w14:paraId="4EA9650A"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lang w:val="ro-RO"/>
              </w:rPr>
            </w:pPr>
            <w:r w:rsidRPr="00BC11DC">
              <w:rPr>
                <w:rFonts w:eastAsia="Times New Roman"/>
                <w:color w:val="000000"/>
                <w:kern w:val="0"/>
                <w:sz w:val="20"/>
                <w:szCs w:val="20"/>
                <w:lang w:val="ro-RO"/>
              </w:rPr>
              <w:t>Uzlina</w:t>
            </w:r>
          </w:p>
        </w:tc>
        <w:tc>
          <w:tcPr>
            <w:tcW w:w="1134" w:type="dxa"/>
            <w:tcBorders>
              <w:top w:val="single" w:sz="6" w:space="0" w:color="000000"/>
              <w:left w:val="single" w:sz="6" w:space="0" w:color="000000"/>
              <w:bottom w:val="single" w:sz="6" w:space="0" w:color="000000"/>
              <w:right w:val="single" w:sz="6" w:space="0" w:color="000000"/>
            </w:tcBorders>
          </w:tcPr>
          <w:p w14:paraId="53960FA4" w14:textId="77777777" w:rsidR="00670FD4" w:rsidRPr="00BC11DC" w:rsidRDefault="00670FD4" w:rsidP="001925BA">
            <w:pPr>
              <w:pBdr>
                <w:top w:val="nil"/>
                <w:left w:val="nil"/>
                <w:bottom w:val="nil"/>
                <w:right w:val="nil"/>
                <w:between w:val="nil"/>
              </w:pBdr>
              <w:spacing w:before="0" w:after="0" w:line="240" w:lineRule="auto"/>
              <w:ind w:firstLine="0"/>
              <w:jc w:val="center"/>
              <w:rPr>
                <w:rFonts w:eastAsia="Times New Roman"/>
                <w:color w:val="000000"/>
                <w:kern w:val="0"/>
                <w:lang w:val="ro-RO"/>
              </w:rPr>
            </w:pPr>
            <w:r w:rsidRPr="00BC11DC">
              <w:rPr>
                <w:rFonts w:eastAsia="Times New Roman"/>
                <w:color w:val="000000"/>
                <w:kern w:val="0"/>
                <w:sz w:val="20"/>
                <w:szCs w:val="20"/>
                <w:lang w:val="ro-RO"/>
              </w:rPr>
              <w:t>IV</w:t>
            </w:r>
          </w:p>
          <w:p w14:paraId="3EE2ECB5" w14:textId="77777777" w:rsidR="00670FD4" w:rsidRPr="00BC11DC" w:rsidRDefault="00670FD4" w:rsidP="001925BA">
            <w:pPr>
              <w:pBdr>
                <w:top w:val="nil"/>
                <w:left w:val="nil"/>
                <w:bottom w:val="nil"/>
                <w:right w:val="nil"/>
                <w:between w:val="nil"/>
              </w:pBdr>
              <w:spacing w:before="0" w:after="0" w:line="240" w:lineRule="auto"/>
              <w:ind w:firstLine="0"/>
              <w:jc w:val="center"/>
              <w:rPr>
                <w:rFonts w:eastAsia="Times New Roman"/>
                <w:color w:val="000000"/>
                <w:kern w:val="0"/>
                <w:lang w:val="ro-RO"/>
              </w:rPr>
            </w:pPr>
            <w:r w:rsidRPr="00BC11DC">
              <w:rPr>
                <w:rFonts w:eastAsia="Times New Roman"/>
                <w:color w:val="000000"/>
                <w:kern w:val="0"/>
                <w:sz w:val="20"/>
                <w:szCs w:val="20"/>
                <w:lang w:val="ro-RO"/>
              </w:rPr>
              <w:t>V</w:t>
            </w:r>
          </w:p>
          <w:p w14:paraId="229FA556" w14:textId="77777777" w:rsidR="00670FD4" w:rsidRPr="00BC11DC" w:rsidRDefault="00670FD4" w:rsidP="001925BA">
            <w:pPr>
              <w:pBdr>
                <w:top w:val="nil"/>
                <w:left w:val="nil"/>
                <w:bottom w:val="nil"/>
                <w:right w:val="nil"/>
                <w:between w:val="nil"/>
              </w:pBdr>
              <w:spacing w:before="0" w:after="0" w:line="240" w:lineRule="auto"/>
              <w:ind w:firstLine="0"/>
              <w:jc w:val="center"/>
              <w:rPr>
                <w:rFonts w:eastAsia="Times New Roman"/>
                <w:color w:val="000000"/>
                <w:kern w:val="0"/>
                <w:lang w:val="ro-RO"/>
              </w:rPr>
            </w:pPr>
            <w:r w:rsidRPr="00BC11DC">
              <w:rPr>
                <w:rFonts w:eastAsia="Times New Roman"/>
                <w:color w:val="000000"/>
                <w:kern w:val="0"/>
                <w:sz w:val="20"/>
                <w:szCs w:val="20"/>
                <w:lang w:val="ro-RO"/>
              </w:rPr>
              <w:t>V</w:t>
            </w:r>
          </w:p>
          <w:p w14:paraId="619695F4" w14:textId="77777777" w:rsidR="00670FD4" w:rsidRPr="00BC11DC" w:rsidRDefault="00670FD4" w:rsidP="001925BA">
            <w:pPr>
              <w:pBdr>
                <w:top w:val="nil"/>
                <w:left w:val="nil"/>
                <w:bottom w:val="nil"/>
                <w:right w:val="nil"/>
                <w:between w:val="nil"/>
              </w:pBdr>
              <w:spacing w:before="0" w:after="0" w:line="240" w:lineRule="auto"/>
              <w:ind w:firstLine="0"/>
              <w:jc w:val="center"/>
              <w:rPr>
                <w:rFonts w:eastAsia="Times New Roman"/>
                <w:color w:val="000000"/>
                <w:kern w:val="0"/>
                <w:lang w:val="ro-RO"/>
              </w:rPr>
            </w:pPr>
            <w:r w:rsidRPr="00BC11DC">
              <w:rPr>
                <w:rFonts w:eastAsia="Times New Roman"/>
                <w:color w:val="000000"/>
                <w:kern w:val="0"/>
                <w:sz w:val="20"/>
                <w:szCs w:val="20"/>
                <w:lang w:val="ro-RO"/>
              </w:rPr>
              <w:t>V</w:t>
            </w:r>
          </w:p>
          <w:p w14:paraId="690396F1" w14:textId="77777777" w:rsidR="00670FD4" w:rsidRPr="00BC11DC" w:rsidRDefault="00670FD4" w:rsidP="001925BA">
            <w:pPr>
              <w:pBdr>
                <w:top w:val="nil"/>
                <w:left w:val="nil"/>
                <w:bottom w:val="nil"/>
                <w:right w:val="nil"/>
                <w:between w:val="nil"/>
              </w:pBdr>
              <w:spacing w:before="0" w:after="0" w:line="240" w:lineRule="auto"/>
              <w:ind w:firstLine="0"/>
              <w:jc w:val="center"/>
              <w:rPr>
                <w:rFonts w:eastAsia="Times New Roman"/>
                <w:color w:val="000000"/>
                <w:kern w:val="0"/>
                <w:lang w:val="ro-RO"/>
              </w:rPr>
            </w:pPr>
            <w:r w:rsidRPr="00BC11DC">
              <w:rPr>
                <w:rFonts w:eastAsia="Times New Roman"/>
                <w:color w:val="000000"/>
                <w:kern w:val="0"/>
                <w:sz w:val="20"/>
                <w:szCs w:val="20"/>
                <w:lang w:val="ro-RO"/>
              </w:rPr>
              <w:t>V</w:t>
            </w:r>
          </w:p>
          <w:p w14:paraId="49C28B91" w14:textId="77777777" w:rsidR="00670FD4" w:rsidRPr="00BC11DC" w:rsidRDefault="00670FD4" w:rsidP="001925BA">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V</w:t>
            </w:r>
          </w:p>
          <w:p w14:paraId="477128B8" w14:textId="77777777" w:rsidR="00670FD4" w:rsidRPr="00BC11DC" w:rsidRDefault="00670FD4" w:rsidP="001925BA">
            <w:pPr>
              <w:pBdr>
                <w:top w:val="nil"/>
                <w:left w:val="nil"/>
                <w:bottom w:val="nil"/>
                <w:right w:val="nil"/>
                <w:between w:val="nil"/>
              </w:pBdr>
              <w:spacing w:before="0" w:after="0" w:line="240" w:lineRule="auto"/>
              <w:ind w:firstLine="0"/>
              <w:jc w:val="center"/>
              <w:rPr>
                <w:rFonts w:eastAsia="Times New Roman"/>
                <w:color w:val="000000"/>
                <w:kern w:val="0"/>
                <w:lang w:val="ro-RO"/>
              </w:rPr>
            </w:pPr>
            <w:r w:rsidRPr="00BC11DC">
              <w:rPr>
                <w:rFonts w:eastAsia="Times New Roman"/>
                <w:color w:val="000000"/>
                <w:kern w:val="0"/>
                <w:sz w:val="20"/>
                <w:szCs w:val="20"/>
                <w:lang w:val="ro-RO"/>
              </w:rPr>
              <w:t>V</w:t>
            </w:r>
          </w:p>
        </w:tc>
      </w:tr>
      <w:tr w:rsidR="00670FD4" w:rsidRPr="00BC11DC" w14:paraId="0976A3C1" w14:textId="77777777" w:rsidTr="001925BA">
        <w:tc>
          <w:tcPr>
            <w:tcW w:w="560" w:type="dxa"/>
          </w:tcPr>
          <w:p w14:paraId="74586292"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5</w:t>
            </w:r>
          </w:p>
        </w:tc>
        <w:tc>
          <w:tcPr>
            <w:tcW w:w="1419" w:type="dxa"/>
            <w:tcBorders>
              <w:top w:val="single" w:sz="6" w:space="0" w:color="000000"/>
              <w:left w:val="single" w:sz="6" w:space="0" w:color="000000"/>
              <w:bottom w:val="single" w:sz="6" w:space="0" w:color="000000"/>
              <w:right w:val="single" w:sz="6" w:space="0" w:color="000000"/>
            </w:tcBorders>
          </w:tcPr>
          <w:p w14:paraId="7DCA668F"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Jurilovca</w:t>
            </w:r>
          </w:p>
        </w:tc>
        <w:tc>
          <w:tcPr>
            <w:tcW w:w="1373" w:type="dxa"/>
            <w:tcBorders>
              <w:top w:val="single" w:sz="6" w:space="0" w:color="000000"/>
              <w:left w:val="single" w:sz="6" w:space="0" w:color="000000"/>
              <w:bottom w:val="single" w:sz="6" w:space="0" w:color="000000"/>
              <w:right w:val="single" w:sz="6" w:space="0" w:color="000000"/>
            </w:tcBorders>
          </w:tcPr>
          <w:p w14:paraId="58CD6EF7"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Comună</w:t>
            </w:r>
          </w:p>
        </w:tc>
        <w:tc>
          <w:tcPr>
            <w:tcW w:w="901" w:type="dxa"/>
            <w:tcBorders>
              <w:top w:val="single" w:sz="6" w:space="0" w:color="000000"/>
              <w:left w:val="single" w:sz="6" w:space="0" w:color="000000"/>
              <w:bottom w:val="single" w:sz="6" w:space="0" w:color="000000"/>
              <w:right w:val="single" w:sz="6" w:space="0" w:color="000000"/>
            </w:tcBorders>
          </w:tcPr>
          <w:p w14:paraId="5C26CCAD"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3.694</w:t>
            </w:r>
          </w:p>
        </w:tc>
        <w:tc>
          <w:tcPr>
            <w:tcW w:w="708" w:type="dxa"/>
            <w:tcBorders>
              <w:top w:val="single" w:sz="6" w:space="0" w:color="000000"/>
              <w:left w:val="single" w:sz="6" w:space="0" w:color="000000"/>
              <w:bottom w:val="single" w:sz="6" w:space="0" w:color="000000"/>
              <w:right w:val="single" w:sz="6" w:space="0" w:color="000000"/>
            </w:tcBorders>
          </w:tcPr>
          <w:p w14:paraId="5786E59C"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0,92</w:t>
            </w:r>
          </w:p>
        </w:tc>
        <w:tc>
          <w:tcPr>
            <w:tcW w:w="991" w:type="dxa"/>
            <w:tcBorders>
              <w:top w:val="single" w:sz="6" w:space="0" w:color="000000"/>
              <w:left w:val="single" w:sz="6" w:space="0" w:color="000000"/>
              <w:bottom w:val="single" w:sz="6" w:space="0" w:color="000000"/>
              <w:right w:val="single" w:sz="6" w:space="0" w:color="000000"/>
            </w:tcBorders>
          </w:tcPr>
          <w:p w14:paraId="6D236690"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29.949</w:t>
            </w:r>
          </w:p>
        </w:tc>
        <w:tc>
          <w:tcPr>
            <w:tcW w:w="708" w:type="dxa"/>
            <w:tcBorders>
              <w:top w:val="single" w:sz="6" w:space="0" w:color="000000"/>
              <w:left w:val="single" w:sz="6" w:space="0" w:color="000000"/>
              <w:bottom w:val="single" w:sz="6" w:space="0" w:color="000000"/>
              <w:right w:val="single" w:sz="6" w:space="0" w:color="000000"/>
            </w:tcBorders>
          </w:tcPr>
          <w:p w14:paraId="02229ACD"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8,43</w:t>
            </w:r>
          </w:p>
        </w:tc>
        <w:tc>
          <w:tcPr>
            <w:tcW w:w="1699" w:type="dxa"/>
            <w:tcBorders>
              <w:top w:val="single" w:sz="6" w:space="0" w:color="000000"/>
              <w:left w:val="single" w:sz="6" w:space="0" w:color="000000"/>
              <w:bottom w:val="single" w:sz="6" w:space="0" w:color="000000"/>
              <w:right w:val="single" w:sz="6" w:space="0" w:color="000000"/>
            </w:tcBorders>
          </w:tcPr>
          <w:p w14:paraId="049960F3"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lang w:val="ro-RO"/>
              </w:rPr>
            </w:pPr>
            <w:r w:rsidRPr="00BC11DC">
              <w:rPr>
                <w:rFonts w:eastAsia="Times New Roman"/>
                <w:color w:val="000000"/>
                <w:kern w:val="0"/>
                <w:sz w:val="20"/>
                <w:szCs w:val="20"/>
                <w:lang w:val="ro-RO"/>
              </w:rPr>
              <w:t>Jurilovca</w:t>
            </w:r>
          </w:p>
          <w:p w14:paraId="0B28FFC8"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Sălcioara</w:t>
            </w:r>
          </w:p>
          <w:p w14:paraId="3EE95A4A"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lang w:val="ro-RO"/>
              </w:rPr>
            </w:pPr>
            <w:r w:rsidRPr="00BC11DC">
              <w:rPr>
                <w:rFonts w:eastAsia="Times New Roman"/>
                <w:color w:val="000000"/>
                <w:kern w:val="0"/>
                <w:sz w:val="20"/>
                <w:szCs w:val="20"/>
                <w:lang w:val="ro-RO"/>
              </w:rPr>
              <w:t>Vișina</w:t>
            </w:r>
          </w:p>
        </w:tc>
        <w:tc>
          <w:tcPr>
            <w:tcW w:w="1134" w:type="dxa"/>
            <w:tcBorders>
              <w:top w:val="single" w:sz="6" w:space="0" w:color="000000"/>
              <w:left w:val="single" w:sz="6" w:space="0" w:color="000000"/>
              <w:bottom w:val="single" w:sz="6" w:space="0" w:color="000000"/>
              <w:right w:val="single" w:sz="6" w:space="0" w:color="000000"/>
            </w:tcBorders>
          </w:tcPr>
          <w:p w14:paraId="19398DC6" w14:textId="77777777" w:rsidR="00670FD4" w:rsidRPr="00BC11DC" w:rsidRDefault="00670FD4" w:rsidP="001925BA">
            <w:pPr>
              <w:pBdr>
                <w:top w:val="nil"/>
                <w:left w:val="nil"/>
                <w:bottom w:val="nil"/>
                <w:right w:val="nil"/>
                <w:between w:val="nil"/>
              </w:pBdr>
              <w:spacing w:before="0" w:after="0" w:line="240" w:lineRule="auto"/>
              <w:ind w:firstLine="0"/>
              <w:jc w:val="center"/>
              <w:rPr>
                <w:rFonts w:eastAsia="Times New Roman"/>
                <w:color w:val="000000"/>
                <w:kern w:val="0"/>
                <w:lang w:val="ro-RO"/>
              </w:rPr>
            </w:pPr>
            <w:r w:rsidRPr="00BC11DC">
              <w:rPr>
                <w:rFonts w:eastAsia="Times New Roman"/>
                <w:color w:val="000000"/>
                <w:kern w:val="0"/>
                <w:sz w:val="20"/>
                <w:szCs w:val="20"/>
                <w:lang w:val="ro-RO"/>
              </w:rPr>
              <w:t>IV</w:t>
            </w:r>
          </w:p>
          <w:p w14:paraId="50009D0D" w14:textId="77777777" w:rsidR="00670FD4" w:rsidRPr="00BC11DC" w:rsidRDefault="00670FD4" w:rsidP="001925BA">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V</w:t>
            </w:r>
          </w:p>
          <w:p w14:paraId="4295D76F" w14:textId="77777777" w:rsidR="00670FD4" w:rsidRPr="00BC11DC" w:rsidRDefault="00670FD4" w:rsidP="001925BA">
            <w:pPr>
              <w:pBdr>
                <w:top w:val="nil"/>
                <w:left w:val="nil"/>
                <w:bottom w:val="nil"/>
                <w:right w:val="nil"/>
                <w:between w:val="nil"/>
              </w:pBdr>
              <w:spacing w:before="0" w:after="0" w:line="240" w:lineRule="auto"/>
              <w:ind w:firstLine="0"/>
              <w:jc w:val="center"/>
              <w:rPr>
                <w:rFonts w:eastAsia="Times New Roman"/>
                <w:color w:val="000000"/>
                <w:kern w:val="0"/>
                <w:lang w:val="ro-RO"/>
              </w:rPr>
            </w:pPr>
            <w:r w:rsidRPr="00BC11DC">
              <w:rPr>
                <w:rFonts w:eastAsia="Times New Roman"/>
                <w:color w:val="000000"/>
                <w:kern w:val="0"/>
                <w:sz w:val="20"/>
                <w:szCs w:val="20"/>
                <w:lang w:val="ro-RO"/>
              </w:rPr>
              <w:t>V</w:t>
            </w:r>
          </w:p>
        </w:tc>
      </w:tr>
      <w:tr w:rsidR="00670FD4" w:rsidRPr="00BC11DC" w14:paraId="4A9A04EF" w14:textId="77777777" w:rsidTr="001925BA">
        <w:tc>
          <w:tcPr>
            <w:tcW w:w="3352" w:type="dxa"/>
            <w:gridSpan w:val="3"/>
          </w:tcPr>
          <w:p w14:paraId="2774E234" w14:textId="77777777" w:rsidR="00670FD4" w:rsidRPr="00BC11DC" w:rsidRDefault="00670FD4" w:rsidP="001925BA">
            <w:pPr>
              <w:spacing w:before="0" w:after="0"/>
              <w:ind w:firstLine="0"/>
              <w:jc w:val="center"/>
              <w:rPr>
                <w:rFonts w:eastAsia="Times New Roman"/>
                <w:b/>
                <w:kern w:val="0"/>
                <w:sz w:val="20"/>
                <w:szCs w:val="20"/>
                <w:lang w:val="ro-RO"/>
              </w:rPr>
            </w:pPr>
            <w:r w:rsidRPr="00BC11DC">
              <w:rPr>
                <w:rFonts w:eastAsia="Times New Roman"/>
                <w:b/>
                <w:kern w:val="0"/>
                <w:sz w:val="20"/>
                <w:szCs w:val="20"/>
                <w:lang w:val="ro-RO"/>
              </w:rPr>
              <w:t>Total în județ Tulcea</w:t>
            </w:r>
          </w:p>
        </w:tc>
        <w:tc>
          <w:tcPr>
            <w:tcW w:w="901" w:type="dxa"/>
            <w:tcBorders>
              <w:top w:val="single" w:sz="6" w:space="0" w:color="000000"/>
              <w:left w:val="single" w:sz="6" w:space="0" w:color="000000"/>
              <w:bottom w:val="single" w:sz="6" w:space="0" w:color="000000"/>
              <w:right w:val="single" w:sz="6" w:space="0" w:color="000000"/>
            </w:tcBorders>
            <w:shd w:val="clear" w:color="auto" w:fill="F2F2F2"/>
          </w:tcPr>
          <w:p w14:paraId="4A16BC7B" w14:textId="77777777" w:rsidR="00670FD4" w:rsidRPr="00BC11DC" w:rsidRDefault="00670FD4" w:rsidP="001925BA">
            <w:pPr>
              <w:spacing w:before="0" w:after="0"/>
              <w:ind w:firstLine="0"/>
              <w:jc w:val="center"/>
              <w:rPr>
                <w:rFonts w:eastAsia="Times New Roman"/>
                <w:b/>
                <w:kern w:val="0"/>
                <w:sz w:val="20"/>
                <w:szCs w:val="20"/>
                <w:lang w:val="ro-RO"/>
              </w:rPr>
            </w:pPr>
            <w:r w:rsidRPr="00BC11DC">
              <w:rPr>
                <w:rFonts w:eastAsia="Times New Roman"/>
                <w:b/>
                <w:kern w:val="0"/>
                <w:sz w:val="20"/>
                <w:szCs w:val="20"/>
                <w:lang w:val="ro-RO"/>
              </w:rPr>
              <w:t>11.046</w:t>
            </w:r>
          </w:p>
        </w:tc>
        <w:tc>
          <w:tcPr>
            <w:tcW w:w="708" w:type="dxa"/>
            <w:tcBorders>
              <w:top w:val="single" w:sz="6" w:space="0" w:color="000000"/>
              <w:left w:val="single" w:sz="6" w:space="0" w:color="000000"/>
              <w:bottom w:val="single" w:sz="6" w:space="0" w:color="000000"/>
              <w:right w:val="single" w:sz="6" w:space="0" w:color="000000"/>
            </w:tcBorders>
            <w:shd w:val="clear" w:color="auto" w:fill="F2F2F2"/>
          </w:tcPr>
          <w:p w14:paraId="6549A17C" w14:textId="77777777" w:rsidR="00670FD4" w:rsidRPr="00BC11DC" w:rsidRDefault="00670FD4" w:rsidP="001925BA">
            <w:pPr>
              <w:spacing w:before="0" w:after="0"/>
              <w:ind w:firstLine="0"/>
              <w:jc w:val="center"/>
              <w:rPr>
                <w:rFonts w:eastAsia="Times New Roman"/>
                <w:b/>
                <w:kern w:val="0"/>
                <w:sz w:val="20"/>
                <w:szCs w:val="20"/>
                <w:lang w:val="ro-RO"/>
              </w:rPr>
            </w:pPr>
            <w:r w:rsidRPr="00BC11DC">
              <w:rPr>
                <w:rFonts w:eastAsia="Times New Roman"/>
                <w:b/>
                <w:kern w:val="0"/>
                <w:sz w:val="20"/>
                <w:szCs w:val="20"/>
                <w:lang w:val="ro-RO"/>
              </w:rPr>
              <w:t>2,76</w:t>
            </w:r>
          </w:p>
        </w:tc>
        <w:tc>
          <w:tcPr>
            <w:tcW w:w="991" w:type="dxa"/>
            <w:tcBorders>
              <w:top w:val="single" w:sz="6" w:space="0" w:color="000000"/>
              <w:left w:val="single" w:sz="6" w:space="0" w:color="000000"/>
              <w:bottom w:val="single" w:sz="6" w:space="0" w:color="000000"/>
              <w:right w:val="single" w:sz="6" w:space="0" w:color="000000"/>
            </w:tcBorders>
            <w:shd w:val="clear" w:color="auto" w:fill="F2F2F2"/>
          </w:tcPr>
          <w:p w14:paraId="54C4F3FA" w14:textId="77777777" w:rsidR="00670FD4" w:rsidRPr="00BC11DC" w:rsidRDefault="00670FD4" w:rsidP="001925BA">
            <w:pPr>
              <w:spacing w:before="0" w:after="0"/>
              <w:ind w:firstLine="0"/>
              <w:jc w:val="center"/>
              <w:rPr>
                <w:rFonts w:eastAsia="Times New Roman"/>
                <w:b/>
                <w:kern w:val="0"/>
                <w:sz w:val="20"/>
                <w:szCs w:val="20"/>
                <w:lang w:val="ro-RO"/>
              </w:rPr>
            </w:pPr>
            <w:r w:rsidRPr="00BC11DC">
              <w:rPr>
                <w:rFonts w:eastAsia="Times New Roman"/>
                <w:b/>
                <w:kern w:val="0"/>
                <w:sz w:val="20"/>
                <w:szCs w:val="20"/>
                <w:lang w:val="ro-RO"/>
              </w:rPr>
              <w:t>230.447</w:t>
            </w:r>
          </w:p>
        </w:tc>
        <w:tc>
          <w:tcPr>
            <w:tcW w:w="708" w:type="dxa"/>
            <w:tcBorders>
              <w:top w:val="single" w:sz="6" w:space="0" w:color="000000"/>
              <w:left w:val="single" w:sz="6" w:space="0" w:color="000000"/>
              <w:bottom w:val="single" w:sz="6" w:space="0" w:color="000000"/>
              <w:right w:val="single" w:sz="6" w:space="0" w:color="000000"/>
            </w:tcBorders>
            <w:shd w:val="clear" w:color="auto" w:fill="F2F2F2"/>
          </w:tcPr>
          <w:p w14:paraId="22D0A72C" w14:textId="77777777" w:rsidR="00670FD4" w:rsidRPr="00BC11DC" w:rsidRDefault="00670FD4" w:rsidP="001925BA">
            <w:pPr>
              <w:spacing w:before="0" w:after="0"/>
              <w:ind w:firstLine="0"/>
              <w:jc w:val="center"/>
              <w:rPr>
                <w:rFonts w:eastAsia="Times New Roman"/>
                <w:b/>
                <w:kern w:val="0"/>
                <w:sz w:val="20"/>
                <w:szCs w:val="20"/>
                <w:lang w:val="ro-RO"/>
              </w:rPr>
            </w:pPr>
            <w:r w:rsidRPr="00BC11DC">
              <w:rPr>
                <w:rFonts w:eastAsia="Times New Roman"/>
                <w:b/>
                <w:kern w:val="0"/>
                <w:sz w:val="20"/>
                <w:szCs w:val="20"/>
                <w:lang w:val="ro-RO"/>
              </w:rPr>
              <w:t>64,83</w:t>
            </w:r>
          </w:p>
        </w:tc>
        <w:tc>
          <w:tcPr>
            <w:tcW w:w="2833" w:type="dxa"/>
            <w:gridSpan w:val="2"/>
          </w:tcPr>
          <w:p w14:paraId="39AA054C" w14:textId="77777777" w:rsidR="00670FD4" w:rsidRPr="00BC11DC" w:rsidRDefault="00670FD4" w:rsidP="001925BA">
            <w:pPr>
              <w:spacing w:before="0" w:after="0"/>
              <w:ind w:firstLine="0"/>
              <w:jc w:val="center"/>
              <w:rPr>
                <w:rFonts w:eastAsia="Times New Roman"/>
                <w:b/>
                <w:kern w:val="0"/>
                <w:sz w:val="20"/>
                <w:szCs w:val="20"/>
                <w:lang w:val="ro-RO"/>
              </w:rPr>
            </w:pPr>
          </w:p>
        </w:tc>
      </w:tr>
      <w:tr w:rsidR="00670FD4" w:rsidRPr="00BC11DC" w14:paraId="0370D941" w14:textId="77777777" w:rsidTr="001925BA">
        <w:tc>
          <w:tcPr>
            <w:tcW w:w="560" w:type="dxa"/>
          </w:tcPr>
          <w:p w14:paraId="11BC13E0"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6</w:t>
            </w:r>
          </w:p>
        </w:tc>
        <w:tc>
          <w:tcPr>
            <w:tcW w:w="1419" w:type="dxa"/>
          </w:tcPr>
          <w:p w14:paraId="7753440D"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Mihai Viteazul</w:t>
            </w:r>
          </w:p>
        </w:tc>
        <w:tc>
          <w:tcPr>
            <w:tcW w:w="1373" w:type="dxa"/>
            <w:tcBorders>
              <w:top w:val="single" w:sz="6" w:space="0" w:color="000000"/>
              <w:left w:val="single" w:sz="6" w:space="0" w:color="000000"/>
              <w:bottom w:val="single" w:sz="6" w:space="0" w:color="000000"/>
              <w:right w:val="single" w:sz="6" w:space="0" w:color="000000"/>
            </w:tcBorders>
          </w:tcPr>
          <w:p w14:paraId="50669218"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Comună</w:t>
            </w:r>
          </w:p>
        </w:tc>
        <w:tc>
          <w:tcPr>
            <w:tcW w:w="901" w:type="dxa"/>
            <w:tcBorders>
              <w:top w:val="single" w:sz="6" w:space="0" w:color="000000"/>
              <w:left w:val="single" w:sz="6" w:space="0" w:color="000000"/>
              <w:bottom w:val="single" w:sz="6" w:space="0" w:color="000000"/>
              <w:right w:val="single" w:sz="6" w:space="0" w:color="000000"/>
            </w:tcBorders>
          </w:tcPr>
          <w:p w14:paraId="09FF87CD"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3.155</w:t>
            </w:r>
          </w:p>
        </w:tc>
        <w:tc>
          <w:tcPr>
            <w:tcW w:w="708" w:type="dxa"/>
            <w:tcBorders>
              <w:top w:val="single" w:sz="6" w:space="0" w:color="000000"/>
              <w:left w:val="single" w:sz="6" w:space="0" w:color="000000"/>
              <w:bottom w:val="single" w:sz="6" w:space="0" w:color="000000"/>
              <w:right w:val="single" w:sz="6" w:space="0" w:color="000000"/>
            </w:tcBorders>
          </w:tcPr>
          <w:p w14:paraId="2B097839"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0,79</w:t>
            </w:r>
          </w:p>
        </w:tc>
        <w:tc>
          <w:tcPr>
            <w:tcW w:w="991" w:type="dxa"/>
            <w:tcBorders>
              <w:top w:val="single" w:sz="6" w:space="0" w:color="000000"/>
              <w:left w:val="single" w:sz="6" w:space="0" w:color="000000"/>
              <w:bottom w:val="single" w:sz="6" w:space="0" w:color="000000"/>
              <w:right w:val="single" w:sz="6" w:space="0" w:color="000000"/>
            </w:tcBorders>
          </w:tcPr>
          <w:p w14:paraId="2555F7C1"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20.607</w:t>
            </w:r>
          </w:p>
        </w:tc>
        <w:tc>
          <w:tcPr>
            <w:tcW w:w="708" w:type="dxa"/>
            <w:tcBorders>
              <w:top w:val="single" w:sz="6" w:space="0" w:color="000000"/>
              <w:left w:val="single" w:sz="6" w:space="0" w:color="000000"/>
              <w:bottom w:val="single" w:sz="6" w:space="0" w:color="000000"/>
              <w:right w:val="single" w:sz="6" w:space="0" w:color="000000"/>
            </w:tcBorders>
          </w:tcPr>
          <w:p w14:paraId="6E0E60CE"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5,80</w:t>
            </w:r>
          </w:p>
        </w:tc>
        <w:tc>
          <w:tcPr>
            <w:tcW w:w="1699" w:type="dxa"/>
            <w:tcBorders>
              <w:top w:val="single" w:sz="6" w:space="0" w:color="000000"/>
              <w:left w:val="single" w:sz="6" w:space="0" w:color="000000"/>
              <w:bottom w:val="single" w:sz="6" w:space="0" w:color="000000"/>
              <w:right w:val="single" w:sz="6" w:space="0" w:color="000000"/>
            </w:tcBorders>
          </w:tcPr>
          <w:p w14:paraId="38A4B9CB" w14:textId="77777777" w:rsidR="00670FD4" w:rsidRPr="00BC11DC" w:rsidRDefault="00670FD4" w:rsidP="001925BA">
            <w:pPr>
              <w:spacing w:before="0" w:after="0" w:line="240" w:lineRule="auto"/>
              <w:ind w:firstLine="0"/>
              <w:rPr>
                <w:rFonts w:eastAsia="Times New Roman"/>
                <w:b/>
                <w:kern w:val="0"/>
                <w:sz w:val="20"/>
                <w:szCs w:val="20"/>
                <w:lang w:val="ro-RO"/>
              </w:rPr>
            </w:pPr>
            <w:r w:rsidRPr="00BC11DC">
              <w:rPr>
                <w:rFonts w:eastAsia="Times New Roman"/>
                <w:kern w:val="0"/>
                <w:sz w:val="20"/>
                <w:szCs w:val="20"/>
                <w:lang w:val="ro-RO"/>
              </w:rPr>
              <w:t>Mihai Viteazu</w:t>
            </w:r>
          </w:p>
        </w:tc>
        <w:tc>
          <w:tcPr>
            <w:tcW w:w="1134" w:type="dxa"/>
            <w:tcBorders>
              <w:top w:val="single" w:sz="6" w:space="0" w:color="000000"/>
              <w:left w:val="single" w:sz="6" w:space="0" w:color="000000"/>
              <w:bottom w:val="single" w:sz="6" w:space="0" w:color="000000"/>
              <w:right w:val="single" w:sz="6" w:space="0" w:color="000000"/>
            </w:tcBorders>
          </w:tcPr>
          <w:p w14:paraId="22787D6F"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 </w:t>
            </w:r>
          </w:p>
        </w:tc>
      </w:tr>
      <w:tr w:rsidR="00670FD4" w:rsidRPr="00BC11DC" w14:paraId="3DE76456" w14:textId="77777777" w:rsidTr="001925BA">
        <w:tc>
          <w:tcPr>
            <w:tcW w:w="560" w:type="dxa"/>
          </w:tcPr>
          <w:p w14:paraId="1B4B427F"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7</w:t>
            </w:r>
          </w:p>
        </w:tc>
        <w:tc>
          <w:tcPr>
            <w:tcW w:w="1419" w:type="dxa"/>
          </w:tcPr>
          <w:p w14:paraId="3142B83C"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Istria</w:t>
            </w:r>
          </w:p>
        </w:tc>
        <w:tc>
          <w:tcPr>
            <w:tcW w:w="1373" w:type="dxa"/>
            <w:tcBorders>
              <w:top w:val="single" w:sz="6" w:space="0" w:color="000000"/>
              <w:left w:val="single" w:sz="6" w:space="0" w:color="000000"/>
              <w:bottom w:val="single" w:sz="6" w:space="0" w:color="000000"/>
              <w:right w:val="single" w:sz="6" w:space="0" w:color="000000"/>
            </w:tcBorders>
          </w:tcPr>
          <w:p w14:paraId="67A2B52E"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Comună</w:t>
            </w:r>
          </w:p>
        </w:tc>
        <w:tc>
          <w:tcPr>
            <w:tcW w:w="901" w:type="dxa"/>
            <w:tcBorders>
              <w:top w:val="single" w:sz="6" w:space="0" w:color="000000"/>
              <w:left w:val="single" w:sz="6" w:space="0" w:color="000000"/>
              <w:bottom w:val="single" w:sz="6" w:space="0" w:color="000000"/>
              <w:right w:val="single" w:sz="6" w:space="0" w:color="000000"/>
            </w:tcBorders>
          </w:tcPr>
          <w:p w14:paraId="680D8850"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2.321</w:t>
            </w:r>
          </w:p>
        </w:tc>
        <w:tc>
          <w:tcPr>
            <w:tcW w:w="708" w:type="dxa"/>
            <w:tcBorders>
              <w:top w:val="single" w:sz="6" w:space="0" w:color="000000"/>
              <w:left w:val="single" w:sz="6" w:space="0" w:color="000000"/>
              <w:bottom w:val="single" w:sz="6" w:space="0" w:color="000000"/>
              <w:right w:val="single" w:sz="6" w:space="0" w:color="000000"/>
            </w:tcBorders>
          </w:tcPr>
          <w:p w14:paraId="6A3366C3"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0,58</w:t>
            </w:r>
          </w:p>
        </w:tc>
        <w:tc>
          <w:tcPr>
            <w:tcW w:w="991" w:type="dxa"/>
            <w:tcBorders>
              <w:top w:val="single" w:sz="6" w:space="0" w:color="000000"/>
              <w:left w:val="single" w:sz="6" w:space="0" w:color="000000"/>
              <w:bottom w:val="single" w:sz="6" w:space="0" w:color="000000"/>
              <w:right w:val="single" w:sz="6" w:space="0" w:color="000000"/>
            </w:tcBorders>
          </w:tcPr>
          <w:p w14:paraId="50FA30CA"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18.044</w:t>
            </w:r>
          </w:p>
        </w:tc>
        <w:tc>
          <w:tcPr>
            <w:tcW w:w="708" w:type="dxa"/>
            <w:tcBorders>
              <w:top w:val="single" w:sz="6" w:space="0" w:color="000000"/>
              <w:left w:val="single" w:sz="6" w:space="0" w:color="000000"/>
              <w:bottom w:val="single" w:sz="6" w:space="0" w:color="000000"/>
              <w:right w:val="single" w:sz="6" w:space="0" w:color="000000"/>
            </w:tcBorders>
          </w:tcPr>
          <w:p w14:paraId="292E8914"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5,08</w:t>
            </w:r>
          </w:p>
        </w:tc>
        <w:tc>
          <w:tcPr>
            <w:tcW w:w="1699" w:type="dxa"/>
            <w:tcBorders>
              <w:top w:val="single" w:sz="6" w:space="0" w:color="000000"/>
              <w:left w:val="single" w:sz="6" w:space="0" w:color="000000"/>
              <w:bottom w:val="single" w:sz="6" w:space="0" w:color="000000"/>
              <w:right w:val="single" w:sz="6" w:space="0" w:color="000000"/>
            </w:tcBorders>
          </w:tcPr>
          <w:p w14:paraId="794D99FB"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Istria</w:t>
            </w:r>
          </w:p>
          <w:p w14:paraId="31192A98" w14:textId="77777777" w:rsidR="00670FD4" w:rsidRPr="00BC11DC" w:rsidRDefault="00670FD4" w:rsidP="001925BA">
            <w:pPr>
              <w:spacing w:before="0" w:after="0" w:line="240" w:lineRule="auto"/>
              <w:ind w:firstLine="0"/>
              <w:rPr>
                <w:rFonts w:eastAsia="Times New Roman"/>
                <w:b/>
                <w:kern w:val="0"/>
                <w:sz w:val="20"/>
                <w:szCs w:val="20"/>
                <w:lang w:val="ro-RO"/>
              </w:rPr>
            </w:pPr>
            <w:r w:rsidRPr="00BC11DC">
              <w:rPr>
                <w:rFonts w:eastAsia="Times New Roman"/>
                <w:kern w:val="0"/>
                <w:sz w:val="20"/>
                <w:szCs w:val="20"/>
                <w:lang w:val="ro-RO"/>
              </w:rPr>
              <w:t>Nuntași</w:t>
            </w:r>
          </w:p>
        </w:tc>
        <w:tc>
          <w:tcPr>
            <w:tcW w:w="1134" w:type="dxa"/>
            <w:tcBorders>
              <w:top w:val="single" w:sz="6" w:space="0" w:color="000000"/>
              <w:left w:val="single" w:sz="6" w:space="0" w:color="000000"/>
              <w:bottom w:val="single" w:sz="6" w:space="0" w:color="000000"/>
              <w:right w:val="single" w:sz="6" w:space="0" w:color="000000"/>
            </w:tcBorders>
          </w:tcPr>
          <w:p w14:paraId="2D83DF2A" w14:textId="77777777" w:rsidR="00670FD4" w:rsidRPr="00BC11DC" w:rsidRDefault="00670FD4" w:rsidP="001925BA">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IV</w:t>
            </w:r>
          </w:p>
          <w:p w14:paraId="37150ED9"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V</w:t>
            </w:r>
          </w:p>
        </w:tc>
      </w:tr>
      <w:tr w:rsidR="00670FD4" w:rsidRPr="00BC11DC" w14:paraId="5393DAD8" w14:textId="77777777" w:rsidTr="001925BA">
        <w:tc>
          <w:tcPr>
            <w:tcW w:w="560" w:type="dxa"/>
          </w:tcPr>
          <w:p w14:paraId="71011859"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8</w:t>
            </w:r>
          </w:p>
        </w:tc>
        <w:tc>
          <w:tcPr>
            <w:tcW w:w="1419" w:type="dxa"/>
          </w:tcPr>
          <w:p w14:paraId="520FF7C1"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Săcele</w:t>
            </w:r>
          </w:p>
        </w:tc>
        <w:tc>
          <w:tcPr>
            <w:tcW w:w="1373" w:type="dxa"/>
            <w:tcBorders>
              <w:top w:val="single" w:sz="6" w:space="0" w:color="000000"/>
              <w:left w:val="single" w:sz="6" w:space="0" w:color="000000"/>
              <w:bottom w:val="single" w:sz="6" w:space="0" w:color="000000"/>
              <w:right w:val="single" w:sz="6" w:space="0" w:color="000000"/>
            </w:tcBorders>
          </w:tcPr>
          <w:p w14:paraId="49A096D5"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Comună</w:t>
            </w:r>
          </w:p>
        </w:tc>
        <w:tc>
          <w:tcPr>
            <w:tcW w:w="901" w:type="dxa"/>
            <w:tcBorders>
              <w:top w:val="single" w:sz="6" w:space="0" w:color="000000"/>
              <w:left w:val="single" w:sz="6" w:space="0" w:color="000000"/>
              <w:bottom w:val="single" w:sz="6" w:space="0" w:color="000000"/>
              <w:right w:val="single" w:sz="6" w:space="0" w:color="000000"/>
            </w:tcBorders>
          </w:tcPr>
          <w:p w14:paraId="30C73C8D"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1.987</w:t>
            </w:r>
          </w:p>
        </w:tc>
        <w:tc>
          <w:tcPr>
            <w:tcW w:w="708" w:type="dxa"/>
            <w:tcBorders>
              <w:top w:val="single" w:sz="6" w:space="0" w:color="000000"/>
              <w:left w:val="single" w:sz="6" w:space="0" w:color="000000"/>
              <w:bottom w:val="single" w:sz="6" w:space="0" w:color="000000"/>
              <w:right w:val="single" w:sz="6" w:space="0" w:color="000000"/>
            </w:tcBorders>
          </w:tcPr>
          <w:p w14:paraId="666AB886"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0,50</w:t>
            </w:r>
          </w:p>
        </w:tc>
        <w:tc>
          <w:tcPr>
            <w:tcW w:w="991" w:type="dxa"/>
            <w:tcBorders>
              <w:top w:val="single" w:sz="6" w:space="0" w:color="000000"/>
              <w:left w:val="single" w:sz="6" w:space="0" w:color="000000"/>
              <w:bottom w:val="single" w:sz="6" w:space="0" w:color="000000"/>
              <w:right w:val="single" w:sz="6" w:space="0" w:color="000000"/>
            </w:tcBorders>
          </w:tcPr>
          <w:p w14:paraId="2735DB93"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11.636</w:t>
            </w:r>
          </w:p>
        </w:tc>
        <w:tc>
          <w:tcPr>
            <w:tcW w:w="708" w:type="dxa"/>
            <w:tcBorders>
              <w:top w:val="single" w:sz="6" w:space="0" w:color="000000"/>
              <w:left w:val="single" w:sz="6" w:space="0" w:color="000000"/>
              <w:bottom w:val="single" w:sz="6" w:space="0" w:color="000000"/>
              <w:right w:val="single" w:sz="6" w:space="0" w:color="000000"/>
            </w:tcBorders>
          </w:tcPr>
          <w:p w14:paraId="583569A6"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3,27</w:t>
            </w:r>
          </w:p>
        </w:tc>
        <w:tc>
          <w:tcPr>
            <w:tcW w:w="1699" w:type="dxa"/>
            <w:tcBorders>
              <w:top w:val="single" w:sz="6" w:space="0" w:color="000000"/>
              <w:left w:val="single" w:sz="6" w:space="0" w:color="000000"/>
              <w:bottom w:val="single" w:sz="6" w:space="0" w:color="000000"/>
              <w:right w:val="single" w:sz="6" w:space="0" w:color="000000"/>
            </w:tcBorders>
          </w:tcPr>
          <w:p w14:paraId="1422D794"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Săcele</w:t>
            </w:r>
          </w:p>
          <w:p w14:paraId="17B50D2E" w14:textId="77777777" w:rsidR="00670FD4" w:rsidRPr="00BC11DC" w:rsidRDefault="00670FD4" w:rsidP="001925BA">
            <w:pPr>
              <w:spacing w:before="0" w:after="0" w:line="240" w:lineRule="auto"/>
              <w:ind w:firstLine="0"/>
              <w:rPr>
                <w:rFonts w:eastAsia="Times New Roman"/>
                <w:b/>
                <w:kern w:val="0"/>
                <w:sz w:val="20"/>
                <w:szCs w:val="20"/>
                <w:lang w:val="ro-RO"/>
              </w:rPr>
            </w:pPr>
            <w:r w:rsidRPr="00BC11DC">
              <w:rPr>
                <w:rFonts w:eastAsia="Times New Roman"/>
                <w:kern w:val="0"/>
                <w:sz w:val="20"/>
                <w:szCs w:val="20"/>
                <w:lang w:val="ro-RO"/>
              </w:rPr>
              <w:t>Traian</w:t>
            </w:r>
          </w:p>
        </w:tc>
        <w:tc>
          <w:tcPr>
            <w:tcW w:w="1134" w:type="dxa"/>
            <w:tcBorders>
              <w:top w:val="single" w:sz="6" w:space="0" w:color="000000"/>
              <w:left w:val="single" w:sz="6" w:space="0" w:color="000000"/>
              <w:bottom w:val="single" w:sz="6" w:space="0" w:color="000000"/>
              <w:right w:val="single" w:sz="6" w:space="0" w:color="000000"/>
            </w:tcBorders>
          </w:tcPr>
          <w:p w14:paraId="17C74AF8"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 </w:t>
            </w:r>
          </w:p>
        </w:tc>
      </w:tr>
      <w:tr w:rsidR="00670FD4" w:rsidRPr="00BC11DC" w14:paraId="1C18E53F" w14:textId="77777777" w:rsidTr="001925BA">
        <w:tc>
          <w:tcPr>
            <w:tcW w:w="560" w:type="dxa"/>
          </w:tcPr>
          <w:p w14:paraId="6A3F66A2"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9</w:t>
            </w:r>
          </w:p>
        </w:tc>
        <w:tc>
          <w:tcPr>
            <w:tcW w:w="1419" w:type="dxa"/>
          </w:tcPr>
          <w:p w14:paraId="1D5150B6"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Corbu</w:t>
            </w:r>
          </w:p>
        </w:tc>
        <w:tc>
          <w:tcPr>
            <w:tcW w:w="1373" w:type="dxa"/>
            <w:tcBorders>
              <w:top w:val="single" w:sz="6" w:space="0" w:color="000000"/>
              <w:left w:val="single" w:sz="6" w:space="0" w:color="000000"/>
              <w:bottom w:val="single" w:sz="6" w:space="0" w:color="000000"/>
              <w:right w:val="single" w:sz="6" w:space="0" w:color="000000"/>
            </w:tcBorders>
          </w:tcPr>
          <w:p w14:paraId="53921342"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Comună</w:t>
            </w:r>
          </w:p>
        </w:tc>
        <w:tc>
          <w:tcPr>
            <w:tcW w:w="901" w:type="dxa"/>
            <w:tcBorders>
              <w:top w:val="single" w:sz="6" w:space="0" w:color="000000"/>
              <w:left w:val="single" w:sz="6" w:space="0" w:color="000000"/>
              <w:bottom w:val="single" w:sz="6" w:space="0" w:color="000000"/>
              <w:right w:val="single" w:sz="6" w:space="0" w:color="000000"/>
            </w:tcBorders>
          </w:tcPr>
          <w:p w14:paraId="25F9AD36"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5.727</w:t>
            </w:r>
          </w:p>
        </w:tc>
        <w:tc>
          <w:tcPr>
            <w:tcW w:w="708" w:type="dxa"/>
            <w:tcBorders>
              <w:top w:val="single" w:sz="6" w:space="0" w:color="000000"/>
              <w:left w:val="single" w:sz="6" w:space="0" w:color="000000"/>
              <w:bottom w:val="single" w:sz="6" w:space="0" w:color="000000"/>
              <w:right w:val="single" w:sz="6" w:space="0" w:color="000000"/>
            </w:tcBorders>
          </w:tcPr>
          <w:p w14:paraId="7676A91C"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1,43</w:t>
            </w:r>
          </w:p>
        </w:tc>
        <w:tc>
          <w:tcPr>
            <w:tcW w:w="991" w:type="dxa"/>
            <w:tcBorders>
              <w:top w:val="single" w:sz="6" w:space="0" w:color="000000"/>
              <w:left w:val="single" w:sz="6" w:space="0" w:color="000000"/>
              <w:bottom w:val="single" w:sz="6" w:space="0" w:color="000000"/>
              <w:right w:val="single" w:sz="6" w:space="0" w:color="000000"/>
            </w:tcBorders>
          </w:tcPr>
          <w:p w14:paraId="414295BA"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18.171</w:t>
            </w:r>
          </w:p>
        </w:tc>
        <w:tc>
          <w:tcPr>
            <w:tcW w:w="708" w:type="dxa"/>
            <w:tcBorders>
              <w:top w:val="single" w:sz="6" w:space="0" w:color="000000"/>
              <w:left w:val="single" w:sz="6" w:space="0" w:color="000000"/>
              <w:bottom w:val="single" w:sz="6" w:space="0" w:color="000000"/>
              <w:right w:val="single" w:sz="6" w:space="0" w:color="000000"/>
            </w:tcBorders>
          </w:tcPr>
          <w:p w14:paraId="3276D278"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5,11</w:t>
            </w:r>
          </w:p>
        </w:tc>
        <w:tc>
          <w:tcPr>
            <w:tcW w:w="1699" w:type="dxa"/>
            <w:tcBorders>
              <w:top w:val="single" w:sz="6" w:space="0" w:color="000000"/>
              <w:left w:val="single" w:sz="6" w:space="0" w:color="000000"/>
              <w:bottom w:val="single" w:sz="6" w:space="0" w:color="000000"/>
              <w:right w:val="single" w:sz="6" w:space="0" w:color="000000"/>
            </w:tcBorders>
          </w:tcPr>
          <w:p w14:paraId="13750D87"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Corbu</w:t>
            </w:r>
          </w:p>
          <w:p w14:paraId="0C94B5E9"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Luminița</w:t>
            </w:r>
          </w:p>
          <w:p w14:paraId="40135228"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Vadu</w:t>
            </w:r>
          </w:p>
        </w:tc>
        <w:tc>
          <w:tcPr>
            <w:tcW w:w="1134" w:type="dxa"/>
            <w:tcBorders>
              <w:top w:val="single" w:sz="6" w:space="0" w:color="000000"/>
              <w:left w:val="single" w:sz="6" w:space="0" w:color="000000"/>
              <w:bottom w:val="single" w:sz="6" w:space="0" w:color="000000"/>
              <w:right w:val="single" w:sz="6" w:space="0" w:color="000000"/>
            </w:tcBorders>
          </w:tcPr>
          <w:p w14:paraId="4043B04F" w14:textId="77777777" w:rsidR="00670FD4" w:rsidRPr="00BC11DC" w:rsidRDefault="00670FD4" w:rsidP="001925BA">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IV</w:t>
            </w:r>
          </w:p>
          <w:p w14:paraId="7FCF9020" w14:textId="77777777" w:rsidR="00670FD4" w:rsidRPr="00BC11DC" w:rsidRDefault="00670FD4" w:rsidP="001925BA">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V</w:t>
            </w:r>
          </w:p>
          <w:p w14:paraId="58D91C20" w14:textId="77777777" w:rsidR="00670FD4" w:rsidRPr="00BC11DC" w:rsidRDefault="00670FD4" w:rsidP="001925BA">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V</w:t>
            </w:r>
          </w:p>
        </w:tc>
      </w:tr>
      <w:tr w:rsidR="00670FD4" w:rsidRPr="00BC11DC" w14:paraId="7FB388B1" w14:textId="77777777" w:rsidTr="001925BA">
        <w:tc>
          <w:tcPr>
            <w:tcW w:w="560" w:type="dxa"/>
          </w:tcPr>
          <w:p w14:paraId="021F71C4"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lastRenderedPageBreak/>
              <w:t>10</w:t>
            </w:r>
          </w:p>
        </w:tc>
        <w:tc>
          <w:tcPr>
            <w:tcW w:w="1419" w:type="dxa"/>
          </w:tcPr>
          <w:p w14:paraId="0B5C1172"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Năvodari</w:t>
            </w:r>
          </w:p>
        </w:tc>
        <w:tc>
          <w:tcPr>
            <w:tcW w:w="1373" w:type="dxa"/>
            <w:tcBorders>
              <w:top w:val="single" w:sz="6" w:space="0" w:color="000000"/>
              <w:left w:val="single" w:sz="6" w:space="0" w:color="000000"/>
              <w:bottom w:val="single" w:sz="6" w:space="0" w:color="000000"/>
              <w:right w:val="single" w:sz="6" w:space="0" w:color="000000"/>
            </w:tcBorders>
          </w:tcPr>
          <w:p w14:paraId="66160074"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Oraș/stațiune</w:t>
            </w:r>
          </w:p>
        </w:tc>
        <w:tc>
          <w:tcPr>
            <w:tcW w:w="901" w:type="dxa"/>
            <w:tcBorders>
              <w:top w:val="single" w:sz="6" w:space="0" w:color="000000"/>
              <w:left w:val="single" w:sz="6" w:space="0" w:color="000000"/>
              <w:bottom w:val="single" w:sz="6" w:space="0" w:color="000000"/>
              <w:right w:val="single" w:sz="6" w:space="0" w:color="000000"/>
            </w:tcBorders>
          </w:tcPr>
          <w:p w14:paraId="751C6241"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34.398</w:t>
            </w:r>
          </w:p>
        </w:tc>
        <w:tc>
          <w:tcPr>
            <w:tcW w:w="708" w:type="dxa"/>
            <w:tcBorders>
              <w:top w:val="single" w:sz="6" w:space="0" w:color="000000"/>
              <w:left w:val="single" w:sz="6" w:space="0" w:color="000000"/>
              <w:bottom w:val="single" w:sz="6" w:space="0" w:color="000000"/>
              <w:right w:val="single" w:sz="6" w:space="0" w:color="000000"/>
            </w:tcBorders>
          </w:tcPr>
          <w:p w14:paraId="5CF25FC2"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8,58</w:t>
            </w:r>
          </w:p>
        </w:tc>
        <w:tc>
          <w:tcPr>
            <w:tcW w:w="991" w:type="dxa"/>
            <w:tcBorders>
              <w:top w:val="single" w:sz="6" w:space="0" w:color="000000"/>
              <w:left w:val="single" w:sz="6" w:space="0" w:color="000000"/>
              <w:bottom w:val="single" w:sz="6" w:space="0" w:color="000000"/>
              <w:right w:val="single" w:sz="6" w:space="0" w:color="000000"/>
            </w:tcBorders>
          </w:tcPr>
          <w:p w14:paraId="595070F6"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6.448</w:t>
            </w:r>
          </w:p>
        </w:tc>
        <w:tc>
          <w:tcPr>
            <w:tcW w:w="708" w:type="dxa"/>
            <w:tcBorders>
              <w:top w:val="single" w:sz="6" w:space="0" w:color="000000"/>
              <w:left w:val="single" w:sz="6" w:space="0" w:color="000000"/>
              <w:bottom w:val="single" w:sz="6" w:space="0" w:color="000000"/>
              <w:right w:val="single" w:sz="6" w:space="0" w:color="000000"/>
            </w:tcBorders>
          </w:tcPr>
          <w:p w14:paraId="7E0A8540"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1,81</w:t>
            </w:r>
          </w:p>
        </w:tc>
        <w:tc>
          <w:tcPr>
            <w:tcW w:w="1699" w:type="dxa"/>
            <w:tcBorders>
              <w:top w:val="single" w:sz="6" w:space="0" w:color="000000"/>
              <w:left w:val="single" w:sz="6" w:space="0" w:color="000000"/>
              <w:bottom w:val="single" w:sz="6" w:space="0" w:color="000000"/>
              <w:right w:val="single" w:sz="6" w:space="0" w:color="000000"/>
            </w:tcBorders>
          </w:tcPr>
          <w:p w14:paraId="74A6DA10"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Năvodari</w:t>
            </w:r>
          </w:p>
          <w:p w14:paraId="400894B8"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Mamaia Sat</w:t>
            </w:r>
          </w:p>
        </w:tc>
        <w:tc>
          <w:tcPr>
            <w:tcW w:w="1134" w:type="dxa"/>
            <w:tcBorders>
              <w:top w:val="single" w:sz="6" w:space="0" w:color="000000"/>
              <w:left w:val="single" w:sz="6" w:space="0" w:color="000000"/>
              <w:bottom w:val="single" w:sz="6" w:space="0" w:color="000000"/>
              <w:right w:val="single" w:sz="6" w:space="0" w:color="000000"/>
            </w:tcBorders>
          </w:tcPr>
          <w:p w14:paraId="243E28E4"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III</w:t>
            </w:r>
          </w:p>
        </w:tc>
      </w:tr>
      <w:tr w:rsidR="00670FD4" w:rsidRPr="00BC11DC" w14:paraId="0DF8CE4C" w14:textId="77777777" w:rsidTr="001925BA">
        <w:tc>
          <w:tcPr>
            <w:tcW w:w="560" w:type="dxa"/>
          </w:tcPr>
          <w:p w14:paraId="258FF4A6"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11</w:t>
            </w:r>
          </w:p>
        </w:tc>
        <w:tc>
          <w:tcPr>
            <w:tcW w:w="1419" w:type="dxa"/>
          </w:tcPr>
          <w:p w14:paraId="1EA95202"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Constanța</w:t>
            </w:r>
          </w:p>
        </w:tc>
        <w:tc>
          <w:tcPr>
            <w:tcW w:w="1373" w:type="dxa"/>
            <w:tcBorders>
              <w:top w:val="single" w:sz="6" w:space="0" w:color="000000"/>
              <w:left w:val="single" w:sz="6" w:space="0" w:color="000000"/>
              <w:bottom w:val="single" w:sz="6" w:space="0" w:color="000000"/>
              <w:right w:val="single" w:sz="6" w:space="0" w:color="000000"/>
            </w:tcBorders>
          </w:tcPr>
          <w:p w14:paraId="60BBD810"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Municipiu</w:t>
            </w:r>
          </w:p>
        </w:tc>
        <w:tc>
          <w:tcPr>
            <w:tcW w:w="901" w:type="dxa"/>
            <w:tcBorders>
              <w:top w:val="single" w:sz="6" w:space="0" w:color="000000"/>
              <w:left w:val="single" w:sz="6" w:space="0" w:color="000000"/>
              <w:bottom w:val="single" w:sz="6" w:space="0" w:color="000000"/>
              <w:right w:val="single" w:sz="6" w:space="0" w:color="000000"/>
            </w:tcBorders>
          </w:tcPr>
          <w:p w14:paraId="215CC6A4"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263.688</w:t>
            </w:r>
          </w:p>
        </w:tc>
        <w:tc>
          <w:tcPr>
            <w:tcW w:w="708" w:type="dxa"/>
            <w:tcBorders>
              <w:top w:val="single" w:sz="6" w:space="0" w:color="000000"/>
              <w:left w:val="single" w:sz="6" w:space="0" w:color="000000"/>
              <w:bottom w:val="single" w:sz="6" w:space="0" w:color="000000"/>
              <w:right w:val="single" w:sz="6" w:space="0" w:color="000000"/>
            </w:tcBorders>
          </w:tcPr>
          <w:p w14:paraId="7F3D3979"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65,79</w:t>
            </w:r>
          </w:p>
        </w:tc>
        <w:tc>
          <w:tcPr>
            <w:tcW w:w="991" w:type="dxa"/>
            <w:tcBorders>
              <w:top w:val="single" w:sz="6" w:space="0" w:color="000000"/>
              <w:left w:val="single" w:sz="6" w:space="0" w:color="000000"/>
              <w:bottom w:val="single" w:sz="6" w:space="0" w:color="000000"/>
              <w:right w:val="single" w:sz="6" w:space="0" w:color="000000"/>
            </w:tcBorders>
          </w:tcPr>
          <w:p w14:paraId="6AD2C420"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12.507</w:t>
            </w:r>
          </w:p>
        </w:tc>
        <w:tc>
          <w:tcPr>
            <w:tcW w:w="708" w:type="dxa"/>
            <w:tcBorders>
              <w:top w:val="single" w:sz="6" w:space="0" w:color="000000"/>
              <w:left w:val="single" w:sz="6" w:space="0" w:color="000000"/>
              <w:bottom w:val="single" w:sz="6" w:space="0" w:color="000000"/>
              <w:right w:val="single" w:sz="6" w:space="0" w:color="000000"/>
            </w:tcBorders>
          </w:tcPr>
          <w:p w14:paraId="32BAF27E"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3,52</w:t>
            </w:r>
          </w:p>
        </w:tc>
        <w:tc>
          <w:tcPr>
            <w:tcW w:w="1699" w:type="dxa"/>
            <w:tcBorders>
              <w:top w:val="single" w:sz="6" w:space="0" w:color="000000"/>
              <w:left w:val="single" w:sz="6" w:space="0" w:color="000000"/>
              <w:bottom w:val="single" w:sz="6" w:space="0" w:color="000000"/>
              <w:right w:val="single" w:sz="6" w:space="0" w:color="000000"/>
            </w:tcBorders>
          </w:tcPr>
          <w:p w14:paraId="48F590C8"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Constanța</w:t>
            </w:r>
          </w:p>
          <w:p w14:paraId="0FC02DAA"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Mamaia / stațiune</w:t>
            </w:r>
          </w:p>
          <w:p w14:paraId="5AA4808A"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Palazu Mare</w:t>
            </w:r>
          </w:p>
        </w:tc>
        <w:tc>
          <w:tcPr>
            <w:tcW w:w="1134" w:type="dxa"/>
            <w:tcBorders>
              <w:top w:val="single" w:sz="6" w:space="0" w:color="000000"/>
              <w:left w:val="single" w:sz="6" w:space="0" w:color="000000"/>
              <w:bottom w:val="single" w:sz="6" w:space="0" w:color="000000"/>
              <w:right w:val="single" w:sz="6" w:space="0" w:color="000000"/>
            </w:tcBorders>
          </w:tcPr>
          <w:p w14:paraId="73E4074B"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I</w:t>
            </w:r>
          </w:p>
        </w:tc>
      </w:tr>
      <w:tr w:rsidR="00670FD4" w:rsidRPr="00BC11DC" w14:paraId="7EDED779" w14:textId="77777777" w:rsidTr="001925BA">
        <w:tc>
          <w:tcPr>
            <w:tcW w:w="560" w:type="dxa"/>
          </w:tcPr>
          <w:p w14:paraId="1D0EEB70"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12</w:t>
            </w:r>
          </w:p>
        </w:tc>
        <w:tc>
          <w:tcPr>
            <w:tcW w:w="1419" w:type="dxa"/>
          </w:tcPr>
          <w:p w14:paraId="606AF982"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Agigea</w:t>
            </w:r>
          </w:p>
        </w:tc>
        <w:tc>
          <w:tcPr>
            <w:tcW w:w="1373" w:type="dxa"/>
            <w:tcBorders>
              <w:top w:val="single" w:sz="6" w:space="0" w:color="000000"/>
              <w:left w:val="single" w:sz="6" w:space="0" w:color="000000"/>
              <w:bottom w:val="single" w:sz="6" w:space="0" w:color="000000"/>
              <w:right w:val="single" w:sz="6" w:space="0" w:color="000000"/>
            </w:tcBorders>
          </w:tcPr>
          <w:p w14:paraId="02F2D78F"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Comună</w:t>
            </w:r>
          </w:p>
        </w:tc>
        <w:tc>
          <w:tcPr>
            <w:tcW w:w="901" w:type="dxa"/>
            <w:tcBorders>
              <w:top w:val="single" w:sz="6" w:space="0" w:color="000000"/>
              <w:left w:val="single" w:sz="6" w:space="0" w:color="000000"/>
              <w:bottom w:val="single" w:sz="6" w:space="0" w:color="000000"/>
              <w:right w:val="single" w:sz="6" w:space="0" w:color="000000"/>
            </w:tcBorders>
          </w:tcPr>
          <w:p w14:paraId="39442892"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8.722</w:t>
            </w:r>
          </w:p>
        </w:tc>
        <w:tc>
          <w:tcPr>
            <w:tcW w:w="708" w:type="dxa"/>
            <w:tcBorders>
              <w:top w:val="single" w:sz="6" w:space="0" w:color="000000"/>
              <w:left w:val="single" w:sz="6" w:space="0" w:color="000000"/>
              <w:bottom w:val="single" w:sz="6" w:space="0" w:color="000000"/>
              <w:right w:val="single" w:sz="6" w:space="0" w:color="000000"/>
            </w:tcBorders>
          </w:tcPr>
          <w:p w14:paraId="06D5358C"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2,18</w:t>
            </w:r>
          </w:p>
        </w:tc>
        <w:tc>
          <w:tcPr>
            <w:tcW w:w="991" w:type="dxa"/>
            <w:tcBorders>
              <w:top w:val="single" w:sz="6" w:space="0" w:color="000000"/>
              <w:left w:val="single" w:sz="6" w:space="0" w:color="000000"/>
              <w:bottom w:val="single" w:sz="6" w:space="0" w:color="000000"/>
              <w:right w:val="single" w:sz="6" w:space="0" w:color="000000"/>
            </w:tcBorders>
          </w:tcPr>
          <w:p w14:paraId="3C73F16F"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5.245</w:t>
            </w:r>
          </w:p>
        </w:tc>
        <w:tc>
          <w:tcPr>
            <w:tcW w:w="708" w:type="dxa"/>
            <w:tcBorders>
              <w:top w:val="single" w:sz="6" w:space="0" w:color="000000"/>
              <w:left w:val="single" w:sz="6" w:space="0" w:color="000000"/>
              <w:bottom w:val="single" w:sz="6" w:space="0" w:color="000000"/>
              <w:right w:val="single" w:sz="6" w:space="0" w:color="000000"/>
            </w:tcBorders>
          </w:tcPr>
          <w:p w14:paraId="4702044B"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1,48</w:t>
            </w:r>
          </w:p>
        </w:tc>
        <w:tc>
          <w:tcPr>
            <w:tcW w:w="1699" w:type="dxa"/>
            <w:tcBorders>
              <w:top w:val="single" w:sz="6" w:space="0" w:color="000000"/>
              <w:left w:val="single" w:sz="6" w:space="0" w:color="000000"/>
              <w:bottom w:val="single" w:sz="6" w:space="0" w:color="000000"/>
              <w:right w:val="single" w:sz="6" w:space="0" w:color="000000"/>
            </w:tcBorders>
          </w:tcPr>
          <w:p w14:paraId="336B8A56"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Agigea,</w:t>
            </w:r>
          </w:p>
          <w:p w14:paraId="3FA6DDF5"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Lazu,</w:t>
            </w:r>
          </w:p>
          <w:p w14:paraId="7F9DDC3D"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Sanatoriul Agigea,</w:t>
            </w:r>
          </w:p>
          <w:p w14:paraId="66170100"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Stațiunea Zoologică Marină</w:t>
            </w:r>
          </w:p>
        </w:tc>
        <w:tc>
          <w:tcPr>
            <w:tcW w:w="1134" w:type="dxa"/>
            <w:tcBorders>
              <w:top w:val="single" w:sz="6" w:space="0" w:color="000000"/>
              <w:left w:val="single" w:sz="6" w:space="0" w:color="000000"/>
              <w:bottom w:val="single" w:sz="6" w:space="0" w:color="000000"/>
              <w:right w:val="single" w:sz="6" w:space="0" w:color="000000"/>
            </w:tcBorders>
          </w:tcPr>
          <w:p w14:paraId="1B8E4C1F" w14:textId="77777777" w:rsidR="00670FD4" w:rsidRPr="00BC11DC" w:rsidRDefault="00670FD4" w:rsidP="001925BA">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IV</w:t>
            </w:r>
          </w:p>
          <w:p w14:paraId="3D0B030D" w14:textId="77777777" w:rsidR="00670FD4" w:rsidRPr="00BC11DC" w:rsidRDefault="00670FD4" w:rsidP="001925BA">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V</w:t>
            </w:r>
          </w:p>
          <w:p w14:paraId="6A80CFA1" w14:textId="77777777" w:rsidR="00670FD4" w:rsidRPr="00BC11DC" w:rsidRDefault="00670FD4" w:rsidP="001925BA">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V</w:t>
            </w:r>
          </w:p>
          <w:p w14:paraId="6AAA3F62" w14:textId="77777777" w:rsidR="00670FD4" w:rsidRPr="00BC11DC" w:rsidRDefault="00670FD4" w:rsidP="001925BA">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 </w:t>
            </w:r>
          </w:p>
          <w:p w14:paraId="204E8206" w14:textId="77777777" w:rsidR="00670FD4" w:rsidRPr="00BC11DC" w:rsidRDefault="00670FD4" w:rsidP="001925BA">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V</w:t>
            </w:r>
          </w:p>
        </w:tc>
      </w:tr>
      <w:tr w:rsidR="00670FD4" w:rsidRPr="00BC11DC" w14:paraId="144B13CD" w14:textId="77777777" w:rsidTr="001925BA">
        <w:tc>
          <w:tcPr>
            <w:tcW w:w="560" w:type="dxa"/>
          </w:tcPr>
          <w:p w14:paraId="45FD3F1C"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13</w:t>
            </w:r>
          </w:p>
        </w:tc>
        <w:tc>
          <w:tcPr>
            <w:tcW w:w="1419" w:type="dxa"/>
            <w:tcBorders>
              <w:top w:val="single" w:sz="6" w:space="0" w:color="000000"/>
              <w:left w:val="single" w:sz="6" w:space="0" w:color="000000"/>
              <w:bottom w:val="single" w:sz="6" w:space="0" w:color="000000"/>
              <w:right w:val="single" w:sz="6" w:space="0" w:color="000000"/>
            </w:tcBorders>
          </w:tcPr>
          <w:p w14:paraId="1F6ADC48"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Techirghiol</w:t>
            </w:r>
          </w:p>
        </w:tc>
        <w:tc>
          <w:tcPr>
            <w:tcW w:w="1373" w:type="dxa"/>
            <w:tcBorders>
              <w:top w:val="single" w:sz="6" w:space="0" w:color="000000"/>
              <w:left w:val="single" w:sz="6" w:space="0" w:color="000000"/>
              <w:bottom w:val="single" w:sz="6" w:space="0" w:color="000000"/>
              <w:right w:val="single" w:sz="6" w:space="0" w:color="000000"/>
            </w:tcBorders>
          </w:tcPr>
          <w:p w14:paraId="61917817"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Oraș/stațiune</w:t>
            </w:r>
          </w:p>
        </w:tc>
        <w:tc>
          <w:tcPr>
            <w:tcW w:w="901" w:type="dxa"/>
            <w:tcBorders>
              <w:top w:val="single" w:sz="6" w:space="0" w:color="000000"/>
              <w:left w:val="single" w:sz="6" w:space="0" w:color="000000"/>
              <w:bottom w:val="single" w:sz="6" w:space="0" w:color="000000"/>
              <w:right w:val="single" w:sz="6" w:space="0" w:color="000000"/>
            </w:tcBorders>
          </w:tcPr>
          <w:p w14:paraId="24B90491"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8.061</w:t>
            </w:r>
          </w:p>
        </w:tc>
        <w:tc>
          <w:tcPr>
            <w:tcW w:w="708" w:type="dxa"/>
            <w:tcBorders>
              <w:top w:val="single" w:sz="6" w:space="0" w:color="000000"/>
              <w:left w:val="single" w:sz="6" w:space="0" w:color="000000"/>
              <w:bottom w:val="single" w:sz="6" w:space="0" w:color="000000"/>
              <w:right w:val="single" w:sz="6" w:space="0" w:color="000000"/>
            </w:tcBorders>
          </w:tcPr>
          <w:p w14:paraId="68F0EBF7"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2,01</w:t>
            </w:r>
          </w:p>
        </w:tc>
        <w:tc>
          <w:tcPr>
            <w:tcW w:w="991" w:type="dxa"/>
            <w:tcBorders>
              <w:top w:val="single" w:sz="6" w:space="0" w:color="000000"/>
              <w:left w:val="single" w:sz="6" w:space="0" w:color="000000"/>
              <w:bottom w:val="single" w:sz="6" w:space="0" w:color="000000"/>
              <w:right w:val="single" w:sz="6" w:space="0" w:color="000000"/>
            </w:tcBorders>
          </w:tcPr>
          <w:p w14:paraId="7D9952E5"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3.838</w:t>
            </w:r>
          </w:p>
        </w:tc>
        <w:tc>
          <w:tcPr>
            <w:tcW w:w="708" w:type="dxa"/>
            <w:tcBorders>
              <w:top w:val="single" w:sz="6" w:space="0" w:color="000000"/>
              <w:left w:val="single" w:sz="6" w:space="0" w:color="000000"/>
              <w:bottom w:val="single" w:sz="6" w:space="0" w:color="000000"/>
              <w:right w:val="single" w:sz="6" w:space="0" w:color="000000"/>
            </w:tcBorders>
          </w:tcPr>
          <w:p w14:paraId="7E0E182B"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1,08</w:t>
            </w:r>
          </w:p>
        </w:tc>
        <w:tc>
          <w:tcPr>
            <w:tcW w:w="1699" w:type="dxa"/>
            <w:tcBorders>
              <w:top w:val="single" w:sz="6" w:space="0" w:color="000000"/>
              <w:left w:val="single" w:sz="6" w:space="0" w:color="000000"/>
              <w:bottom w:val="single" w:sz="6" w:space="0" w:color="000000"/>
              <w:right w:val="single" w:sz="6" w:space="0" w:color="000000"/>
            </w:tcBorders>
          </w:tcPr>
          <w:p w14:paraId="7DC228EC" w14:textId="77777777" w:rsidR="00670FD4" w:rsidRPr="00BC11DC" w:rsidRDefault="00670FD4" w:rsidP="001925BA">
            <w:pPr>
              <w:spacing w:before="0" w:after="0" w:line="240" w:lineRule="auto"/>
              <w:ind w:firstLine="0"/>
              <w:jc w:val="left"/>
              <w:rPr>
                <w:rFonts w:eastAsia="Times New Roman"/>
                <w:b/>
                <w:kern w:val="0"/>
                <w:sz w:val="20"/>
                <w:szCs w:val="20"/>
                <w:lang w:val="ro-RO"/>
              </w:rPr>
            </w:pPr>
            <w:r w:rsidRPr="00BC11DC">
              <w:rPr>
                <w:rFonts w:eastAsia="Times New Roman"/>
                <w:kern w:val="0"/>
                <w:sz w:val="20"/>
                <w:szCs w:val="20"/>
                <w:lang w:val="ro-RO"/>
              </w:rPr>
              <w:t>Techirghiol</w:t>
            </w:r>
          </w:p>
        </w:tc>
        <w:tc>
          <w:tcPr>
            <w:tcW w:w="1134" w:type="dxa"/>
            <w:tcBorders>
              <w:top w:val="single" w:sz="6" w:space="0" w:color="000000"/>
              <w:left w:val="single" w:sz="6" w:space="0" w:color="000000"/>
              <w:bottom w:val="single" w:sz="6" w:space="0" w:color="000000"/>
              <w:right w:val="single" w:sz="6" w:space="0" w:color="000000"/>
            </w:tcBorders>
          </w:tcPr>
          <w:p w14:paraId="1CA8D6F4"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III</w:t>
            </w:r>
          </w:p>
        </w:tc>
      </w:tr>
      <w:tr w:rsidR="00670FD4" w:rsidRPr="00BC11DC" w14:paraId="58767290" w14:textId="77777777" w:rsidTr="001925BA">
        <w:tc>
          <w:tcPr>
            <w:tcW w:w="560" w:type="dxa"/>
          </w:tcPr>
          <w:p w14:paraId="1F436C0D"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14</w:t>
            </w:r>
          </w:p>
        </w:tc>
        <w:tc>
          <w:tcPr>
            <w:tcW w:w="1419" w:type="dxa"/>
            <w:tcBorders>
              <w:top w:val="single" w:sz="6" w:space="0" w:color="000000"/>
              <w:left w:val="single" w:sz="6" w:space="0" w:color="000000"/>
              <w:bottom w:val="single" w:sz="6" w:space="0" w:color="000000"/>
              <w:right w:val="single" w:sz="6" w:space="0" w:color="000000"/>
            </w:tcBorders>
          </w:tcPr>
          <w:p w14:paraId="7894FA9F"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Eforie</w:t>
            </w:r>
          </w:p>
        </w:tc>
        <w:tc>
          <w:tcPr>
            <w:tcW w:w="1373" w:type="dxa"/>
            <w:tcBorders>
              <w:top w:val="single" w:sz="6" w:space="0" w:color="000000"/>
              <w:left w:val="single" w:sz="6" w:space="0" w:color="000000"/>
              <w:bottom w:val="single" w:sz="6" w:space="0" w:color="000000"/>
              <w:right w:val="single" w:sz="6" w:space="0" w:color="000000"/>
            </w:tcBorders>
          </w:tcPr>
          <w:p w14:paraId="065FA60B"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Oraș/stațiune</w:t>
            </w:r>
          </w:p>
        </w:tc>
        <w:tc>
          <w:tcPr>
            <w:tcW w:w="901" w:type="dxa"/>
            <w:tcBorders>
              <w:top w:val="single" w:sz="6" w:space="0" w:color="000000"/>
              <w:left w:val="single" w:sz="6" w:space="0" w:color="000000"/>
              <w:bottom w:val="single" w:sz="6" w:space="0" w:color="000000"/>
              <w:right w:val="single" w:sz="6" w:space="0" w:color="000000"/>
            </w:tcBorders>
          </w:tcPr>
          <w:p w14:paraId="1E71A646"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8.630</w:t>
            </w:r>
          </w:p>
        </w:tc>
        <w:tc>
          <w:tcPr>
            <w:tcW w:w="708" w:type="dxa"/>
            <w:tcBorders>
              <w:top w:val="single" w:sz="6" w:space="0" w:color="000000"/>
              <w:left w:val="single" w:sz="6" w:space="0" w:color="000000"/>
              <w:bottom w:val="single" w:sz="6" w:space="0" w:color="000000"/>
              <w:right w:val="single" w:sz="6" w:space="0" w:color="000000"/>
            </w:tcBorders>
          </w:tcPr>
          <w:p w14:paraId="0904A0B4"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2,15</w:t>
            </w:r>
          </w:p>
        </w:tc>
        <w:tc>
          <w:tcPr>
            <w:tcW w:w="991" w:type="dxa"/>
            <w:tcBorders>
              <w:top w:val="single" w:sz="6" w:space="0" w:color="000000"/>
              <w:left w:val="single" w:sz="6" w:space="0" w:color="000000"/>
              <w:bottom w:val="single" w:sz="6" w:space="0" w:color="000000"/>
              <w:right w:val="single" w:sz="6" w:space="0" w:color="000000"/>
            </w:tcBorders>
          </w:tcPr>
          <w:p w14:paraId="1195C1A1"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467</w:t>
            </w:r>
          </w:p>
        </w:tc>
        <w:tc>
          <w:tcPr>
            <w:tcW w:w="708" w:type="dxa"/>
            <w:tcBorders>
              <w:top w:val="single" w:sz="6" w:space="0" w:color="000000"/>
              <w:left w:val="single" w:sz="6" w:space="0" w:color="000000"/>
              <w:bottom w:val="single" w:sz="6" w:space="0" w:color="000000"/>
              <w:right w:val="single" w:sz="6" w:space="0" w:color="000000"/>
            </w:tcBorders>
          </w:tcPr>
          <w:p w14:paraId="393205B8"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0,13</w:t>
            </w:r>
          </w:p>
        </w:tc>
        <w:tc>
          <w:tcPr>
            <w:tcW w:w="1699" w:type="dxa"/>
            <w:tcBorders>
              <w:top w:val="single" w:sz="6" w:space="0" w:color="000000"/>
              <w:left w:val="single" w:sz="6" w:space="0" w:color="000000"/>
              <w:bottom w:val="single" w:sz="6" w:space="0" w:color="000000"/>
              <w:right w:val="single" w:sz="6" w:space="0" w:color="000000"/>
            </w:tcBorders>
          </w:tcPr>
          <w:p w14:paraId="4F124194"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Eforie Sud</w:t>
            </w:r>
          </w:p>
          <w:p w14:paraId="0A6AAD86"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Eforie Nord</w:t>
            </w:r>
          </w:p>
        </w:tc>
        <w:tc>
          <w:tcPr>
            <w:tcW w:w="1134" w:type="dxa"/>
            <w:tcBorders>
              <w:top w:val="single" w:sz="6" w:space="0" w:color="000000"/>
              <w:left w:val="single" w:sz="6" w:space="0" w:color="000000"/>
              <w:bottom w:val="single" w:sz="6" w:space="0" w:color="000000"/>
              <w:right w:val="single" w:sz="6" w:space="0" w:color="000000"/>
            </w:tcBorders>
          </w:tcPr>
          <w:p w14:paraId="398FB097"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III</w:t>
            </w:r>
          </w:p>
        </w:tc>
      </w:tr>
      <w:tr w:rsidR="00670FD4" w:rsidRPr="00BC11DC" w14:paraId="383B857D" w14:textId="77777777" w:rsidTr="001925BA">
        <w:tc>
          <w:tcPr>
            <w:tcW w:w="560" w:type="dxa"/>
          </w:tcPr>
          <w:p w14:paraId="5315D2C1"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15</w:t>
            </w:r>
          </w:p>
        </w:tc>
        <w:tc>
          <w:tcPr>
            <w:tcW w:w="1419" w:type="dxa"/>
            <w:tcBorders>
              <w:top w:val="single" w:sz="6" w:space="0" w:color="000000"/>
              <w:left w:val="single" w:sz="6" w:space="0" w:color="000000"/>
              <w:bottom w:val="single" w:sz="6" w:space="0" w:color="000000"/>
              <w:right w:val="single" w:sz="6" w:space="0" w:color="000000"/>
            </w:tcBorders>
          </w:tcPr>
          <w:p w14:paraId="07432B28"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Tuzla</w:t>
            </w:r>
          </w:p>
        </w:tc>
        <w:tc>
          <w:tcPr>
            <w:tcW w:w="1373" w:type="dxa"/>
            <w:tcBorders>
              <w:top w:val="single" w:sz="6" w:space="0" w:color="000000"/>
              <w:left w:val="single" w:sz="6" w:space="0" w:color="000000"/>
              <w:bottom w:val="single" w:sz="6" w:space="0" w:color="000000"/>
              <w:right w:val="single" w:sz="6" w:space="0" w:color="000000"/>
            </w:tcBorders>
          </w:tcPr>
          <w:p w14:paraId="36DB465E"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Comună</w:t>
            </w:r>
          </w:p>
        </w:tc>
        <w:tc>
          <w:tcPr>
            <w:tcW w:w="901" w:type="dxa"/>
            <w:tcBorders>
              <w:top w:val="single" w:sz="6" w:space="0" w:color="000000"/>
              <w:left w:val="single" w:sz="6" w:space="0" w:color="000000"/>
              <w:bottom w:val="single" w:sz="6" w:space="0" w:color="000000"/>
              <w:right w:val="single" w:sz="6" w:space="0" w:color="000000"/>
            </w:tcBorders>
          </w:tcPr>
          <w:p w14:paraId="15275DC4"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6.494</w:t>
            </w:r>
          </w:p>
        </w:tc>
        <w:tc>
          <w:tcPr>
            <w:tcW w:w="708" w:type="dxa"/>
            <w:tcBorders>
              <w:top w:val="single" w:sz="6" w:space="0" w:color="000000"/>
              <w:left w:val="single" w:sz="6" w:space="0" w:color="000000"/>
              <w:bottom w:val="single" w:sz="6" w:space="0" w:color="000000"/>
              <w:right w:val="single" w:sz="6" w:space="0" w:color="000000"/>
            </w:tcBorders>
          </w:tcPr>
          <w:p w14:paraId="2244E4F9"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1,62</w:t>
            </w:r>
          </w:p>
        </w:tc>
        <w:tc>
          <w:tcPr>
            <w:tcW w:w="991" w:type="dxa"/>
            <w:tcBorders>
              <w:top w:val="single" w:sz="6" w:space="0" w:color="000000"/>
              <w:left w:val="single" w:sz="6" w:space="0" w:color="000000"/>
              <w:bottom w:val="single" w:sz="6" w:space="0" w:color="000000"/>
              <w:right w:val="single" w:sz="6" w:space="0" w:color="000000"/>
            </w:tcBorders>
          </w:tcPr>
          <w:p w14:paraId="4810E3D9"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4.895</w:t>
            </w:r>
          </w:p>
        </w:tc>
        <w:tc>
          <w:tcPr>
            <w:tcW w:w="708" w:type="dxa"/>
            <w:tcBorders>
              <w:top w:val="single" w:sz="6" w:space="0" w:color="000000"/>
              <w:left w:val="single" w:sz="6" w:space="0" w:color="000000"/>
              <w:bottom w:val="single" w:sz="6" w:space="0" w:color="000000"/>
              <w:right w:val="single" w:sz="6" w:space="0" w:color="000000"/>
            </w:tcBorders>
          </w:tcPr>
          <w:p w14:paraId="4B01C8EF"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1,38</w:t>
            </w:r>
          </w:p>
        </w:tc>
        <w:tc>
          <w:tcPr>
            <w:tcW w:w="1699" w:type="dxa"/>
            <w:tcBorders>
              <w:top w:val="single" w:sz="6" w:space="0" w:color="000000"/>
              <w:left w:val="single" w:sz="6" w:space="0" w:color="000000"/>
              <w:bottom w:val="single" w:sz="6" w:space="0" w:color="000000"/>
              <w:right w:val="single" w:sz="6" w:space="0" w:color="000000"/>
            </w:tcBorders>
          </w:tcPr>
          <w:p w14:paraId="1E864F25" w14:textId="77777777" w:rsidR="00670FD4" w:rsidRPr="00BC11DC" w:rsidRDefault="00670FD4" w:rsidP="001925BA">
            <w:pPr>
              <w:spacing w:before="0" w:after="0" w:line="240" w:lineRule="auto"/>
              <w:ind w:firstLine="0"/>
              <w:jc w:val="left"/>
              <w:rPr>
                <w:rFonts w:eastAsia="Times New Roman"/>
                <w:b/>
                <w:kern w:val="0"/>
                <w:sz w:val="20"/>
                <w:szCs w:val="20"/>
                <w:lang w:val="ro-RO"/>
              </w:rPr>
            </w:pPr>
            <w:r w:rsidRPr="00BC11DC">
              <w:rPr>
                <w:rFonts w:eastAsia="Times New Roman"/>
                <w:kern w:val="0"/>
                <w:sz w:val="20"/>
                <w:szCs w:val="20"/>
                <w:lang w:val="ro-RO"/>
              </w:rPr>
              <w:t>Tuzla</w:t>
            </w:r>
          </w:p>
        </w:tc>
        <w:tc>
          <w:tcPr>
            <w:tcW w:w="1134" w:type="dxa"/>
            <w:tcBorders>
              <w:top w:val="single" w:sz="6" w:space="0" w:color="000000"/>
              <w:left w:val="single" w:sz="6" w:space="0" w:color="000000"/>
              <w:bottom w:val="single" w:sz="6" w:space="0" w:color="000000"/>
              <w:right w:val="single" w:sz="6" w:space="0" w:color="000000"/>
            </w:tcBorders>
          </w:tcPr>
          <w:p w14:paraId="2196FB83"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IV</w:t>
            </w:r>
          </w:p>
        </w:tc>
      </w:tr>
      <w:tr w:rsidR="00670FD4" w:rsidRPr="00BC11DC" w14:paraId="10B1E0FB" w14:textId="77777777" w:rsidTr="001925BA">
        <w:tc>
          <w:tcPr>
            <w:tcW w:w="560" w:type="dxa"/>
          </w:tcPr>
          <w:p w14:paraId="5E7CEF64"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16</w:t>
            </w:r>
          </w:p>
        </w:tc>
        <w:tc>
          <w:tcPr>
            <w:tcW w:w="1419" w:type="dxa"/>
            <w:tcBorders>
              <w:top w:val="single" w:sz="6" w:space="0" w:color="000000"/>
              <w:left w:val="single" w:sz="6" w:space="0" w:color="000000"/>
              <w:bottom w:val="single" w:sz="6" w:space="0" w:color="000000"/>
              <w:right w:val="single" w:sz="6" w:space="0" w:color="000000"/>
            </w:tcBorders>
          </w:tcPr>
          <w:p w14:paraId="79F8A724"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Costinești</w:t>
            </w:r>
          </w:p>
        </w:tc>
        <w:tc>
          <w:tcPr>
            <w:tcW w:w="1373" w:type="dxa"/>
            <w:tcBorders>
              <w:top w:val="single" w:sz="6" w:space="0" w:color="000000"/>
              <w:left w:val="single" w:sz="6" w:space="0" w:color="000000"/>
              <w:bottom w:val="single" w:sz="6" w:space="0" w:color="000000"/>
              <w:right w:val="single" w:sz="6" w:space="0" w:color="000000"/>
            </w:tcBorders>
          </w:tcPr>
          <w:p w14:paraId="53310BC9"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Comună/ stațiune</w:t>
            </w:r>
          </w:p>
        </w:tc>
        <w:tc>
          <w:tcPr>
            <w:tcW w:w="901" w:type="dxa"/>
            <w:tcBorders>
              <w:top w:val="single" w:sz="6" w:space="0" w:color="000000"/>
              <w:left w:val="single" w:sz="6" w:space="0" w:color="000000"/>
              <w:bottom w:val="single" w:sz="6" w:space="0" w:color="000000"/>
              <w:right w:val="single" w:sz="6" w:space="0" w:color="000000"/>
            </w:tcBorders>
          </w:tcPr>
          <w:p w14:paraId="1B9DF3AA"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3.121</w:t>
            </w:r>
          </w:p>
        </w:tc>
        <w:tc>
          <w:tcPr>
            <w:tcW w:w="708" w:type="dxa"/>
            <w:tcBorders>
              <w:top w:val="single" w:sz="6" w:space="0" w:color="000000"/>
              <w:left w:val="single" w:sz="6" w:space="0" w:color="000000"/>
              <w:bottom w:val="single" w:sz="6" w:space="0" w:color="000000"/>
              <w:right w:val="single" w:sz="6" w:space="0" w:color="000000"/>
            </w:tcBorders>
          </w:tcPr>
          <w:p w14:paraId="15998BD7"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0,78</w:t>
            </w:r>
          </w:p>
        </w:tc>
        <w:tc>
          <w:tcPr>
            <w:tcW w:w="991" w:type="dxa"/>
            <w:tcBorders>
              <w:top w:val="single" w:sz="6" w:space="0" w:color="000000"/>
              <w:left w:val="single" w:sz="6" w:space="0" w:color="000000"/>
              <w:bottom w:val="single" w:sz="6" w:space="0" w:color="000000"/>
              <w:right w:val="single" w:sz="6" w:space="0" w:color="000000"/>
            </w:tcBorders>
          </w:tcPr>
          <w:p w14:paraId="3E966ABB"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2.028</w:t>
            </w:r>
          </w:p>
        </w:tc>
        <w:tc>
          <w:tcPr>
            <w:tcW w:w="708" w:type="dxa"/>
            <w:tcBorders>
              <w:top w:val="single" w:sz="6" w:space="0" w:color="000000"/>
              <w:left w:val="single" w:sz="6" w:space="0" w:color="000000"/>
              <w:bottom w:val="single" w:sz="6" w:space="0" w:color="000000"/>
              <w:right w:val="single" w:sz="6" w:space="0" w:color="000000"/>
            </w:tcBorders>
          </w:tcPr>
          <w:p w14:paraId="2B89678B"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0,57</w:t>
            </w:r>
          </w:p>
        </w:tc>
        <w:tc>
          <w:tcPr>
            <w:tcW w:w="1699" w:type="dxa"/>
            <w:tcBorders>
              <w:top w:val="single" w:sz="6" w:space="0" w:color="000000"/>
              <w:left w:val="single" w:sz="6" w:space="0" w:color="000000"/>
              <w:bottom w:val="single" w:sz="6" w:space="0" w:color="000000"/>
              <w:right w:val="single" w:sz="6" w:space="0" w:color="000000"/>
            </w:tcBorders>
          </w:tcPr>
          <w:p w14:paraId="515610A5"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Costinești</w:t>
            </w:r>
          </w:p>
          <w:p w14:paraId="6DC958EA"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Schitu</w:t>
            </w:r>
          </w:p>
        </w:tc>
        <w:tc>
          <w:tcPr>
            <w:tcW w:w="1134" w:type="dxa"/>
            <w:tcBorders>
              <w:top w:val="single" w:sz="6" w:space="0" w:color="000000"/>
              <w:left w:val="single" w:sz="6" w:space="0" w:color="000000"/>
              <w:bottom w:val="single" w:sz="6" w:space="0" w:color="000000"/>
              <w:right w:val="single" w:sz="6" w:space="0" w:color="000000"/>
            </w:tcBorders>
          </w:tcPr>
          <w:p w14:paraId="6064F414" w14:textId="77777777" w:rsidR="00670FD4" w:rsidRPr="00BC11DC" w:rsidRDefault="00670FD4" w:rsidP="001925BA">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IV</w:t>
            </w:r>
          </w:p>
          <w:p w14:paraId="1BF492D6" w14:textId="77777777" w:rsidR="00670FD4" w:rsidRPr="00BC11DC" w:rsidRDefault="00670FD4" w:rsidP="001925BA">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V</w:t>
            </w:r>
          </w:p>
        </w:tc>
      </w:tr>
      <w:tr w:rsidR="00670FD4" w:rsidRPr="00BC11DC" w14:paraId="2ABF5E82" w14:textId="77777777" w:rsidTr="001925BA">
        <w:tc>
          <w:tcPr>
            <w:tcW w:w="560" w:type="dxa"/>
          </w:tcPr>
          <w:p w14:paraId="1310AA5E"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17</w:t>
            </w:r>
          </w:p>
        </w:tc>
        <w:tc>
          <w:tcPr>
            <w:tcW w:w="1419" w:type="dxa"/>
            <w:tcBorders>
              <w:top w:val="single" w:sz="6" w:space="0" w:color="000000"/>
              <w:left w:val="single" w:sz="6" w:space="0" w:color="000000"/>
              <w:bottom w:val="single" w:sz="6" w:space="0" w:color="000000"/>
              <w:right w:val="single" w:sz="6" w:space="0" w:color="000000"/>
            </w:tcBorders>
          </w:tcPr>
          <w:p w14:paraId="01649FEF"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23 August</w:t>
            </w:r>
          </w:p>
        </w:tc>
        <w:tc>
          <w:tcPr>
            <w:tcW w:w="1373" w:type="dxa"/>
            <w:tcBorders>
              <w:top w:val="single" w:sz="6" w:space="0" w:color="000000"/>
              <w:left w:val="single" w:sz="6" w:space="0" w:color="000000"/>
              <w:bottom w:val="single" w:sz="6" w:space="0" w:color="000000"/>
              <w:right w:val="single" w:sz="6" w:space="0" w:color="000000"/>
            </w:tcBorders>
          </w:tcPr>
          <w:p w14:paraId="0C5847C1"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Comună</w:t>
            </w:r>
          </w:p>
        </w:tc>
        <w:tc>
          <w:tcPr>
            <w:tcW w:w="901" w:type="dxa"/>
            <w:tcBorders>
              <w:top w:val="single" w:sz="6" w:space="0" w:color="000000"/>
              <w:left w:val="single" w:sz="6" w:space="0" w:color="000000"/>
              <w:bottom w:val="single" w:sz="6" w:space="0" w:color="000000"/>
              <w:right w:val="single" w:sz="6" w:space="0" w:color="000000"/>
            </w:tcBorders>
          </w:tcPr>
          <w:p w14:paraId="31C565DF"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5.178</w:t>
            </w:r>
          </w:p>
        </w:tc>
        <w:tc>
          <w:tcPr>
            <w:tcW w:w="708" w:type="dxa"/>
            <w:tcBorders>
              <w:top w:val="single" w:sz="6" w:space="0" w:color="000000"/>
              <w:left w:val="single" w:sz="6" w:space="0" w:color="000000"/>
              <w:bottom w:val="single" w:sz="6" w:space="0" w:color="000000"/>
              <w:right w:val="single" w:sz="6" w:space="0" w:color="000000"/>
            </w:tcBorders>
          </w:tcPr>
          <w:p w14:paraId="7CE1E82C"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1,29</w:t>
            </w:r>
          </w:p>
        </w:tc>
        <w:tc>
          <w:tcPr>
            <w:tcW w:w="991" w:type="dxa"/>
            <w:tcBorders>
              <w:top w:val="single" w:sz="6" w:space="0" w:color="000000"/>
              <w:left w:val="single" w:sz="6" w:space="0" w:color="000000"/>
              <w:bottom w:val="single" w:sz="6" w:space="0" w:color="000000"/>
              <w:right w:val="single" w:sz="6" w:space="0" w:color="000000"/>
            </w:tcBorders>
          </w:tcPr>
          <w:p w14:paraId="0194E579"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7.313</w:t>
            </w:r>
          </w:p>
        </w:tc>
        <w:tc>
          <w:tcPr>
            <w:tcW w:w="708" w:type="dxa"/>
            <w:tcBorders>
              <w:top w:val="single" w:sz="6" w:space="0" w:color="000000"/>
              <w:left w:val="single" w:sz="6" w:space="0" w:color="000000"/>
              <w:bottom w:val="single" w:sz="6" w:space="0" w:color="000000"/>
              <w:right w:val="single" w:sz="6" w:space="0" w:color="000000"/>
            </w:tcBorders>
          </w:tcPr>
          <w:p w14:paraId="48340A07"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2,06</w:t>
            </w:r>
          </w:p>
        </w:tc>
        <w:tc>
          <w:tcPr>
            <w:tcW w:w="1699" w:type="dxa"/>
            <w:tcBorders>
              <w:top w:val="single" w:sz="6" w:space="0" w:color="000000"/>
              <w:left w:val="single" w:sz="6" w:space="0" w:color="000000"/>
              <w:bottom w:val="single" w:sz="6" w:space="0" w:color="000000"/>
              <w:right w:val="single" w:sz="6" w:space="0" w:color="000000"/>
            </w:tcBorders>
          </w:tcPr>
          <w:p w14:paraId="0F719BCB"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23 August</w:t>
            </w:r>
          </w:p>
          <w:p w14:paraId="1472733F"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Dulcești</w:t>
            </w:r>
          </w:p>
          <w:p w14:paraId="05BBE9B8"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Moșneni</w:t>
            </w:r>
          </w:p>
        </w:tc>
        <w:tc>
          <w:tcPr>
            <w:tcW w:w="1134" w:type="dxa"/>
            <w:tcBorders>
              <w:top w:val="single" w:sz="6" w:space="0" w:color="000000"/>
              <w:left w:val="single" w:sz="6" w:space="0" w:color="000000"/>
              <w:bottom w:val="single" w:sz="6" w:space="0" w:color="000000"/>
              <w:right w:val="single" w:sz="6" w:space="0" w:color="000000"/>
            </w:tcBorders>
          </w:tcPr>
          <w:p w14:paraId="1501E34E" w14:textId="77777777" w:rsidR="00670FD4" w:rsidRPr="00BC11DC" w:rsidRDefault="00670FD4" w:rsidP="001925BA">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IV</w:t>
            </w:r>
          </w:p>
          <w:p w14:paraId="0479E84D" w14:textId="77777777" w:rsidR="00670FD4" w:rsidRPr="00BC11DC" w:rsidRDefault="00670FD4" w:rsidP="001925BA">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V</w:t>
            </w:r>
          </w:p>
          <w:p w14:paraId="53D197F4" w14:textId="77777777" w:rsidR="00670FD4" w:rsidRPr="00BC11DC" w:rsidRDefault="00670FD4" w:rsidP="001925BA">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V</w:t>
            </w:r>
          </w:p>
        </w:tc>
      </w:tr>
      <w:tr w:rsidR="00670FD4" w:rsidRPr="00BC11DC" w14:paraId="7DBD5821" w14:textId="77777777" w:rsidTr="001925BA">
        <w:tc>
          <w:tcPr>
            <w:tcW w:w="560" w:type="dxa"/>
          </w:tcPr>
          <w:p w14:paraId="0A99662A"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18</w:t>
            </w:r>
          </w:p>
        </w:tc>
        <w:tc>
          <w:tcPr>
            <w:tcW w:w="1419" w:type="dxa"/>
            <w:tcBorders>
              <w:top w:val="single" w:sz="6" w:space="0" w:color="000000"/>
              <w:left w:val="single" w:sz="6" w:space="0" w:color="000000"/>
              <w:bottom w:val="single" w:sz="6" w:space="0" w:color="000000"/>
              <w:right w:val="single" w:sz="6" w:space="0" w:color="000000"/>
            </w:tcBorders>
          </w:tcPr>
          <w:p w14:paraId="39F110EE"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Mangalia</w:t>
            </w:r>
          </w:p>
        </w:tc>
        <w:tc>
          <w:tcPr>
            <w:tcW w:w="1373" w:type="dxa"/>
            <w:tcBorders>
              <w:top w:val="single" w:sz="6" w:space="0" w:color="000000"/>
              <w:left w:val="single" w:sz="6" w:space="0" w:color="000000"/>
              <w:bottom w:val="single" w:sz="6" w:space="0" w:color="000000"/>
              <w:right w:val="single" w:sz="6" w:space="0" w:color="000000"/>
            </w:tcBorders>
          </w:tcPr>
          <w:p w14:paraId="702352B9"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Municipiu/ stațiune</w:t>
            </w:r>
          </w:p>
        </w:tc>
        <w:tc>
          <w:tcPr>
            <w:tcW w:w="901" w:type="dxa"/>
            <w:tcBorders>
              <w:top w:val="single" w:sz="6" w:space="0" w:color="000000"/>
              <w:left w:val="single" w:sz="6" w:space="0" w:color="000000"/>
              <w:bottom w:val="single" w:sz="6" w:space="0" w:color="000000"/>
              <w:right w:val="single" w:sz="6" w:space="0" w:color="000000"/>
            </w:tcBorders>
          </w:tcPr>
          <w:p w14:paraId="1629825D"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31.950</w:t>
            </w:r>
          </w:p>
        </w:tc>
        <w:tc>
          <w:tcPr>
            <w:tcW w:w="708" w:type="dxa"/>
            <w:tcBorders>
              <w:top w:val="single" w:sz="6" w:space="0" w:color="000000"/>
              <w:left w:val="single" w:sz="6" w:space="0" w:color="000000"/>
              <w:bottom w:val="single" w:sz="6" w:space="0" w:color="000000"/>
              <w:right w:val="single" w:sz="6" w:space="0" w:color="000000"/>
            </w:tcBorders>
          </w:tcPr>
          <w:p w14:paraId="517AE6B3"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7,97</w:t>
            </w:r>
          </w:p>
        </w:tc>
        <w:tc>
          <w:tcPr>
            <w:tcW w:w="991" w:type="dxa"/>
            <w:tcBorders>
              <w:top w:val="single" w:sz="6" w:space="0" w:color="000000"/>
              <w:left w:val="single" w:sz="6" w:space="0" w:color="000000"/>
              <w:bottom w:val="single" w:sz="6" w:space="0" w:color="000000"/>
              <w:right w:val="single" w:sz="6" w:space="0" w:color="000000"/>
            </w:tcBorders>
          </w:tcPr>
          <w:p w14:paraId="72F154B7"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6.230</w:t>
            </w:r>
          </w:p>
        </w:tc>
        <w:tc>
          <w:tcPr>
            <w:tcW w:w="708" w:type="dxa"/>
            <w:tcBorders>
              <w:top w:val="single" w:sz="6" w:space="0" w:color="000000"/>
              <w:left w:val="single" w:sz="6" w:space="0" w:color="000000"/>
              <w:bottom w:val="single" w:sz="6" w:space="0" w:color="000000"/>
              <w:right w:val="single" w:sz="6" w:space="0" w:color="000000"/>
            </w:tcBorders>
          </w:tcPr>
          <w:p w14:paraId="2F4BDBB4"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1,75</w:t>
            </w:r>
          </w:p>
        </w:tc>
        <w:tc>
          <w:tcPr>
            <w:tcW w:w="1699" w:type="dxa"/>
            <w:tcBorders>
              <w:top w:val="single" w:sz="6" w:space="0" w:color="000000"/>
              <w:left w:val="single" w:sz="6" w:space="0" w:color="000000"/>
              <w:bottom w:val="single" w:sz="6" w:space="0" w:color="000000"/>
              <w:right w:val="single" w:sz="6" w:space="0" w:color="000000"/>
            </w:tcBorders>
          </w:tcPr>
          <w:p w14:paraId="0C385F89" w14:textId="77777777" w:rsidR="00670FD4" w:rsidRPr="00BC11DC" w:rsidRDefault="00670FD4" w:rsidP="001925BA">
            <w:pPr>
              <w:spacing w:before="0" w:after="0" w:line="240" w:lineRule="auto"/>
              <w:ind w:firstLine="0"/>
              <w:jc w:val="left"/>
              <w:rPr>
                <w:rFonts w:eastAsia="Times New Roman"/>
                <w:b/>
                <w:kern w:val="0"/>
                <w:sz w:val="20"/>
                <w:szCs w:val="20"/>
                <w:lang w:val="ro-RO"/>
              </w:rPr>
            </w:pPr>
            <w:r w:rsidRPr="00BC11DC">
              <w:rPr>
                <w:rFonts w:eastAsia="Times New Roman"/>
                <w:kern w:val="0"/>
                <w:sz w:val="20"/>
                <w:szCs w:val="20"/>
                <w:lang w:val="ro-RO"/>
              </w:rPr>
              <w:t>Mangalia</w:t>
            </w:r>
          </w:p>
        </w:tc>
        <w:tc>
          <w:tcPr>
            <w:tcW w:w="1134" w:type="dxa"/>
            <w:tcBorders>
              <w:top w:val="single" w:sz="6" w:space="0" w:color="000000"/>
              <w:left w:val="single" w:sz="6" w:space="0" w:color="000000"/>
              <w:bottom w:val="single" w:sz="6" w:space="0" w:color="000000"/>
              <w:right w:val="single" w:sz="6" w:space="0" w:color="000000"/>
            </w:tcBorders>
          </w:tcPr>
          <w:p w14:paraId="69B5C7C2"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II</w:t>
            </w:r>
          </w:p>
        </w:tc>
      </w:tr>
      <w:tr w:rsidR="00670FD4" w:rsidRPr="00BC11DC" w14:paraId="5336A46C" w14:textId="77777777" w:rsidTr="001925BA">
        <w:tc>
          <w:tcPr>
            <w:tcW w:w="560" w:type="dxa"/>
          </w:tcPr>
          <w:p w14:paraId="63EAF773"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19</w:t>
            </w:r>
          </w:p>
        </w:tc>
        <w:tc>
          <w:tcPr>
            <w:tcW w:w="1419" w:type="dxa"/>
            <w:tcBorders>
              <w:top w:val="single" w:sz="6" w:space="0" w:color="000000"/>
              <w:left w:val="single" w:sz="6" w:space="0" w:color="000000"/>
              <w:bottom w:val="single" w:sz="6" w:space="0" w:color="000000"/>
              <w:right w:val="single" w:sz="6" w:space="0" w:color="000000"/>
            </w:tcBorders>
          </w:tcPr>
          <w:p w14:paraId="4823F495" w14:textId="77777777" w:rsidR="00670FD4" w:rsidRPr="00BC11DC" w:rsidRDefault="00670FD4" w:rsidP="001925BA">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Limanu</w:t>
            </w:r>
          </w:p>
        </w:tc>
        <w:tc>
          <w:tcPr>
            <w:tcW w:w="1373" w:type="dxa"/>
            <w:tcBorders>
              <w:top w:val="single" w:sz="6" w:space="0" w:color="000000"/>
              <w:left w:val="single" w:sz="6" w:space="0" w:color="000000"/>
              <w:bottom w:val="single" w:sz="6" w:space="0" w:color="000000"/>
              <w:right w:val="single" w:sz="6" w:space="0" w:color="000000"/>
            </w:tcBorders>
          </w:tcPr>
          <w:p w14:paraId="266AD0FF"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Comună</w:t>
            </w:r>
          </w:p>
        </w:tc>
        <w:tc>
          <w:tcPr>
            <w:tcW w:w="901" w:type="dxa"/>
            <w:tcBorders>
              <w:top w:val="single" w:sz="6" w:space="0" w:color="000000"/>
              <w:left w:val="single" w:sz="6" w:space="0" w:color="000000"/>
              <w:bottom w:val="single" w:sz="6" w:space="0" w:color="000000"/>
              <w:right w:val="single" w:sz="6" w:space="0" w:color="000000"/>
            </w:tcBorders>
          </w:tcPr>
          <w:p w14:paraId="6AE08A72"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6.350</w:t>
            </w:r>
          </w:p>
        </w:tc>
        <w:tc>
          <w:tcPr>
            <w:tcW w:w="708" w:type="dxa"/>
            <w:tcBorders>
              <w:top w:val="single" w:sz="6" w:space="0" w:color="000000"/>
              <w:left w:val="single" w:sz="6" w:space="0" w:color="000000"/>
              <w:bottom w:val="single" w:sz="6" w:space="0" w:color="000000"/>
              <w:right w:val="single" w:sz="6" w:space="0" w:color="000000"/>
            </w:tcBorders>
          </w:tcPr>
          <w:p w14:paraId="432C2004"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1,58</w:t>
            </w:r>
          </w:p>
        </w:tc>
        <w:tc>
          <w:tcPr>
            <w:tcW w:w="991" w:type="dxa"/>
            <w:tcBorders>
              <w:top w:val="single" w:sz="6" w:space="0" w:color="000000"/>
              <w:left w:val="single" w:sz="6" w:space="0" w:color="000000"/>
              <w:bottom w:val="single" w:sz="6" w:space="0" w:color="000000"/>
              <w:right w:val="single" w:sz="6" w:space="0" w:color="000000"/>
            </w:tcBorders>
          </w:tcPr>
          <w:p w14:paraId="0ED502D0"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7.571</w:t>
            </w:r>
          </w:p>
        </w:tc>
        <w:tc>
          <w:tcPr>
            <w:tcW w:w="708" w:type="dxa"/>
            <w:tcBorders>
              <w:top w:val="single" w:sz="6" w:space="0" w:color="000000"/>
              <w:left w:val="single" w:sz="6" w:space="0" w:color="000000"/>
              <w:bottom w:val="single" w:sz="6" w:space="0" w:color="000000"/>
              <w:right w:val="single" w:sz="6" w:space="0" w:color="000000"/>
            </w:tcBorders>
          </w:tcPr>
          <w:p w14:paraId="1CD9925F" w14:textId="77777777" w:rsidR="00670FD4" w:rsidRPr="00BC11DC" w:rsidRDefault="00670FD4" w:rsidP="001925BA">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2,13</w:t>
            </w:r>
          </w:p>
        </w:tc>
        <w:tc>
          <w:tcPr>
            <w:tcW w:w="1699" w:type="dxa"/>
            <w:tcBorders>
              <w:top w:val="single" w:sz="6" w:space="0" w:color="000000"/>
              <w:left w:val="single" w:sz="6" w:space="0" w:color="000000"/>
              <w:bottom w:val="single" w:sz="6" w:space="0" w:color="000000"/>
              <w:right w:val="single" w:sz="6" w:space="0" w:color="000000"/>
            </w:tcBorders>
          </w:tcPr>
          <w:p w14:paraId="61D111D0"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Limanu</w:t>
            </w:r>
          </w:p>
          <w:p w14:paraId="2CA54775"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Hagieni</w:t>
            </w:r>
          </w:p>
          <w:p w14:paraId="5BB326BF"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2 Mai</w:t>
            </w:r>
          </w:p>
          <w:p w14:paraId="02E26606" w14:textId="77777777" w:rsidR="00670FD4" w:rsidRPr="00BC11DC" w:rsidRDefault="00670FD4" w:rsidP="001925BA">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Vama Veche</w:t>
            </w:r>
          </w:p>
        </w:tc>
        <w:tc>
          <w:tcPr>
            <w:tcW w:w="1134" w:type="dxa"/>
            <w:tcBorders>
              <w:top w:val="single" w:sz="6" w:space="0" w:color="000000"/>
              <w:left w:val="single" w:sz="6" w:space="0" w:color="000000"/>
              <w:bottom w:val="single" w:sz="6" w:space="0" w:color="000000"/>
              <w:right w:val="single" w:sz="6" w:space="0" w:color="000000"/>
            </w:tcBorders>
          </w:tcPr>
          <w:p w14:paraId="4270B897" w14:textId="77777777" w:rsidR="00670FD4" w:rsidRPr="00BC11DC" w:rsidRDefault="00670FD4" w:rsidP="001925BA">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IV</w:t>
            </w:r>
          </w:p>
          <w:p w14:paraId="79664C79" w14:textId="77777777" w:rsidR="00670FD4" w:rsidRPr="00BC11DC" w:rsidRDefault="00670FD4" w:rsidP="001925BA">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V</w:t>
            </w:r>
          </w:p>
          <w:p w14:paraId="6490CA12" w14:textId="77777777" w:rsidR="00670FD4" w:rsidRPr="00BC11DC" w:rsidRDefault="00670FD4" w:rsidP="001925BA">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V</w:t>
            </w:r>
          </w:p>
          <w:p w14:paraId="21A50828" w14:textId="77777777" w:rsidR="00670FD4" w:rsidRPr="00BC11DC" w:rsidRDefault="00670FD4" w:rsidP="001925BA">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V</w:t>
            </w:r>
          </w:p>
        </w:tc>
      </w:tr>
      <w:tr w:rsidR="00670FD4" w:rsidRPr="00BC11DC" w14:paraId="780125CF" w14:textId="77777777" w:rsidTr="001925BA">
        <w:tc>
          <w:tcPr>
            <w:tcW w:w="3352" w:type="dxa"/>
            <w:gridSpan w:val="3"/>
            <w:tcBorders>
              <w:right w:val="single" w:sz="6" w:space="0" w:color="000000"/>
            </w:tcBorders>
          </w:tcPr>
          <w:p w14:paraId="724E9E6B" w14:textId="77777777" w:rsidR="00670FD4" w:rsidRPr="0033469D" w:rsidRDefault="00670FD4" w:rsidP="001925BA">
            <w:pPr>
              <w:spacing w:before="0" w:after="0"/>
              <w:ind w:firstLine="0"/>
              <w:jc w:val="center"/>
              <w:rPr>
                <w:rFonts w:eastAsia="Times New Roman"/>
                <w:b/>
                <w:kern w:val="0"/>
                <w:sz w:val="20"/>
                <w:szCs w:val="20"/>
                <w:lang w:val="ro-RO"/>
              </w:rPr>
            </w:pPr>
            <w:r w:rsidRPr="0033469D">
              <w:rPr>
                <w:rFonts w:eastAsia="Times New Roman"/>
                <w:b/>
                <w:kern w:val="0"/>
                <w:sz w:val="20"/>
                <w:szCs w:val="20"/>
                <w:lang w:val="ro-RO"/>
              </w:rPr>
              <w:t>Total în județ Constanța</w:t>
            </w:r>
          </w:p>
        </w:tc>
        <w:tc>
          <w:tcPr>
            <w:tcW w:w="901" w:type="dxa"/>
            <w:tcBorders>
              <w:top w:val="single" w:sz="6" w:space="0" w:color="000000"/>
              <w:left w:val="single" w:sz="6" w:space="0" w:color="000000"/>
              <w:bottom w:val="single" w:sz="6" w:space="0" w:color="000000"/>
              <w:right w:val="single" w:sz="6" w:space="0" w:color="000000"/>
            </w:tcBorders>
            <w:shd w:val="clear" w:color="auto" w:fill="F2F2F2"/>
          </w:tcPr>
          <w:p w14:paraId="4D20713F" w14:textId="77777777" w:rsidR="00670FD4" w:rsidRPr="0033469D" w:rsidRDefault="00670FD4" w:rsidP="001925BA">
            <w:pPr>
              <w:spacing w:before="0" w:after="0"/>
              <w:ind w:firstLine="0"/>
              <w:jc w:val="center"/>
              <w:rPr>
                <w:rFonts w:eastAsia="Times New Roman"/>
                <w:kern w:val="0"/>
                <w:sz w:val="20"/>
                <w:szCs w:val="20"/>
                <w:lang w:val="ro-RO"/>
              </w:rPr>
            </w:pPr>
            <w:r w:rsidRPr="0033469D">
              <w:rPr>
                <w:rFonts w:eastAsia="Times New Roman"/>
                <w:b/>
                <w:kern w:val="0"/>
                <w:sz w:val="20"/>
                <w:szCs w:val="20"/>
                <w:lang w:val="ro-RO"/>
              </w:rPr>
              <w:t>389.782</w:t>
            </w:r>
          </w:p>
        </w:tc>
        <w:tc>
          <w:tcPr>
            <w:tcW w:w="708" w:type="dxa"/>
            <w:tcBorders>
              <w:top w:val="single" w:sz="6" w:space="0" w:color="000000"/>
              <w:left w:val="single" w:sz="6" w:space="0" w:color="000000"/>
              <w:bottom w:val="single" w:sz="6" w:space="0" w:color="000000"/>
              <w:right w:val="single" w:sz="6" w:space="0" w:color="000000"/>
            </w:tcBorders>
            <w:shd w:val="clear" w:color="auto" w:fill="F2F2F2"/>
          </w:tcPr>
          <w:p w14:paraId="70A559D2" w14:textId="77777777" w:rsidR="00670FD4" w:rsidRPr="0033469D" w:rsidRDefault="00670FD4" w:rsidP="001925BA">
            <w:pPr>
              <w:spacing w:before="0" w:after="0"/>
              <w:ind w:firstLine="0"/>
              <w:jc w:val="center"/>
              <w:rPr>
                <w:rFonts w:eastAsia="Times New Roman"/>
                <w:kern w:val="0"/>
                <w:sz w:val="20"/>
                <w:szCs w:val="20"/>
                <w:lang w:val="ro-RO"/>
              </w:rPr>
            </w:pPr>
            <w:r w:rsidRPr="0033469D">
              <w:rPr>
                <w:rFonts w:eastAsia="Times New Roman"/>
                <w:b/>
                <w:kern w:val="0"/>
                <w:sz w:val="20"/>
                <w:szCs w:val="20"/>
                <w:lang w:val="ro-RO"/>
              </w:rPr>
              <w:t>97,24</w:t>
            </w:r>
          </w:p>
        </w:tc>
        <w:tc>
          <w:tcPr>
            <w:tcW w:w="991" w:type="dxa"/>
            <w:tcBorders>
              <w:top w:val="single" w:sz="6" w:space="0" w:color="000000"/>
              <w:left w:val="single" w:sz="6" w:space="0" w:color="000000"/>
              <w:bottom w:val="single" w:sz="6" w:space="0" w:color="000000"/>
              <w:right w:val="single" w:sz="6" w:space="0" w:color="000000"/>
            </w:tcBorders>
            <w:shd w:val="clear" w:color="auto" w:fill="F2F2F2"/>
          </w:tcPr>
          <w:p w14:paraId="1273C8A0" w14:textId="77777777" w:rsidR="00670FD4" w:rsidRPr="0033469D" w:rsidRDefault="00670FD4" w:rsidP="001925BA">
            <w:pPr>
              <w:spacing w:before="0" w:after="0"/>
              <w:ind w:firstLine="0"/>
              <w:jc w:val="center"/>
              <w:rPr>
                <w:rFonts w:eastAsia="Times New Roman"/>
                <w:kern w:val="0"/>
                <w:sz w:val="20"/>
                <w:szCs w:val="20"/>
                <w:lang w:val="ro-RO"/>
              </w:rPr>
            </w:pPr>
            <w:r w:rsidRPr="0033469D">
              <w:rPr>
                <w:rFonts w:eastAsia="Times New Roman"/>
                <w:b/>
                <w:kern w:val="0"/>
                <w:sz w:val="20"/>
                <w:szCs w:val="20"/>
                <w:lang w:val="ro-RO"/>
              </w:rPr>
              <w:t>125.000</w:t>
            </w:r>
          </w:p>
        </w:tc>
        <w:tc>
          <w:tcPr>
            <w:tcW w:w="708" w:type="dxa"/>
            <w:tcBorders>
              <w:top w:val="single" w:sz="6" w:space="0" w:color="000000"/>
              <w:left w:val="single" w:sz="6" w:space="0" w:color="000000"/>
              <w:bottom w:val="single" w:sz="6" w:space="0" w:color="000000"/>
              <w:right w:val="single" w:sz="6" w:space="0" w:color="000000"/>
            </w:tcBorders>
            <w:shd w:val="clear" w:color="auto" w:fill="F2F2F2"/>
          </w:tcPr>
          <w:p w14:paraId="7EE454FF" w14:textId="77777777" w:rsidR="00670FD4" w:rsidRPr="0033469D" w:rsidRDefault="00670FD4" w:rsidP="001925BA">
            <w:pPr>
              <w:spacing w:before="0" w:after="0"/>
              <w:ind w:firstLine="0"/>
              <w:jc w:val="center"/>
              <w:rPr>
                <w:rFonts w:eastAsia="Times New Roman"/>
                <w:kern w:val="0"/>
                <w:sz w:val="20"/>
                <w:szCs w:val="20"/>
                <w:lang w:val="ro-RO"/>
              </w:rPr>
            </w:pPr>
            <w:r w:rsidRPr="0033469D">
              <w:rPr>
                <w:rFonts w:eastAsia="Times New Roman"/>
                <w:b/>
                <w:kern w:val="0"/>
                <w:sz w:val="20"/>
                <w:szCs w:val="20"/>
                <w:lang w:val="ro-RO"/>
              </w:rPr>
              <w:t>35,17</w:t>
            </w:r>
          </w:p>
        </w:tc>
        <w:tc>
          <w:tcPr>
            <w:tcW w:w="2833" w:type="dxa"/>
            <w:gridSpan w:val="2"/>
            <w:tcBorders>
              <w:top w:val="single" w:sz="6" w:space="0" w:color="000000"/>
              <w:left w:val="single" w:sz="6" w:space="0" w:color="000000"/>
              <w:bottom w:val="single" w:sz="6" w:space="0" w:color="000000"/>
              <w:right w:val="single" w:sz="6" w:space="0" w:color="000000"/>
            </w:tcBorders>
          </w:tcPr>
          <w:p w14:paraId="189DC7A8" w14:textId="77777777" w:rsidR="00670FD4" w:rsidRPr="0033469D" w:rsidRDefault="00670FD4" w:rsidP="001925BA">
            <w:pPr>
              <w:pBdr>
                <w:top w:val="nil"/>
                <w:left w:val="nil"/>
                <w:bottom w:val="nil"/>
                <w:right w:val="nil"/>
                <w:between w:val="nil"/>
              </w:pBdr>
              <w:spacing w:before="0" w:after="0"/>
              <w:ind w:firstLine="0"/>
              <w:jc w:val="center"/>
              <w:rPr>
                <w:rFonts w:eastAsia="Times New Roman"/>
                <w:color w:val="000000"/>
                <w:kern w:val="0"/>
                <w:sz w:val="20"/>
                <w:szCs w:val="20"/>
                <w:lang w:val="ro-RO"/>
              </w:rPr>
            </w:pPr>
          </w:p>
        </w:tc>
      </w:tr>
      <w:tr w:rsidR="00670FD4" w:rsidRPr="00BC11DC" w14:paraId="699B0CCD" w14:textId="77777777" w:rsidTr="001925BA">
        <w:tc>
          <w:tcPr>
            <w:tcW w:w="3352" w:type="dxa"/>
            <w:gridSpan w:val="3"/>
            <w:tcBorders>
              <w:right w:val="single" w:sz="6" w:space="0" w:color="000000"/>
            </w:tcBorders>
          </w:tcPr>
          <w:p w14:paraId="5F1475BA" w14:textId="77777777" w:rsidR="00670FD4" w:rsidRPr="0033469D" w:rsidRDefault="00670FD4" w:rsidP="001925BA">
            <w:pPr>
              <w:spacing w:before="0" w:after="0"/>
              <w:ind w:firstLine="0"/>
              <w:jc w:val="center"/>
              <w:rPr>
                <w:rFonts w:eastAsia="Times New Roman"/>
                <w:b/>
                <w:kern w:val="0"/>
                <w:sz w:val="20"/>
                <w:szCs w:val="20"/>
                <w:lang w:val="ro-RO"/>
              </w:rPr>
            </w:pPr>
            <w:r w:rsidRPr="0033469D">
              <w:rPr>
                <w:rFonts w:eastAsia="Times New Roman"/>
                <w:b/>
                <w:kern w:val="0"/>
                <w:sz w:val="20"/>
                <w:szCs w:val="20"/>
                <w:lang w:val="ro-RO"/>
              </w:rPr>
              <w:t>Total zonă costieră</w:t>
            </w:r>
          </w:p>
        </w:tc>
        <w:tc>
          <w:tcPr>
            <w:tcW w:w="901" w:type="dxa"/>
            <w:tcBorders>
              <w:top w:val="single" w:sz="6" w:space="0" w:color="000000"/>
              <w:left w:val="single" w:sz="6" w:space="0" w:color="000000"/>
              <w:bottom w:val="single" w:sz="6" w:space="0" w:color="000000"/>
              <w:right w:val="single" w:sz="6" w:space="0" w:color="000000"/>
            </w:tcBorders>
            <w:shd w:val="clear" w:color="auto" w:fill="F2F2F2"/>
          </w:tcPr>
          <w:p w14:paraId="2EF54068" w14:textId="77777777" w:rsidR="00670FD4" w:rsidRPr="0033469D" w:rsidRDefault="00670FD4" w:rsidP="001925BA">
            <w:pPr>
              <w:spacing w:before="0" w:after="0"/>
              <w:ind w:firstLine="0"/>
              <w:jc w:val="center"/>
              <w:rPr>
                <w:rFonts w:eastAsia="Times New Roman"/>
                <w:b/>
                <w:kern w:val="0"/>
                <w:sz w:val="20"/>
                <w:szCs w:val="20"/>
                <w:lang w:val="ro-RO"/>
              </w:rPr>
            </w:pPr>
            <w:r w:rsidRPr="0033469D">
              <w:rPr>
                <w:rFonts w:eastAsia="Times New Roman"/>
                <w:b/>
                <w:kern w:val="0"/>
                <w:sz w:val="20"/>
                <w:szCs w:val="20"/>
                <w:lang w:val="ro-RO"/>
              </w:rPr>
              <w:t>400.828</w:t>
            </w:r>
          </w:p>
        </w:tc>
        <w:tc>
          <w:tcPr>
            <w:tcW w:w="708" w:type="dxa"/>
            <w:tcBorders>
              <w:top w:val="single" w:sz="6" w:space="0" w:color="000000"/>
              <w:left w:val="single" w:sz="6" w:space="0" w:color="000000"/>
              <w:bottom w:val="single" w:sz="6" w:space="0" w:color="000000"/>
              <w:right w:val="single" w:sz="6" w:space="0" w:color="000000"/>
            </w:tcBorders>
            <w:shd w:val="clear" w:color="auto" w:fill="F2F2F2"/>
          </w:tcPr>
          <w:p w14:paraId="11B49579" w14:textId="77777777" w:rsidR="00670FD4" w:rsidRPr="0033469D" w:rsidRDefault="00670FD4" w:rsidP="001925BA">
            <w:pPr>
              <w:spacing w:before="0" w:after="0"/>
              <w:ind w:firstLine="0"/>
              <w:jc w:val="center"/>
              <w:rPr>
                <w:rFonts w:eastAsia="Times New Roman"/>
                <w:b/>
                <w:kern w:val="0"/>
                <w:sz w:val="20"/>
                <w:szCs w:val="20"/>
                <w:lang w:val="ro-RO"/>
              </w:rPr>
            </w:pPr>
            <w:r w:rsidRPr="0033469D">
              <w:rPr>
                <w:rFonts w:eastAsia="Times New Roman"/>
                <w:b/>
                <w:kern w:val="0"/>
                <w:sz w:val="20"/>
                <w:szCs w:val="20"/>
                <w:lang w:val="ro-RO"/>
              </w:rPr>
              <w:t>100,0</w:t>
            </w:r>
          </w:p>
        </w:tc>
        <w:tc>
          <w:tcPr>
            <w:tcW w:w="991" w:type="dxa"/>
            <w:tcBorders>
              <w:top w:val="single" w:sz="6" w:space="0" w:color="000000"/>
              <w:left w:val="single" w:sz="6" w:space="0" w:color="000000"/>
              <w:bottom w:val="single" w:sz="6" w:space="0" w:color="000000"/>
              <w:right w:val="single" w:sz="6" w:space="0" w:color="000000"/>
            </w:tcBorders>
            <w:shd w:val="clear" w:color="auto" w:fill="F2F2F2"/>
          </w:tcPr>
          <w:p w14:paraId="57D70591" w14:textId="77777777" w:rsidR="00670FD4" w:rsidRPr="0033469D" w:rsidRDefault="00670FD4" w:rsidP="001925BA">
            <w:pPr>
              <w:spacing w:before="0" w:after="0"/>
              <w:ind w:firstLine="0"/>
              <w:jc w:val="center"/>
              <w:rPr>
                <w:rFonts w:eastAsia="Times New Roman"/>
                <w:b/>
                <w:kern w:val="0"/>
                <w:sz w:val="20"/>
                <w:szCs w:val="20"/>
                <w:lang w:val="ro-RO"/>
              </w:rPr>
            </w:pPr>
            <w:r w:rsidRPr="0033469D">
              <w:rPr>
                <w:rFonts w:eastAsia="Times New Roman"/>
                <w:b/>
                <w:kern w:val="0"/>
                <w:sz w:val="20"/>
                <w:szCs w:val="20"/>
                <w:lang w:val="ro-RO"/>
              </w:rPr>
              <w:t>355.447</w:t>
            </w:r>
          </w:p>
        </w:tc>
        <w:tc>
          <w:tcPr>
            <w:tcW w:w="708" w:type="dxa"/>
            <w:tcBorders>
              <w:top w:val="single" w:sz="6" w:space="0" w:color="000000"/>
              <w:left w:val="single" w:sz="6" w:space="0" w:color="000000"/>
              <w:bottom w:val="single" w:sz="6" w:space="0" w:color="000000"/>
              <w:right w:val="single" w:sz="6" w:space="0" w:color="000000"/>
            </w:tcBorders>
            <w:shd w:val="clear" w:color="auto" w:fill="F2F2F2"/>
          </w:tcPr>
          <w:p w14:paraId="6EFD77DF" w14:textId="77777777" w:rsidR="00670FD4" w:rsidRPr="0033469D" w:rsidRDefault="00670FD4" w:rsidP="001925BA">
            <w:pPr>
              <w:spacing w:before="0" w:after="0"/>
              <w:ind w:firstLine="0"/>
              <w:jc w:val="center"/>
              <w:rPr>
                <w:rFonts w:eastAsia="Times New Roman"/>
                <w:b/>
                <w:kern w:val="0"/>
                <w:sz w:val="20"/>
                <w:szCs w:val="20"/>
                <w:lang w:val="ro-RO"/>
              </w:rPr>
            </w:pPr>
            <w:r w:rsidRPr="0033469D">
              <w:rPr>
                <w:rFonts w:eastAsia="Times New Roman"/>
                <w:b/>
                <w:kern w:val="0"/>
                <w:sz w:val="20"/>
                <w:szCs w:val="20"/>
                <w:lang w:val="ro-RO"/>
              </w:rPr>
              <w:t>100,0</w:t>
            </w:r>
          </w:p>
        </w:tc>
        <w:tc>
          <w:tcPr>
            <w:tcW w:w="2833" w:type="dxa"/>
            <w:gridSpan w:val="2"/>
            <w:tcBorders>
              <w:top w:val="single" w:sz="6" w:space="0" w:color="000000"/>
              <w:left w:val="single" w:sz="6" w:space="0" w:color="000000"/>
              <w:bottom w:val="single" w:sz="6" w:space="0" w:color="000000"/>
              <w:right w:val="single" w:sz="6" w:space="0" w:color="000000"/>
            </w:tcBorders>
          </w:tcPr>
          <w:p w14:paraId="0CEC8AF2" w14:textId="77777777" w:rsidR="00670FD4" w:rsidRPr="0033469D" w:rsidRDefault="00670FD4" w:rsidP="001925BA">
            <w:pPr>
              <w:pBdr>
                <w:top w:val="nil"/>
                <w:left w:val="nil"/>
                <w:bottom w:val="nil"/>
                <w:right w:val="nil"/>
                <w:between w:val="nil"/>
              </w:pBdr>
              <w:spacing w:before="0" w:after="0"/>
              <w:ind w:firstLine="0"/>
              <w:jc w:val="center"/>
              <w:rPr>
                <w:rFonts w:eastAsia="Times New Roman"/>
                <w:color w:val="000000"/>
                <w:kern w:val="0"/>
                <w:sz w:val="20"/>
                <w:szCs w:val="20"/>
                <w:lang w:val="ro-RO"/>
              </w:rPr>
            </w:pPr>
          </w:p>
        </w:tc>
      </w:tr>
    </w:tbl>
    <w:p w14:paraId="7C46F8B9" w14:textId="77777777" w:rsidR="00670FD4" w:rsidRPr="008C6A37" w:rsidRDefault="00670FD4" w:rsidP="00670FD4">
      <w:pPr>
        <w:ind w:firstLine="567"/>
        <w:rPr>
          <w:b/>
          <w:i/>
          <w:lang w:val="ro-RO"/>
        </w:rPr>
      </w:pPr>
      <w:r w:rsidRPr="008C6A37">
        <w:rPr>
          <w:b/>
          <w:i/>
          <w:lang w:val="ro-RO"/>
        </w:rPr>
        <w:t>Surse: date RPL 2021, Tempo on-line, Lege nr. 290/2018 pentru modificarea și completarea Legii nr. 2/1968 privind organizarea administrativă a teritoriului României și Lege nr. 351 din 6 iulie 2001 privind aprobarea PATN - Secţiunea a IV-a Rețeaua de localităţi.</w:t>
      </w:r>
    </w:p>
    <w:p w14:paraId="49C0D2C2" w14:textId="77777777" w:rsidR="00670FD4" w:rsidRPr="008C6A37" w:rsidRDefault="00670FD4" w:rsidP="00670FD4">
      <w:pPr>
        <w:ind w:firstLine="567"/>
        <w:rPr>
          <w:b/>
          <w:i/>
          <w:lang w:val="ro-RO"/>
        </w:rPr>
      </w:pPr>
    </w:p>
    <w:p w14:paraId="05623891" w14:textId="77777777" w:rsidR="00670FD4" w:rsidRPr="008C6A37" w:rsidRDefault="00670FD4" w:rsidP="00670FD4">
      <w:pPr>
        <w:ind w:firstLine="567"/>
        <w:rPr>
          <w:b/>
          <w:lang w:val="ro-RO"/>
        </w:rPr>
      </w:pPr>
      <w:r w:rsidRPr="008C6A37">
        <w:rPr>
          <w:b/>
          <w:noProof/>
          <w:lang w:val="ro-RO" w:eastAsia="ro-RO"/>
        </w:rPr>
        <w:lastRenderedPageBreak/>
        <w:drawing>
          <wp:inline distT="0" distB="0" distL="0" distR="0" wp14:anchorId="645441EF" wp14:editId="0F726D21">
            <wp:extent cx="5219700" cy="6934200"/>
            <wp:effectExtent l="0" t="0" r="0" b="0"/>
            <wp:docPr id="1" name="image2.jpg" descr="https://lh6.googleusercontent.com/pCfb53ES1x2fuivuungceqGNieTFokfhszQYl1-cR5cMAWsgM53Bzzv8IzVucjBfSMq1Z0RauV5O6G_zWIG1jqeEkhj6eeBWzeeREir-dE4BNwWQx68RijgWUwOV0UYDw20KRtyOo2QInwtL9FwbG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descr="https://lh6.googleusercontent.com/pCfb53ES1x2fuivuungceqGNieTFokfhszQYl1-cR5cMAWsgM53Bzzv8IzVucjBfSMq1Z0RauV5O6G_zWIG1jqeEkhj6eeBWzeeREir-dE4BNwWQx68RijgWUwOV0UYDw20KRtyOo2QInwtL9FwbGtc"/>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19700" cy="6934200"/>
                    </a:xfrm>
                    <a:prstGeom prst="rect">
                      <a:avLst/>
                    </a:prstGeom>
                    <a:noFill/>
                    <a:ln>
                      <a:noFill/>
                    </a:ln>
                  </pic:spPr>
                </pic:pic>
              </a:graphicData>
            </a:graphic>
          </wp:inline>
        </w:drawing>
      </w:r>
    </w:p>
    <w:p w14:paraId="2420CF38" w14:textId="77777777" w:rsidR="00670FD4" w:rsidRPr="008C6A37" w:rsidRDefault="00670FD4" w:rsidP="00670FD4">
      <w:pPr>
        <w:ind w:firstLine="567"/>
        <w:jc w:val="center"/>
        <w:rPr>
          <w:b/>
          <w:lang w:val="ro-RO"/>
        </w:rPr>
      </w:pPr>
      <w:r w:rsidRPr="008C6A37">
        <w:rPr>
          <w:b/>
          <w:lang w:val="ro-RO"/>
        </w:rPr>
        <w:t xml:space="preserve">Fig. </w:t>
      </w:r>
      <w:r>
        <w:rPr>
          <w:b/>
          <w:lang w:val="ro-RO"/>
        </w:rPr>
        <w:t>1.</w:t>
      </w:r>
      <w:r w:rsidRPr="008C6A37">
        <w:rPr>
          <w:b/>
          <w:lang w:val="ro-RO"/>
        </w:rPr>
        <w:t>3.1 Harta zonei costiere</w:t>
      </w:r>
    </w:p>
    <w:p w14:paraId="19BA6832" w14:textId="77777777" w:rsidR="00670FD4" w:rsidRPr="008C6A37" w:rsidRDefault="00670FD4" w:rsidP="00670FD4">
      <w:pPr>
        <w:ind w:firstLine="567"/>
        <w:rPr>
          <w:b/>
          <w:lang w:val="ro-RO"/>
        </w:rPr>
      </w:pPr>
      <w:r>
        <w:rPr>
          <w:b/>
          <w:lang w:val="ro-RO"/>
        </w:rPr>
        <w:br w:type="page"/>
      </w:r>
    </w:p>
    <w:p w14:paraId="1F3BF944" w14:textId="77777777" w:rsidR="00670FD4" w:rsidRPr="00940876" w:rsidRDefault="00670FD4" w:rsidP="00670FD4">
      <w:pPr>
        <w:pStyle w:val="Heading3"/>
      </w:pPr>
      <w:r w:rsidRPr="00940876">
        <w:lastRenderedPageBreak/>
        <w:t xml:space="preserve"> </w:t>
      </w:r>
      <w:bookmarkStart w:id="8" w:name="_Toc150247008"/>
      <w:bookmarkStart w:id="9" w:name="_Toc171084804"/>
      <w:r w:rsidRPr="00940876">
        <w:t xml:space="preserve">1.3.1. Cadrul </w:t>
      </w:r>
      <w:r w:rsidRPr="005D2CE5">
        <w:t>natural</w:t>
      </w:r>
      <w:bookmarkEnd w:id="8"/>
      <w:bookmarkEnd w:id="9"/>
    </w:p>
    <w:p w14:paraId="5AD67AE5" w14:textId="77777777" w:rsidR="00670FD4" w:rsidRPr="008C6A37" w:rsidRDefault="00670FD4" w:rsidP="00670FD4">
      <w:pPr>
        <w:ind w:firstLine="567"/>
        <w:rPr>
          <w:b/>
          <w:i/>
          <w:lang w:val="ro-RO"/>
        </w:rPr>
      </w:pPr>
      <w:r w:rsidRPr="008C6A37">
        <w:rPr>
          <w:b/>
          <w:i/>
          <w:lang w:val="ro-RO"/>
        </w:rPr>
        <w:t>Relief și Climă</w:t>
      </w:r>
    </w:p>
    <w:p w14:paraId="7135912F" w14:textId="77777777" w:rsidR="00670FD4" w:rsidRPr="008C6A37" w:rsidRDefault="00670FD4" w:rsidP="00670FD4">
      <w:pPr>
        <w:ind w:firstLine="567"/>
        <w:rPr>
          <w:lang w:val="ro-RO"/>
        </w:rPr>
      </w:pPr>
      <w:r w:rsidRPr="008C6A37">
        <w:rPr>
          <w:lang w:val="ro-RO"/>
        </w:rPr>
        <w:t xml:space="preserve">Morfologia și relieful zonei costiere sunt diferite de-a lungul celor aproximativ 245 km dintre Golful Musura și Vama Veche și sunt rezultatul unei geneze și a unei evoluții diferite, materializate în procese și o dinamică diferite. Astfel, Unitatea Nordică, situată între Golful Musura și Capul Midia și având o lungime de circa 165 km, este preponderent naturală și înglobează țărmul Deltei Dunării, caracterizat prin prezența plajelor nisipoase, pe alocuri a dunelor litorale și a conurilor de rever, a barierelor litorale, a spiturilor și insulelor barieră, a gurilor de vărsare ale Dunării (cu morfologia specifică), a câmpurilor de țărm formate din grinduri maritime despărțite de suprafețe lacustre, japșe, canale sau suprafețe mlăștinoase acoperite cu stuf, precum și a sistemelor de bare și șanțuri în domeniul submers. </w:t>
      </w:r>
    </w:p>
    <w:p w14:paraId="2F0FAACA" w14:textId="77777777" w:rsidR="00670FD4" w:rsidRPr="008C6A37" w:rsidRDefault="00670FD4" w:rsidP="00670FD4">
      <w:pPr>
        <w:ind w:firstLine="567"/>
        <w:rPr>
          <w:lang w:val="ro-RO"/>
        </w:rPr>
      </w:pPr>
      <w:r w:rsidRPr="008C6A37">
        <w:rPr>
          <w:lang w:val="ro-RO"/>
        </w:rPr>
        <w:t>Unitatea Sudică, întinsă între Capul Midia și Vama Veche, pe o lungime de circa 80 km, este puternic antropizată, morfologia coastei fiind influențată de prezența diferitelor tipuri de infrastructuri socio-economice sau structuri de protecție costieră. Relieful este reprezentat prin plaje artificiale și, pe alocuri, naturale, faleze tăiate în loess, platforme de țărm tăiate în calcar, bariere litorale și uneori sisteme de bare și șanțuri nisipoase sau platforme calcaroase submerse.</w:t>
      </w:r>
    </w:p>
    <w:p w14:paraId="0717E4D2" w14:textId="77777777" w:rsidR="00670FD4" w:rsidRPr="008C6A37" w:rsidRDefault="00670FD4" w:rsidP="00670FD4">
      <w:pPr>
        <w:ind w:firstLine="567"/>
        <w:rPr>
          <w:lang w:val="ro-RO"/>
        </w:rPr>
      </w:pPr>
      <w:r w:rsidRPr="008C6A37">
        <w:rPr>
          <w:lang w:val="ro-RO"/>
        </w:rPr>
        <w:t>Clima zonei studiate este temperat-continentală, cu influențe cauzate de situarea acesteia la interfața dintre suprafața continentală a Dobrogei și Marea Neagră. Conform datelor furnizate de ANM pentru perioada 1961 - 2021, temperaturile medii anuale în zona costieră (cuprinse între 11,8°C la Sulina și 12,1°C la Constanța) sunt superioare mediei pe ţară. Mediile lunare multianuale sunt cuprinse între 20,1°C și 23,0°C, în sezonul cald (iunie - august), și între 0,6°C și 3,6°C, în sezonul rece (decembrie - februarie). Cantitățile medii anuale de precipitații înregistrate în perioada 1991-2020 sunt cuprinse între 240-494 mm (sursa: ANM).</w:t>
      </w:r>
    </w:p>
    <w:p w14:paraId="3AB2132C" w14:textId="77777777" w:rsidR="00670FD4" w:rsidRPr="008C6A37" w:rsidRDefault="00670FD4" w:rsidP="00670FD4">
      <w:pPr>
        <w:ind w:firstLine="567"/>
        <w:rPr>
          <w:lang w:val="ro-RO"/>
        </w:rPr>
      </w:pPr>
      <w:r w:rsidRPr="008C6A37">
        <w:rPr>
          <w:lang w:val="ro-RO"/>
        </w:rPr>
        <w:t xml:space="preserve">Zona costieră este caracterizată prin viteze mari ale vântului datorită conexiunilor complexe stabilite între traiectoriile furtunilor venite din Atlantic, activitatea de ciclogeneza din bazinul Mării Mediterane și circulația atmosferică din bazinul Mării Negre. Un alt motiv al acestor valori mari ale vitezei vântului îl reprezintă și rugozitatea foarte scăzută a suprafeței apei. Cele mai puternice vânturi se înregistrează iarna (decembrie - februarie), preponderent din sector N și NE (Sulina) și N și V (Constanța și Mangalia). </w:t>
      </w:r>
    </w:p>
    <w:p w14:paraId="5C965261" w14:textId="77777777" w:rsidR="00670FD4" w:rsidRPr="008C6A37" w:rsidRDefault="00670FD4" w:rsidP="00670FD4">
      <w:pPr>
        <w:ind w:firstLine="567"/>
        <w:rPr>
          <w:b/>
          <w:i/>
          <w:lang w:val="ro-RO"/>
        </w:rPr>
      </w:pPr>
      <w:r w:rsidRPr="008C6A37">
        <w:rPr>
          <w:b/>
          <w:i/>
          <w:lang w:val="ro-RO"/>
        </w:rPr>
        <w:t>Geologia și dinamica țărmului</w:t>
      </w:r>
    </w:p>
    <w:p w14:paraId="0DE33373" w14:textId="77777777" w:rsidR="00670FD4" w:rsidRPr="008C6A37" w:rsidRDefault="00670FD4" w:rsidP="00670FD4">
      <w:pPr>
        <w:ind w:firstLine="567"/>
        <w:rPr>
          <w:lang w:val="ro-RO"/>
        </w:rPr>
      </w:pPr>
      <w:r w:rsidRPr="008C6A37">
        <w:rPr>
          <w:lang w:val="ro-RO"/>
        </w:rPr>
        <w:t>Litoralul  românesc al Mării Negre este împărţit în două unităţi cu caracteristici geomorfologice, geologice şi sedimentologice distincte (Stănică și colab., 2013). În sectorul nordic, zona litorală românească reprezintă frontul Deltei Dunării și a complexului Razim-Sinoe. Depozitele din zona litorală, ca și cele deltaice și lacustre din vecinătatea țărmului aparțin Cuaternarului. Geomorfologia actuală a Deltei Dunării este rezultatul interacțiunii permanente dintre fluviu și mare, din Holocen până în prezent (Panin, 1996). De la Capul Midia spre sud, până în Bulgaria, zona litorală  este alcătuită din faleze (loess, argila, calcar) separate de cordoane litorale nisipoase. Falezele pot avea la bază mici plaje buzunar.</w:t>
      </w:r>
    </w:p>
    <w:p w14:paraId="60397EF1" w14:textId="77777777" w:rsidR="00670FD4" w:rsidRPr="008C6A37" w:rsidRDefault="00670FD4" w:rsidP="00670FD4">
      <w:pPr>
        <w:ind w:firstLine="567"/>
        <w:rPr>
          <w:lang w:val="ro-RO"/>
        </w:rPr>
      </w:pPr>
      <w:r w:rsidRPr="008C6A37">
        <w:rPr>
          <w:lang w:val="ro-RO"/>
        </w:rPr>
        <w:t xml:space="preserve">Din punct de vedere al dinamicii costiere cele mai erozive sectoare din cadrul Deltei Dunării sunt reprezentate de partea centrală a țărmului Sulina–Sfântu Gheorghe și de țărmul </w:t>
      </w:r>
      <w:r w:rsidRPr="008C6A37">
        <w:rPr>
          <w:lang w:val="ro-RO"/>
        </w:rPr>
        <w:lastRenderedPageBreak/>
        <w:t xml:space="preserve">Zătoane (Perișor Nord). Cele mai acumulative sectoare din cadrul Deltei Dunării sunt reprezentate de plaja Sulina și de sectoarele Periteașca și Cap Midia. Dinamica recentă (2011–2022) a sectorului sudic al țărmului românesc al Mării Negre este marcată de lucrările de combatere a eroziunii costiere care constau în construcția diferitelor diguri de protecție și în alimentarea cu sediment a plajelor. </w:t>
      </w:r>
    </w:p>
    <w:p w14:paraId="18C7DE49" w14:textId="77777777" w:rsidR="00670FD4" w:rsidRPr="008C6A37" w:rsidRDefault="00670FD4" w:rsidP="00670FD4">
      <w:pPr>
        <w:ind w:firstLine="567"/>
        <w:rPr>
          <w:b/>
          <w:i/>
          <w:lang w:val="ro-RO"/>
        </w:rPr>
      </w:pPr>
      <w:r w:rsidRPr="008C6A37">
        <w:rPr>
          <w:b/>
          <w:i/>
          <w:lang w:val="ro-RO"/>
        </w:rPr>
        <w:t>Condiții hidrografice</w:t>
      </w:r>
    </w:p>
    <w:p w14:paraId="46A75E3A" w14:textId="77777777" w:rsidR="00670FD4" w:rsidRPr="008C6A37" w:rsidRDefault="00670FD4" w:rsidP="00670FD4">
      <w:pPr>
        <w:ind w:firstLine="567"/>
        <w:rPr>
          <w:lang w:val="ro-RO"/>
        </w:rPr>
      </w:pPr>
      <w:r w:rsidRPr="008C6A37">
        <w:rPr>
          <w:lang w:val="ro-RO"/>
        </w:rPr>
        <w:t>Apele curgătoare sunt reprezentate în zona deltei de brațele principale ale Dunării, canale cu circulație activă a apei, canale şi gârle din zone naturale cu regim liber și canale şi gârle din interiorul incintelor amenajate cu circulaţia apei controlată sau fără circulaţie a apei (ex. incinta Murighiol).</w:t>
      </w:r>
    </w:p>
    <w:p w14:paraId="1DD6AA65" w14:textId="77777777" w:rsidR="00670FD4" w:rsidRPr="008C6A37" w:rsidRDefault="00670FD4" w:rsidP="00670FD4">
      <w:pPr>
        <w:ind w:firstLine="567"/>
        <w:rPr>
          <w:lang w:val="ro-RO"/>
        </w:rPr>
      </w:pPr>
      <w:r w:rsidRPr="008C6A37">
        <w:rPr>
          <w:lang w:val="ro-RO"/>
        </w:rPr>
        <w:t xml:space="preserve"> Brațul Chilia este cel mai tânăr și mai lung (120 km) și transportă cea mai mare cantitate de apă. În zona costieră, brațul Chilia este localizat începând din dreptul localităţii Periprava, până la gura de vărsare a brațului Musura. Brațul Sulina, localizat în zona de studiu începând de la Mila 10 până la vărsarea în mare, este deversorul central al Dunării și este singurul braț navigabil, cu o lungime de 83,8 km. Brațul Sfântul Gheorghe, localizat în zona de studiu începând, aproximativ, din dreptul localităţii Murighiol până la vărsare, este cel mai sudic și mai vechi braț din Delta Dunării, cu o lungime de 108 km, suferind și el, de-a lungul timpului, modificări prin rectificarea meandrelor sale (Tiron, 2010). Înainte de vărsare, din brațul Sfântu Gheorghe se desprinde un alt braț, pe partea dreaptă, care, la rândul său, se bifurcă în Gârla de Mijloc și Gârla Turcească, ambele debușând într-un golf - Meleaua Sacalin.</w:t>
      </w:r>
    </w:p>
    <w:p w14:paraId="4F539791" w14:textId="77777777" w:rsidR="00670FD4" w:rsidRPr="008C6A37" w:rsidRDefault="00670FD4" w:rsidP="00670FD4">
      <w:pPr>
        <w:ind w:firstLine="567"/>
        <w:rPr>
          <w:lang w:val="ro-RO"/>
        </w:rPr>
      </w:pPr>
      <w:r w:rsidRPr="008C6A37">
        <w:rPr>
          <w:lang w:val="ro-RO"/>
        </w:rPr>
        <w:t>Canalele cu circulaţie activă a apei, sunt reprezentate de Dunavăţ, Dranov, Lipoveni, etc., în timp ce canalele și gârlele din zone naturale cu regim liber sunt reprezentate, printre altele, de Ivancea, Crasnicol, Tărâţă-Belciug, Lejai, Palade, Buhaz-Zăton, Vătafu-Împuţita, canalul Japşa Vătafu, Gârla Macovei, Perişor, centura Lipoveni-Dranov, canal între canalele Dunavăţ şi Dranov paralel cu brațul Sfântul Gheorghe.</w:t>
      </w:r>
    </w:p>
    <w:p w14:paraId="54EA7C54" w14:textId="77777777" w:rsidR="00670FD4" w:rsidRPr="008C6A37" w:rsidRDefault="00670FD4" w:rsidP="00670FD4">
      <w:pPr>
        <w:ind w:firstLine="567"/>
        <w:rPr>
          <w:lang w:val="ro-RO"/>
        </w:rPr>
      </w:pPr>
      <w:r w:rsidRPr="008C6A37">
        <w:rPr>
          <w:lang w:val="ro-RO"/>
        </w:rPr>
        <w:t xml:space="preserve">În ceea ce privește râurile, marea lor majoritate au văi înguste şi caracter intermitent şi se termină în lacuri de tip liman. Cursurile de apă mai importante din zona de studiu sunt: râul Casimcea care se varsă în lacul Taşaul şi canalul Carasu în lungul căruia s-a realizat cea mai mare parte a canalului Dunăre - Marea Neagră. </w:t>
      </w:r>
    </w:p>
    <w:p w14:paraId="42B07683" w14:textId="77777777" w:rsidR="00670FD4" w:rsidRPr="008C6A37" w:rsidRDefault="00670FD4" w:rsidP="00670FD4">
      <w:pPr>
        <w:ind w:firstLine="567"/>
        <w:rPr>
          <w:lang w:val="ro-RO"/>
        </w:rPr>
      </w:pPr>
      <w:r w:rsidRPr="008C6A37">
        <w:rPr>
          <w:lang w:val="ro-RO"/>
        </w:rPr>
        <w:t>Apele stagnante includ lacurile, apele costiere, lagune conectate la mare şi golfurile parţial închise. În zona deltei şi a complexului Razim-Sinoe cele mai importante sunt complexul acvatic Roşu-Puiu, complexul acvatic Gorgova-Uzlina; Complexul acvatic Dunavăţ-Dranov; lacul Răducului și complexul acvatic Razim-Sinoe cu lacurile Razim, Sinoe, Golovița, Zmeica Istria, Tuzla și Nuntași. Cele mai importante sisteme hidrografice din sudul zonei costiere sunt Tașaul, Corbu, Siutghiol, Tăbăcăriei, Agigea, Techirghiol, Tatlageac și  limanul Mangalia.</w:t>
      </w:r>
    </w:p>
    <w:p w14:paraId="06BF4AD2" w14:textId="77777777" w:rsidR="00670FD4" w:rsidRPr="008C6A37" w:rsidRDefault="00670FD4" w:rsidP="00670FD4">
      <w:pPr>
        <w:ind w:firstLine="567"/>
        <w:rPr>
          <w:lang w:val="ro-RO"/>
        </w:rPr>
      </w:pPr>
      <w:r w:rsidRPr="008C6A37">
        <w:rPr>
          <w:lang w:val="ro-RO"/>
        </w:rPr>
        <w:t xml:space="preserve">Apele marine, exceptând Golful Musura şi Meleaua Sacalin (golfuri parţial închise) corespund platformei continentale românești. Partea marină a zonei costiere cuprinde apele teritoriale, de la linia de bază pâna la 12 mile marine în larg. </w:t>
      </w:r>
    </w:p>
    <w:p w14:paraId="73A61BD9" w14:textId="77777777" w:rsidR="00670FD4" w:rsidRPr="00940876" w:rsidRDefault="00670FD4" w:rsidP="00670FD4">
      <w:pPr>
        <w:pStyle w:val="Heading3"/>
      </w:pPr>
      <w:bookmarkStart w:id="10" w:name="_Toc150247009"/>
      <w:bookmarkStart w:id="11" w:name="_Toc171084805"/>
      <w:r w:rsidRPr="00940876">
        <w:lastRenderedPageBreak/>
        <w:t xml:space="preserve">1.3.2. Situația actuală a </w:t>
      </w:r>
      <w:r w:rsidRPr="005D2CE5">
        <w:t>mediului</w:t>
      </w:r>
      <w:r w:rsidRPr="00940876">
        <w:t>, probleme și nevoi identificate</w:t>
      </w:r>
      <w:bookmarkEnd w:id="10"/>
      <w:bookmarkEnd w:id="11"/>
    </w:p>
    <w:p w14:paraId="46875190" w14:textId="77777777" w:rsidR="00670FD4" w:rsidRPr="008C6A37" w:rsidRDefault="00670FD4" w:rsidP="00670FD4">
      <w:pPr>
        <w:ind w:firstLine="567"/>
        <w:rPr>
          <w:b/>
          <w:i/>
          <w:lang w:val="ro-RO"/>
        </w:rPr>
      </w:pPr>
      <w:r w:rsidRPr="008C6A37">
        <w:rPr>
          <w:b/>
          <w:i/>
          <w:lang w:val="ro-RO"/>
        </w:rPr>
        <w:t>Calitatea aerului, apei și solurilor</w:t>
      </w:r>
    </w:p>
    <w:p w14:paraId="5050D35C" w14:textId="77777777" w:rsidR="00670FD4" w:rsidRPr="008C6A37" w:rsidRDefault="00670FD4" w:rsidP="00670FD4">
      <w:pPr>
        <w:ind w:firstLine="567"/>
        <w:rPr>
          <w:i/>
          <w:lang w:val="ro-RO"/>
        </w:rPr>
      </w:pPr>
      <w:r w:rsidRPr="008C6A37">
        <w:rPr>
          <w:i/>
          <w:lang w:val="ro-RO"/>
        </w:rPr>
        <w:t>Aer</w:t>
      </w:r>
    </w:p>
    <w:p w14:paraId="47C9464A" w14:textId="77777777" w:rsidR="00670FD4" w:rsidRPr="008C6A37" w:rsidRDefault="00670FD4" w:rsidP="00670FD4">
      <w:pPr>
        <w:ind w:firstLine="567"/>
        <w:rPr>
          <w:lang w:val="ro-RO"/>
        </w:rPr>
      </w:pPr>
      <w:r w:rsidRPr="008C6A37">
        <w:rPr>
          <w:lang w:val="ro-RO"/>
        </w:rPr>
        <w:t>Datele furnizate de AJPM Tulcea și Constanța arată valori medii anuale ale poluanţilor atmosferici monitorizaţi, prevăzuţi în legislaţia română (CO, NO</w:t>
      </w:r>
      <w:r w:rsidRPr="008C6A37">
        <w:rPr>
          <w:vertAlign w:val="subscript"/>
          <w:lang w:val="ro-RO"/>
        </w:rPr>
        <w:t>2</w:t>
      </w:r>
      <w:r w:rsidRPr="008C6A37">
        <w:rPr>
          <w:lang w:val="ro-RO"/>
        </w:rPr>
        <w:t>, SO</w:t>
      </w:r>
      <w:r w:rsidRPr="008C6A37">
        <w:rPr>
          <w:vertAlign w:val="subscript"/>
          <w:lang w:val="ro-RO"/>
        </w:rPr>
        <w:t>2</w:t>
      </w:r>
      <w:r w:rsidRPr="008C6A37">
        <w:rPr>
          <w:lang w:val="ro-RO"/>
        </w:rPr>
        <w:t>, C</w:t>
      </w:r>
      <w:r w:rsidRPr="008C6A37">
        <w:rPr>
          <w:vertAlign w:val="subscript"/>
          <w:lang w:val="ro-RO"/>
        </w:rPr>
        <w:t>6</w:t>
      </w:r>
      <w:r w:rsidRPr="008C6A37">
        <w:rPr>
          <w:lang w:val="ro-RO"/>
        </w:rPr>
        <w:t>H</w:t>
      </w:r>
      <w:r w:rsidRPr="008C6A37">
        <w:rPr>
          <w:vertAlign w:val="subscript"/>
          <w:lang w:val="ro-RO"/>
        </w:rPr>
        <w:t>6</w:t>
      </w:r>
      <w:r w:rsidRPr="008C6A37">
        <w:rPr>
          <w:lang w:val="ro-RO"/>
        </w:rPr>
        <w:t xml:space="preserve">, ozon troposferic, metale grele), sub valorile limită impuse prin Legea nr. 104/2011 privind calitatea aerului înconjurător. </w:t>
      </w:r>
      <w:r>
        <w:rPr>
          <w:lang w:val="ro-RO"/>
        </w:rPr>
        <w:t xml:space="preserve">Deși din punct de vedere al obligațiilor de monitorizare a calității aerului asumate de România, amplasamente și numărul punctelor de prelevare sunt conforme cu cerințele prevăzute de legislația națională (Legea 104/2011 privind calitatea aerului înconjurător) și cea europeană (Directiva 2008/50/CE a Parlamentului European și a Consiliului din 21 mai 2008 privind calitatea aerului înconjurător și un aer mai curat pentru Europa) </w:t>
      </w:r>
      <w:r w:rsidRPr="008C6A37">
        <w:rPr>
          <w:lang w:val="ro-RO"/>
        </w:rPr>
        <w:t xml:space="preserve"> trebuie remarcat</w:t>
      </w:r>
      <w:r>
        <w:rPr>
          <w:lang w:val="ro-RO"/>
        </w:rPr>
        <w:t xml:space="preserve"> faptul că, spre deosebire de zona sudică (unde există 6 stații de monitorizare), în partea nordică a zonei costiere, aferentă județului Tulcea, nu există nicio stație de monitorizare a calității aerului</w:t>
      </w:r>
      <w:r w:rsidRPr="008C6A37">
        <w:rPr>
          <w:lang w:val="ro-RO"/>
        </w:rPr>
        <w:t xml:space="preserve">. Mai mult, din raportările Agențiilor Județene de Protecție a Mediului reiese, în unele cazuri, o lipsă de continuitate a măsurătorilor ceea ce alterează valorile medii anuale calculate, precum și modele de prognoză a dispersiei poluanților în atmosferă. </w:t>
      </w:r>
    </w:p>
    <w:p w14:paraId="0F9A64DF" w14:textId="77777777" w:rsidR="00670FD4" w:rsidRPr="008C6A37" w:rsidRDefault="00670FD4" w:rsidP="00670FD4">
      <w:pPr>
        <w:ind w:firstLine="567"/>
        <w:rPr>
          <w:i/>
          <w:lang w:val="ro-RO"/>
        </w:rPr>
      </w:pPr>
      <w:r w:rsidRPr="008C6A37">
        <w:rPr>
          <w:i/>
          <w:lang w:val="ro-RO"/>
        </w:rPr>
        <w:t>Ape subterane</w:t>
      </w:r>
    </w:p>
    <w:p w14:paraId="311C6646" w14:textId="77777777" w:rsidR="00670FD4" w:rsidRPr="008C6A37" w:rsidRDefault="00670FD4" w:rsidP="00670FD4">
      <w:pPr>
        <w:ind w:firstLine="567"/>
        <w:rPr>
          <w:lang w:val="ro-RO"/>
        </w:rPr>
      </w:pPr>
      <w:r w:rsidRPr="008C6A37">
        <w:rPr>
          <w:lang w:val="ro-RO"/>
        </w:rPr>
        <w:t>În zona costieră sunt prezente 6 corpuri de ape subterane din totalul celor 10 de la nivelul Dobrogei. Din punct de vedere calitativ, măsurătorile periodice realizate de către ABADL arată frecvente depășiri ale valorilor standard pentru azotați în ceea ce privește corpurile de apă subterană RODL04 (Cobadin-Mangalia), RODL05 (Dobrogea Centrală) și RODL10 (Dobrogea Sud), ceea ce face ca aceste corpuri de apă să fie la risc de neatingere a stării chimice bune.</w:t>
      </w:r>
    </w:p>
    <w:p w14:paraId="298C6C2A" w14:textId="77777777" w:rsidR="00670FD4" w:rsidRPr="008C6A37" w:rsidRDefault="00670FD4" w:rsidP="00670FD4">
      <w:pPr>
        <w:ind w:firstLine="567"/>
        <w:rPr>
          <w:i/>
          <w:lang w:val="ro-RO"/>
        </w:rPr>
      </w:pPr>
      <w:r w:rsidRPr="008C6A37">
        <w:rPr>
          <w:i/>
          <w:lang w:val="ro-RO"/>
        </w:rPr>
        <w:t>Ape de suprafață</w:t>
      </w:r>
    </w:p>
    <w:p w14:paraId="0B1E4DD8" w14:textId="77777777" w:rsidR="00670FD4" w:rsidRPr="008C6A37" w:rsidRDefault="00670FD4" w:rsidP="00670FD4">
      <w:pPr>
        <w:ind w:firstLine="567"/>
        <w:rPr>
          <w:lang w:val="ro-RO"/>
        </w:rPr>
      </w:pPr>
      <w:r w:rsidRPr="008C6A37">
        <w:rPr>
          <w:lang w:val="ro-RO"/>
        </w:rPr>
        <w:t xml:space="preserve">Măsurătorile fizico-chimice realizate de către ANAR pe brațele Dunării arată o tendință de scădere a nivelului nutrienților și metalelor grele, dar și o ușoară creștere a nivelului hidrocarburilor observată în ultimii 2 ani, în special la Sulina, cel mai probabil datorită intensificării traficului naval pe canalul Sulina, în contextul conflictului armat declanșat de invazia Rusiei în Ucraina. </w:t>
      </w:r>
    </w:p>
    <w:p w14:paraId="249D0EFE" w14:textId="77777777" w:rsidR="00670FD4" w:rsidRPr="008C6A37" w:rsidRDefault="00670FD4" w:rsidP="00670FD4">
      <w:pPr>
        <w:ind w:firstLine="567"/>
        <w:rPr>
          <w:lang w:val="ro-RO"/>
        </w:rPr>
      </w:pPr>
      <w:r w:rsidRPr="008C6A37">
        <w:rPr>
          <w:lang w:val="ro-RO"/>
        </w:rPr>
        <w:t>Măsurătorile realizate de către INCD GeoEcoMar în lacurile din partea nordică a zonei costiere indică o stare ecologică bună și foarte bună pentru oxigenul dizolv</w:t>
      </w:r>
      <w:r>
        <w:rPr>
          <w:lang w:val="ro-RO"/>
        </w:rPr>
        <w:t>at și nutrienți. Totuși, referi</w:t>
      </w:r>
      <w:r w:rsidRPr="008C6A37">
        <w:rPr>
          <w:lang w:val="ro-RO"/>
        </w:rPr>
        <w:t>tor la oxigenul dizolvat, în unele lacuri, canale, gârle, s-au observat frecvent fenomene hipoxice, sau chiar anoxice, cu consecințe grave asupra faunei acvatice (inclusiv resursa piscicolă). În partea de sud a zonei costiere, măsurătorile realizate de către INCD GeoEcoMar indică o stare ecologică moderată pentru indicatorul fosfați și o stare ecologică foarte bună pentru compușii anorganici cu azot.</w:t>
      </w:r>
    </w:p>
    <w:p w14:paraId="3854F09A" w14:textId="77777777" w:rsidR="00670FD4" w:rsidRPr="008C6A37" w:rsidRDefault="00670FD4" w:rsidP="00670FD4">
      <w:pPr>
        <w:ind w:firstLine="567"/>
        <w:rPr>
          <w:lang w:val="ro-RO"/>
        </w:rPr>
      </w:pPr>
      <w:r w:rsidRPr="008C6A37">
        <w:rPr>
          <w:lang w:val="ro-RO"/>
        </w:rPr>
        <w:t xml:space="preserve">În ceea ce privește nivelul poluării în sistemele acvatice dulcicole, au fost luate în considerare determinările poluanților în sedimente realizate de către INCD GeoEcoMar. În cea mai mare parte a  probelor de sedimente prelevate din brațele Sulina și Sfântu Gheorghe, precum și din lacurile din Delta Dunării nu au fost determinate concentrații ale metalelor grele </w:t>
      </w:r>
      <w:r w:rsidRPr="008C6A37">
        <w:rPr>
          <w:lang w:val="ro-RO"/>
        </w:rPr>
        <w:lastRenderedPageBreak/>
        <w:t>care să depășească într-un procent mai mare de 15% concentrațiile caracteristice fondului natural, cu excepția nichelului.</w:t>
      </w:r>
    </w:p>
    <w:p w14:paraId="2D9F24FB" w14:textId="77777777" w:rsidR="00670FD4" w:rsidRPr="008C6A37" w:rsidRDefault="00670FD4" w:rsidP="00670FD4">
      <w:pPr>
        <w:ind w:firstLine="567"/>
        <w:rPr>
          <w:lang w:val="ro-RO"/>
        </w:rPr>
      </w:pPr>
      <w:r w:rsidRPr="008C6A37">
        <w:rPr>
          <w:lang w:val="ro-RO"/>
        </w:rPr>
        <w:t xml:space="preserve">În lacurile litorale din sudul zonei costiere datele furnizate de INCD GeoEcoMar au arătat sedimente poluate în toate lacurile litorale analizate (cel mai ridicat nivel al poluării fiind determinat în lacul Tăbăcărie). </w:t>
      </w:r>
    </w:p>
    <w:p w14:paraId="4D5A6D47" w14:textId="77777777" w:rsidR="00670FD4" w:rsidRPr="008C6A37" w:rsidRDefault="00670FD4" w:rsidP="00670FD4">
      <w:pPr>
        <w:ind w:firstLine="567"/>
        <w:rPr>
          <w:i/>
          <w:lang w:val="ro-RO"/>
        </w:rPr>
      </w:pPr>
      <w:r w:rsidRPr="008C6A37">
        <w:rPr>
          <w:i/>
          <w:lang w:val="ro-RO"/>
        </w:rPr>
        <w:t>Ape marine</w:t>
      </w:r>
    </w:p>
    <w:p w14:paraId="211F0A32" w14:textId="77777777" w:rsidR="00670FD4" w:rsidRPr="008C6A37" w:rsidRDefault="00670FD4" w:rsidP="00670FD4">
      <w:pPr>
        <w:ind w:firstLine="567"/>
        <w:rPr>
          <w:lang w:val="ro-RO"/>
        </w:rPr>
      </w:pPr>
      <w:r w:rsidRPr="008C6A37">
        <w:rPr>
          <w:lang w:val="ro-RO"/>
        </w:rPr>
        <w:t>Măsurătorile realizate în ultimii ani de către INCDM Grigore Antipa privind nivelul concentrațiilor nutrienților și clorofilei indică medii anuale situate cu mult sub valorile prag stabilite pentru definirea stării ecologice bune (SEB) a apelor costiere și a celor cu salinitate variabilă, în conformitate cu cerințele DCSMM (Boicenco și colab., 2018).</w:t>
      </w:r>
    </w:p>
    <w:p w14:paraId="3ED6EBFE" w14:textId="77777777" w:rsidR="00670FD4" w:rsidRPr="008C6A37" w:rsidRDefault="00670FD4" w:rsidP="00670FD4">
      <w:pPr>
        <w:ind w:firstLine="567"/>
        <w:rPr>
          <w:lang w:val="ro-RO"/>
        </w:rPr>
      </w:pPr>
      <w:r w:rsidRPr="008C6A37">
        <w:rPr>
          <w:lang w:val="ro-RO"/>
        </w:rPr>
        <w:t xml:space="preserve">Similar, în cazul metalelor grele și poluanților organici, concentrațiile acestora prezintă o distribuție spațială heterogenă, existând diferențe semnificative între diferite sectoare ale litoralului românesc. Conform INCDM (2022), starea chimică a apelor marine din punct de vedere al indicatorului metale grele în apă, în vara anului 2021, a fost una bună în raport cu standardele de calitate pentru metale grele (WFD-EQS Directive 2013/39/EU). Depășiri frecvente ale valorilor standard de calitate propuse pentru apă, în vederea definirii stării chimice bune conform Directivei 2013/39/EU, au fost observate, în 2021, pentru o serie de pesticide organoclorurate (suma de ciclodiene, suma de DDT și p,p’ DDT), indicând în cazul acestora o stare chimică proastă (INCDM, 2022). </w:t>
      </w:r>
    </w:p>
    <w:p w14:paraId="56284238" w14:textId="77777777" w:rsidR="00670FD4" w:rsidRPr="008C6A37" w:rsidRDefault="00670FD4" w:rsidP="00670FD4">
      <w:pPr>
        <w:ind w:firstLine="567"/>
        <w:rPr>
          <w:lang w:val="ro-RO"/>
        </w:rPr>
      </w:pPr>
      <w:r w:rsidRPr="008C6A37">
        <w:rPr>
          <w:lang w:val="ro-RO"/>
        </w:rPr>
        <w:t xml:space="preserve">Mai relevante pentru aprecierea nivelului poluării sunt măsurătorile concentrațiilor poluanților în sedimentele marine. În cazul metalelor grele, starea sedimentelor marine, în raport cu standardele de calitate pentru sedimente marine (ERL), este considerată bună (INCDM, 2022). Referitor la poluanții organici, majoritatea concentraţiilor hidrocarburilor totale s-au situat în 2021, sub limita maxim admisibilă impusă de Ordinul MAPPM nr.756/1997, indicând o stare ecologică bună. Conţinutul total de hidrocarburi aromatice polinucleare (HAP) a depășit, în 2021, valoarea prag de 1,00 µg/g în 1,3 % din probele analizate (INCDM, 2022), ceea ce indică o stare ecologică bună și pentru HAP. Atât în cazul hidrocarburilor totale, cât și a HAP, cele mai ridicate valori s-au determinat în zonele de deversare a apelor epurate din stațiile Constanța-Sud și Eforie (INCDM, 2022). Concentraţiile cele mai ridicate ale pesticidelor organoclorurate în sedimente au fost măsurate în zona de influență directă a Dunării, dar și în partea sudică (zona porturilor Constanța și Mangalia, zone de deversare a apelor epurate din stația Eforie) (INCDM, 2022). Depăşiri frecvente ale valorilor limită propuse pentru definirea stării ecologice bune s-au observat în special pentru HCB și lindan sugerând o stare chimică proastă pentru acești compuși. </w:t>
      </w:r>
    </w:p>
    <w:p w14:paraId="61813B1A" w14:textId="77777777" w:rsidR="00670FD4" w:rsidRPr="008C6A37" w:rsidRDefault="00670FD4" w:rsidP="00670FD4">
      <w:pPr>
        <w:ind w:firstLine="567"/>
        <w:rPr>
          <w:i/>
          <w:lang w:val="ro-RO"/>
        </w:rPr>
      </w:pPr>
      <w:r w:rsidRPr="008C6A37">
        <w:rPr>
          <w:i/>
          <w:lang w:val="ro-RO"/>
        </w:rPr>
        <w:t>Ape de îmbăiere</w:t>
      </w:r>
    </w:p>
    <w:p w14:paraId="35C54FB4" w14:textId="77777777" w:rsidR="00670FD4" w:rsidRPr="008C6A37" w:rsidRDefault="00670FD4" w:rsidP="00670FD4">
      <w:pPr>
        <w:ind w:firstLine="567"/>
        <w:rPr>
          <w:lang w:val="ro-RO"/>
        </w:rPr>
      </w:pPr>
      <w:r w:rsidRPr="008C6A37">
        <w:rPr>
          <w:lang w:val="ro-RO"/>
        </w:rPr>
        <w:t xml:space="preserve">Conform Raportului anual privind calitatea apelor de îmbăiere elaborat la nivel european, în anul 2022 au fost identificate 50 de zone de îmbăiere (de la Gura Portiţei la Vama Veche). Dintre acestea, 46 s-au încadrat în valorile corespunzătoare ale calității excelente, iar 4 zone de îmbăiere au fost de calitate bună. </w:t>
      </w:r>
    </w:p>
    <w:p w14:paraId="6D8F7E82" w14:textId="77777777" w:rsidR="00670FD4" w:rsidRPr="008C6A37" w:rsidRDefault="00670FD4" w:rsidP="00670FD4">
      <w:pPr>
        <w:ind w:firstLine="567"/>
        <w:rPr>
          <w:i/>
          <w:lang w:val="ro-RO"/>
        </w:rPr>
      </w:pPr>
      <w:r w:rsidRPr="008C6A37">
        <w:rPr>
          <w:i/>
          <w:lang w:val="ro-RO"/>
        </w:rPr>
        <w:t>Soluri</w:t>
      </w:r>
    </w:p>
    <w:p w14:paraId="34F5446D" w14:textId="77777777" w:rsidR="00670FD4" w:rsidRPr="008C6A37" w:rsidRDefault="00670FD4" w:rsidP="00670FD4">
      <w:pPr>
        <w:ind w:firstLine="567"/>
        <w:rPr>
          <w:lang w:val="ro-RO"/>
        </w:rPr>
      </w:pPr>
      <w:r w:rsidRPr="008C6A37">
        <w:rPr>
          <w:lang w:val="ro-RO"/>
        </w:rPr>
        <w:lastRenderedPageBreak/>
        <w:t>Cea mai mare parte din solurile din zona costieră sunt încadrate în categoria solurilor foarte productive, fiind reprezentate de cernoziomuri și kastanoziomuri, incluse în clasa Cernisoluri. În Dobrogea, cernoziomurile sunt caracterizate printr-un conținut mediu de humus (3,5-4%), sunt bine asigurate în săruri solubile și au un conținut mediu de elemente nutritive, pH-ul poate varia între 7 la cernoziomuri tipice și 8,4 la cernoziomuri calcarice și la kastanoziomuri. Aceste caracteristici oferă condiții medii de fertilitate, fiind favorabile pentru majoritatea culturilor agricole.</w:t>
      </w:r>
      <w:r w:rsidRPr="008C6A37">
        <w:rPr>
          <w:lang w:val="ro-RO"/>
        </w:rPr>
        <w:tab/>
      </w:r>
    </w:p>
    <w:p w14:paraId="404EE589" w14:textId="77777777" w:rsidR="00670FD4" w:rsidRPr="008C6A37" w:rsidRDefault="00670FD4" w:rsidP="00670FD4">
      <w:pPr>
        <w:ind w:firstLine="567"/>
        <w:rPr>
          <w:lang w:val="ro-RO"/>
        </w:rPr>
      </w:pPr>
      <w:r w:rsidRPr="008C6A37">
        <w:rPr>
          <w:lang w:val="ro-RO"/>
        </w:rPr>
        <w:t>Principalii indicatori fizici de caracterizare a solurilor sunt alcătuirea granulometrică (textura), structura și gradul de tasare. Solurile din zona costieră sunt în cea mai mare parte soluri lutoase sau cu un conținut mai ridicat în fracțiuni granulometrice grosiere (soluri nisipoase) ceea ce oferă un regim aerohidric favorabil dezvoltării plantelor. În condiții naturale solurile sunt bine structurate, prezinta agregate structurale stabile, de regulă cu structură poliedrică bine dezvoltată. </w:t>
      </w:r>
    </w:p>
    <w:p w14:paraId="2DC88DBD" w14:textId="77777777" w:rsidR="00670FD4" w:rsidRPr="008C6A37" w:rsidRDefault="00670FD4" w:rsidP="00670FD4">
      <w:pPr>
        <w:ind w:firstLine="567"/>
        <w:rPr>
          <w:lang w:val="ro-RO"/>
        </w:rPr>
      </w:pPr>
      <w:r w:rsidRPr="008C6A37">
        <w:rPr>
          <w:lang w:val="ro-RO"/>
        </w:rPr>
        <w:t xml:space="preserve">Din punct de vedere al riscurilor de degradare sunt de menționat eroziunea hidrică și eoliană, poluare urbană și industrială, aridizare, pierderea stratului de turbă din Delta Dunarii sau salinizarea solurilor. </w:t>
      </w:r>
    </w:p>
    <w:p w14:paraId="01F264C1" w14:textId="77777777" w:rsidR="00670FD4" w:rsidRPr="008C6A37" w:rsidRDefault="00670FD4" w:rsidP="00670FD4">
      <w:pPr>
        <w:ind w:firstLine="567"/>
        <w:rPr>
          <w:b/>
          <w:i/>
          <w:lang w:val="ro-RO"/>
        </w:rPr>
      </w:pPr>
      <w:r w:rsidRPr="008C6A37">
        <w:rPr>
          <w:b/>
          <w:i/>
          <w:lang w:val="ro-RO"/>
        </w:rPr>
        <w:t xml:space="preserve">Biodiversitate și habitate </w:t>
      </w:r>
    </w:p>
    <w:p w14:paraId="4B0FF277" w14:textId="77777777" w:rsidR="00670FD4" w:rsidRPr="008C6A37" w:rsidRDefault="00670FD4" w:rsidP="00670FD4">
      <w:pPr>
        <w:ind w:firstLine="567"/>
        <w:rPr>
          <w:lang w:val="ro-RO"/>
        </w:rPr>
      </w:pPr>
      <w:r w:rsidRPr="008C6A37">
        <w:rPr>
          <w:lang w:val="ro-RO"/>
        </w:rPr>
        <w:t>În zona costieră, biodiversitatea se poate cuantifica în număr de specii, tipuri de habitate și arii protejate. Numărul total de specii din zona litorală nu poate fi stabilit cu precizie, existând, pe de o parte, grupe taxonomice insuficient cunoscute, iar pe de altă parte există specii străine și invazive care apar în permanență în habitatele acvatice (marine și dulcicole) și terestre datorită diverselor activități umane, de la transporturi la turism și de la activitățile agricole la industria pet-shopurilor. Datele din literatura de specialitate din anii 2000 (Gomoiu și Skolka, 1998; Skolka  și colab., 2005; Făgăraș și colab., 2008) indică un număr de circa 12.900 de specii pentru Dobrogea, dintre care 10.596 animale și 2.271 plante. Între acestea, 3.159 sunt specii marine sau prezente în lacurile paramarine (fără a include insecte, aranee, acarieni si miriapode), iar dintre ele, 1.168 sunt microalge și macroalge, iar 1.991 animale (nevertebrate și vertebrate).</w:t>
      </w:r>
    </w:p>
    <w:p w14:paraId="3DD59B78" w14:textId="77777777" w:rsidR="00670FD4" w:rsidRPr="008C6A37" w:rsidRDefault="00670FD4" w:rsidP="00670FD4">
      <w:pPr>
        <w:ind w:firstLine="567"/>
        <w:rPr>
          <w:lang w:val="ro-RO"/>
        </w:rPr>
      </w:pPr>
      <w:r w:rsidRPr="008C6A37">
        <w:rPr>
          <w:lang w:val="ro-RO"/>
        </w:rPr>
        <w:t xml:space="preserve">În ceea ce privește diversitatea habitatelor, în zona costieră se regăsesc două regiuni biogeografice europene, respectiv pontică și stepică. Bioregiunea pontică include zona de litoral maritim până la circa 10 km în interiorul uscatului, malurile lacurilor paramarine și întreg sistemul de grinduri care separă complexul lagunar Razim – Sinoe de mare, iar in zona Deltei Dunăre include toată zona situată la circa 20 km de țărmul mării. Bioregiunea stepică se întinde în toată partea continentală a zonei costiere, până la limita UAT-urilor componente. În cadrul bioregiunii pontice au fost identificate 16 tipuri de habitate costiere, marine și de dune (7 dintre ele fiind exclusiv marine), 5 tipuri de habitate de apă dulce, 7 tipuri de habitate de pajiști și tufărișuri, 1 tip de habitat prioritar de mlaștină și 2 tipuri de habitate de pădure. În aceste habitate se întâlnesc 79 de specii de animale și 6 specii de plante aflate pe listele Directivei Habitate și peste o treime din numărul total de specii de păsări incluse în Directiva Păsări (dintre acestea, 12 sunt amenințate la nivel global). Bioregiunea stepică este mai puțin bogată în habitate în zona costieră fiind menționate doar 2 tipuri de habitate de dune, unul dintre acestea fiind prioritar, 6 tipuri de habitate de ape dulci, 1 tip de habitat de tufărișuri, 6 tipuri de habitate </w:t>
      </w:r>
      <w:r w:rsidRPr="008C6A37">
        <w:rPr>
          <w:lang w:val="ro-RO"/>
        </w:rPr>
        <w:lastRenderedPageBreak/>
        <w:t>de pajiști, 1 tip de habitat de stâncărie și 8 tipuri de habitate de pădure. Bioregiunea se caracterizează printr-un impact deosebit de ridicat al activităților antropice care a condus la fragmentarea habitatelor naturale datorită defrișărilor, extinderii agriculturii, suprapășunatului, desecărilor și extinderii localităților.</w:t>
      </w:r>
    </w:p>
    <w:p w14:paraId="46BA2C13" w14:textId="77777777" w:rsidR="00670FD4" w:rsidRPr="008C6A37" w:rsidRDefault="00670FD4" w:rsidP="00670FD4">
      <w:pPr>
        <w:ind w:firstLine="567"/>
        <w:rPr>
          <w:lang w:val="ro-RO"/>
        </w:rPr>
      </w:pPr>
      <w:r w:rsidRPr="008C6A37">
        <w:rPr>
          <w:lang w:val="ro-RO"/>
        </w:rPr>
        <w:t xml:space="preserve">Habitatele de </w:t>
      </w:r>
      <w:r>
        <w:rPr>
          <w:lang w:val="ro-RO"/>
        </w:rPr>
        <w:t>tip pelagic prezintă o component</w:t>
      </w:r>
      <w:r w:rsidRPr="008C6A37">
        <w:rPr>
          <w:lang w:val="ro-RO"/>
        </w:rPr>
        <w:t>ă specifică de microalge care formează fitoplanctonul și o serie de nevertebrate de talie mică sau medie la care se adaugă stadii larvare ale organismelor care trăiesc pe fundul mării și care formează zooplanctonul. La acestea se adaugă speciile care înoată activ și care sunt reprezentate de pești – nectonul și mamiferele marine (</w:t>
      </w:r>
      <w:r w:rsidRPr="008C6A37">
        <w:rPr>
          <w:i/>
          <w:lang w:val="ro-RO"/>
        </w:rPr>
        <w:t>Tursiops truncatus ssp. ponticus</w:t>
      </w:r>
      <w:r w:rsidRPr="008C6A37">
        <w:rPr>
          <w:lang w:val="ro-RO"/>
        </w:rPr>
        <w:t xml:space="preserve">, </w:t>
      </w:r>
      <w:r w:rsidRPr="008C6A37">
        <w:rPr>
          <w:i/>
          <w:lang w:val="ro-RO"/>
        </w:rPr>
        <w:t>Delphinus delphis ssp. ponticus</w:t>
      </w:r>
      <w:r w:rsidRPr="008C6A37">
        <w:rPr>
          <w:lang w:val="ro-RO"/>
        </w:rPr>
        <w:t xml:space="preserve"> și </w:t>
      </w:r>
      <w:r w:rsidRPr="008C6A37">
        <w:rPr>
          <w:i/>
          <w:lang w:val="ro-RO"/>
        </w:rPr>
        <w:t>Phocoena phocoena ssp. relicta</w:t>
      </w:r>
      <w:r w:rsidRPr="008C6A37">
        <w:rPr>
          <w:lang w:val="ro-RO"/>
        </w:rPr>
        <w:t xml:space="preserve">).  În ultimii 20 de ani, vidra - </w:t>
      </w:r>
      <w:r w:rsidRPr="008C6A37">
        <w:rPr>
          <w:i/>
          <w:lang w:val="ro-RO"/>
        </w:rPr>
        <w:t>Lutra lutra</w:t>
      </w:r>
      <w:r w:rsidRPr="008C6A37">
        <w:rPr>
          <w:lang w:val="ro-RO"/>
        </w:rPr>
        <w:t xml:space="preserve"> - a devenit de asemenea o prezență constantă în zona litorală, nu numai în lacurile paramarine (efectivele acestei specii nu au au fost estimate până în prezent).</w:t>
      </w:r>
    </w:p>
    <w:p w14:paraId="6F39BACD" w14:textId="77777777" w:rsidR="00670FD4" w:rsidRPr="008C6A37" w:rsidRDefault="00670FD4" w:rsidP="00670FD4">
      <w:pPr>
        <w:ind w:firstLine="567"/>
        <w:rPr>
          <w:lang w:val="ro-RO"/>
        </w:rPr>
      </w:pPr>
      <w:r w:rsidRPr="008C6A37">
        <w:rPr>
          <w:lang w:val="ro-RO"/>
        </w:rPr>
        <w:t>Cele 20 de tipuri principale de habitate marine bentale sunt caracterizate fiecare printr-o faună caracteristică formată din alge microfite și macrofite – fitobentos – și de o faună specifică – zoobentosul. Cele mai bogate în ce privește biodiversitatea sunt habitatele de zone stâncoase din sudul litoralului, habitatele de nisipuri sau mâluri din zona centrală și de nord fiind mai sărace în specii dar prezentând de asemenea o serie de endemisme care definesc Marea Neagră. De asemenea, diferitele habitate bentale sunt diferențiate și prin modul care sunt afectate de impactul antropic.</w:t>
      </w:r>
    </w:p>
    <w:p w14:paraId="14C04BE0" w14:textId="77777777" w:rsidR="00670FD4" w:rsidRPr="008C6A37" w:rsidRDefault="00670FD4" w:rsidP="00670FD4">
      <w:pPr>
        <w:ind w:firstLine="567"/>
        <w:rPr>
          <w:lang w:val="ro-RO"/>
        </w:rPr>
      </w:pPr>
      <w:r w:rsidRPr="008C6A37">
        <w:rPr>
          <w:lang w:val="ro-RO"/>
        </w:rPr>
        <w:t xml:space="preserve">Dezvoltarea infrastructurii urbane, industriale, agricole, turistice și de transport din zona costieră reprezintă cauza principală a pierderii biodiversității, ducând la degradarea, distrugerea şi fragmentarea habitatelor şi implicit la declinul populaţiilor naturale. Dezvoltarea urbană necontrolată, însoțită de diminuarea spațiilor verzi, a zonelor naturale și de măsuri insuficiente pentru colectarea şi tratarea corespunzătoare a deşeurilor şi a apelor uzate, au, de asemenea, efecte negative considerabile asupra biodiversităţii. Pierderi majore de biodiversitate sunt datorate și supraexploatării resurselor naturale, poluării și speciilor alogene invazive. </w:t>
      </w:r>
    </w:p>
    <w:p w14:paraId="302B9E87" w14:textId="77777777" w:rsidR="00670FD4" w:rsidRPr="008C6A37" w:rsidRDefault="00670FD4" w:rsidP="00670FD4">
      <w:pPr>
        <w:ind w:firstLine="567"/>
        <w:rPr>
          <w:lang w:val="ro-RO"/>
        </w:rPr>
      </w:pPr>
      <w:r w:rsidRPr="008C6A37">
        <w:rPr>
          <w:b/>
          <w:i/>
          <w:lang w:val="ro-RO"/>
        </w:rPr>
        <w:t>Arii protejate (marine /terestre)</w:t>
      </w:r>
      <w:r w:rsidRPr="008C6A37">
        <w:rPr>
          <w:i/>
          <w:lang w:val="ro-RO"/>
        </w:rPr>
        <w:t xml:space="preserve"> </w:t>
      </w:r>
    </w:p>
    <w:p w14:paraId="146D65D5" w14:textId="77777777" w:rsidR="00670FD4" w:rsidRPr="008C6A37" w:rsidRDefault="00670FD4" w:rsidP="00670FD4">
      <w:pPr>
        <w:ind w:firstLine="567"/>
        <w:rPr>
          <w:lang w:val="ro-RO"/>
        </w:rPr>
      </w:pPr>
      <w:r w:rsidRPr="008C6A37">
        <w:rPr>
          <w:lang w:val="ro-RO"/>
        </w:rPr>
        <w:t xml:space="preserve">În zona costieră se găsesc 23 arii protejate incluse în Rețeaua Ecologică NATURA 2000, plus Rezervația Biosferei Delta Dunării care se suprapune în mare măsură cu ROSCI0065 și ROSCI0066. Aceste arii protejate sunt atât arii protejate desemnate ca situri de importanță comunitară, respectiv SCI-uri, cât și arii de importanță avifaunistică, respectiv SPA-uri. </w:t>
      </w:r>
    </w:p>
    <w:p w14:paraId="43E8461D" w14:textId="77777777" w:rsidR="00670FD4" w:rsidRPr="008C6A37" w:rsidRDefault="00670FD4" w:rsidP="00670FD4">
      <w:pPr>
        <w:ind w:firstLine="567"/>
        <w:rPr>
          <w:lang w:val="ro-RO"/>
        </w:rPr>
      </w:pPr>
      <w:r w:rsidRPr="008C6A37">
        <w:rPr>
          <w:lang w:val="ro-RO"/>
        </w:rPr>
        <w:t>În conformitate cu prevederile Ordinului nr. 46/2016 al Ministrului Mediului, Apelor și Pădurilor privind instituirea regimului de arie naturală protejată şi declararea siturilor de importanţă comunitară ca parte integrantă a reţelei ecologice europene Natura 2000 în România, rețeaua de arii protejate din zona costieră este constituită din 15 SCI-uri și 8 SPA-uri. SCI-urile din zona costieră se suprapun parțial cu SPA-urile, ocupând o suprafață totală de 12.986,88 km</w:t>
      </w:r>
      <w:r w:rsidRPr="008C6A37">
        <w:rPr>
          <w:vertAlign w:val="superscript"/>
          <w:lang w:val="ro-RO"/>
        </w:rPr>
        <w:t>2</w:t>
      </w:r>
      <w:r w:rsidRPr="008C6A37">
        <w:rPr>
          <w:lang w:val="ro-RO"/>
        </w:rPr>
        <w:t>, dintre care SPA-urile reprezintă 51,17%, iar SCI-urile 48,83%. În apele teritoriale marine cele 8 SCI-uri ocupă 80,21% din suprafața totală, evidențiind importanța zonei costiere din punct de vedere a biodiversității ridicate, dar și a varietății habitatelor bentale marine. O diversitate ridicată întâlnim și în zona terestră unde avem 7 SCI-uri și 7 SPA-uri, ce ocupă o suprafață totală de 7910,49 km</w:t>
      </w:r>
      <w:r w:rsidRPr="008C6A37">
        <w:rPr>
          <w:vertAlign w:val="superscript"/>
          <w:lang w:val="ro-RO"/>
        </w:rPr>
        <w:t>2</w:t>
      </w:r>
      <w:r w:rsidRPr="008C6A37">
        <w:rPr>
          <w:lang w:val="ro-RO"/>
        </w:rPr>
        <w:t xml:space="preserve">. </w:t>
      </w:r>
    </w:p>
    <w:p w14:paraId="40D6A70B" w14:textId="77777777" w:rsidR="00670FD4" w:rsidRPr="008C6A37" w:rsidRDefault="00670FD4" w:rsidP="00670FD4">
      <w:pPr>
        <w:ind w:firstLine="567"/>
        <w:rPr>
          <w:lang w:val="ro-RO"/>
        </w:rPr>
      </w:pPr>
      <w:r w:rsidRPr="008C6A37">
        <w:rPr>
          <w:lang w:val="ro-RO"/>
        </w:rPr>
        <w:lastRenderedPageBreak/>
        <w:t>Din cele 23 de arii protejate doar 13 au Plan de Management, iar dintre acestea patru SCI-uri din apele teritoriale marine au Planuri de Management elaborate pe limitele vechi.</w:t>
      </w:r>
    </w:p>
    <w:p w14:paraId="05D3290A" w14:textId="77777777" w:rsidR="00670FD4" w:rsidRPr="008C6A37" w:rsidRDefault="00670FD4" w:rsidP="00670FD4">
      <w:pPr>
        <w:ind w:firstLine="567"/>
        <w:rPr>
          <w:lang w:val="ro-RO"/>
        </w:rPr>
      </w:pPr>
      <w:r w:rsidRPr="008C6A37">
        <w:rPr>
          <w:b/>
          <w:i/>
          <w:lang w:val="ro-RO"/>
        </w:rPr>
        <w:t>Elemente de peisaj</w:t>
      </w:r>
    </w:p>
    <w:p w14:paraId="10DA2885" w14:textId="77777777" w:rsidR="00670FD4" w:rsidRPr="008C6A37" w:rsidRDefault="00670FD4" w:rsidP="00670FD4">
      <w:pPr>
        <w:ind w:firstLine="567"/>
        <w:rPr>
          <w:lang w:val="ro-RO"/>
        </w:rPr>
      </w:pPr>
      <w:r w:rsidRPr="008C6A37">
        <w:rPr>
          <w:lang w:val="ro-RO"/>
        </w:rPr>
        <w:t>Peisajul zonei costiere reprezintă o resursă esențială pentru derularea activităților economice și creșterea atractivității teritoriale, astfel încât stă la baza bunăstării individuale și sociale, prin asigurarea calității mediului de locuire și a dezvoltării de tip durabil.</w:t>
      </w:r>
    </w:p>
    <w:p w14:paraId="1C513F86" w14:textId="77777777" w:rsidR="00670FD4" w:rsidRPr="008C6A37" w:rsidRDefault="00670FD4" w:rsidP="00670FD4">
      <w:pPr>
        <w:ind w:firstLine="567"/>
        <w:rPr>
          <w:lang w:val="ro-RO"/>
        </w:rPr>
      </w:pPr>
      <w:r w:rsidRPr="008C6A37">
        <w:rPr>
          <w:lang w:val="ro-RO"/>
        </w:rPr>
        <w:t>Peisajul constituie un subiect al activității de planificare spațială a teritoriului, păstrarea calității caracteristicilor majore ale acestuia făcând obiectul analizelor complexe de fundamentare a planurilor de amenajare a teritoriului la nivel zonal precum și a planurilor de urbanism (PUG, PUZ) si al regulamentelor aferente acestora.</w:t>
      </w:r>
    </w:p>
    <w:p w14:paraId="73FEBCE9" w14:textId="77777777" w:rsidR="00670FD4" w:rsidRPr="008C6A37" w:rsidRDefault="00670FD4" w:rsidP="00670FD4">
      <w:pPr>
        <w:ind w:firstLine="567"/>
        <w:rPr>
          <w:lang w:val="ro-RO"/>
        </w:rPr>
      </w:pPr>
      <w:r w:rsidRPr="008C6A37">
        <w:rPr>
          <w:lang w:val="ro-RO"/>
        </w:rPr>
        <w:t>Utilizând metodologia pentru “Atlasul peisajelor” (MDLAP, 2014), în zona costieră românească s-au delimitat patru unități de peisaj, după cum urmează::</w:t>
      </w:r>
    </w:p>
    <w:p w14:paraId="0EA2308E" w14:textId="77777777" w:rsidR="00670FD4" w:rsidRPr="008C6A37" w:rsidRDefault="00670FD4" w:rsidP="00670FD4">
      <w:pPr>
        <w:numPr>
          <w:ilvl w:val="0"/>
          <w:numId w:val="7"/>
        </w:numPr>
        <w:ind w:firstLine="567"/>
        <w:rPr>
          <w:lang w:val="ro-RO"/>
        </w:rPr>
      </w:pPr>
      <w:r w:rsidRPr="008C6A37">
        <w:rPr>
          <w:lang w:val="ro-RO"/>
        </w:rPr>
        <w:t>Unitatea de peisaj Dunărea maritimă (C.A Rosetti - Jurilovca);</w:t>
      </w:r>
    </w:p>
    <w:p w14:paraId="7F2D7F70" w14:textId="77777777" w:rsidR="00670FD4" w:rsidRPr="008C6A37" w:rsidRDefault="00670FD4" w:rsidP="00670FD4">
      <w:pPr>
        <w:numPr>
          <w:ilvl w:val="0"/>
          <w:numId w:val="7"/>
        </w:numPr>
        <w:ind w:firstLine="567"/>
        <w:rPr>
          <w:lang w:val="ro-RO"/>
        </w:rPr>
      </w:pPr>
      <w:r w:rsidRPr="008C6A37">
        <w:rPr>
          <w:lang w:val="ro-RO"/>
        </w:rPr>
        <w:t>Unitatea de peisaj Sinoe (Mihai Viteazu - Corbu);</w:t>
      </w:r>
    </w:p>
    <w:p w14:paraId="0F7EF350" w14:textId="77777777" w:rsidR="00670FD4" w:rsidRPr="008C6A37" w:rsidRDefault="00670FD4" w:rsidP="00670FD4">
      <w:pPr>
        <w:numPr>
          <w:ilvl w:val="0"/>
          <w:numId w:val="7"/>
        </w:numPr>
        <w:ind w:firstLine="567"/>
        <w:rPr>
          <w:lang w:val="ro-RO"/>
        </w:rPr>
      </w:pPr>
      <w:r w:rsidRPr="008C6A37">
        <w:rPr>
          <w:lang w:val="ro-RO"/>
        </w:rPr>
        <w:t>Unitatea de peisaj Constanța (Năvodari - Agigea);</w:t>
      </w:r>
    </w:p>
    <w:p w14:paraId="1448EED9" w14:textId="77777777" w:rsidR="00670FD4" w:rsidRPr="008C6A37" w:rsidRDefault="00670FD4" w:rsidP="00670FD4">
      <w:pPr>
        <w:numPr>
          <w:ilvl w:val="0"/>
          <w:numId w:val="7"/>
        </w:numPr>
        <w:ind w:firstLine="567"/>
        <w:rPr>
          <w:lang w:val="ro-RO"/>
        </w:rPr>
      </w:pPr>
      <w:r w:rsidRPr="008C6A37">
        <w:rPr>
          <w:lang w:val="ro-RO"/>
        </w:rPr>
        <w:t>Unitatea de peisaj Litoral (Eforie - Limanu).</w:t>
      </w:r>
    </w:p>
    <w:p w14:paraId="4CFFC9CE" w14:textId="77777777" w:rsidR="00670FD4" w:rsidRPr="008C6A37" w:rsidRDefault="00670FD4" w:rsidP="00670FD4">
      <w:pPr>
        <w:ind w:firstLine="567"/>
        <w:rPr>
          <w:lang w:val="ro-RO"/>
        </w:rPr>
      </w:pPr>
      <w:r w:rsidRPr="008C6A37">
        <w:rPr>
          <w:lang w:val="ro-RO"/>
        </w:rPr>
        <w:t>Principalele probleme privind gestionarea peisajului în zona costieră sunt:</w:t>
      </w:r>
    </w:p>
    <w:p w14:paraId="0BEDCEE9" w14:textId="77777777" w:rsidR="00670FD4" w:rsidRPr="008C6A37" w:rsidRDefault="00670FD4" w:rsidP="00670FD4">
      <w:pPr>
        <w:numPr>
          <w:ilvl w:val="0"/>
          <w:numId w:val="11"/>
        </w:numPr>
        <w:ind w:firstLine="567"/>
        <w:rPr>
          <w:lang w:val="ro-RO"/>
        </w:rPr>
      </w:pPr>
      <w:r w:rsidRPr="008C6A37">
        <w:rPr>
          <w:lang w:val="ro-RO"/>
        </w:rPr>
        <w:t>cadrul de reglementări actuale privind amenajarea teritoriului și urbanism nu asigură abordarea integrată a teritoriului zonei costiere, inclusiv a peisajului  costier;</w:t>
      </w:r>
    </w:p>
    <w:p w14:paraId="3D2789C6" w14:textId="77777777" w:rsidR="00670FD4" w:rsidRPr="008C6A37" w:rsidRDefault="00670FD4" w:rsidP="00670FD4">
      <w:pPr>
        <w:numPr>
          <w:ilvl w:val="0"/>
          <w:numId w:val="11"/>
        </w:numPr>
        <w:ind w:firstLine="567"/>
        <w:rPr>
          <w:lang w:val="ro-RO"/>
        </w:rPr>
      </w:pPr>
      <w:r w:rsidRPr="008C6A37">
        <w:rPr>
          <w:lang w:val="ro-RO"/>
        </w:rPr>
        <w:t>lipsa unei metodologii de inventariere și evaluare specifică peisajului costier, care să susțină procesele de elaborare a instrumentelor de planificare spațială a teritoriului zonei costiere;</w:t>
      </w:r>
    </w:p>
    <w:p w14:paraId="30DD558F" w14:textId="77777777" w:rsidR="00670FD4" w:rsidRPr="008C6A37" w:rsidRDefault="00670FD4" w:rsidP="00670FD4">
      <w:pPr>
        <w:numPr>
          <w:ilvl w:val="0"/>
          <w:numId w:val="11"/>
        </w:numPr>
        <w:ind w:firstLine="567"/>
        <w:rPr>
          <w:lang w:val="ro-RO"/>
        </w:rPr>
      </w:pPr>
      <w:r w:rsidRPr="008C6A37">
        <w:rPr>
          <w:lang w:val="ro-RO"/>
        </w:rPr>
        <w:t>lipsa unui sistem de monitorizare pentru gestionarea integrată a elementele constitutive ale peisajului costier;</w:t>
      </w:r>
    </w:p>
    <w:p w14:paraId="3628269E" w14:textId="77777777" w:rsidR="00670FD4" w:rsidRPr="008C6A37" w:rsidRDefault="00670FD4" w:rsidP="00670FD4">
      <w:pPr>
        <w:numPr>
          <w:ilvl w:val="0"/>
          <w:numId w:val="11"/>
        </w:numPr>
        <w:ind w:firstLine="567"/>
        <w:rPr>
          <w:lang w:val="ro-RO"/>
        </w:rPr>
      </w:pPr>
      <w:r w:rsidRPr="008C6A37">
        <w:rPr>
          <w:lang w:val="ro-RO"/>
        </w:rPr>
        <w:t>nivel slab de conștientizare privind valoarea și rolul peisajelor pentru asigurarea dezvoltării economice și creșterea calității vieții în zona costieră.</w:t>
      </w:r>
    </w:p>
    <w:p w14:paraId="3D5E42CE" w14:textId="77777777" w:rsidR="00670FD4" w:rsidRPr="008C6A37" w:rsidRDefault="00670FD4" w:rsidP="00670FD4">
      <w:pPr>
        <w:ind w:firstLine="567"/>
        <w:rPr>
          <w:b/>
          <w:i/>
          <w:lang w:val="ro-RO"/>
        </w:rPr>
      </w:pPr>
      <w:r w:rsidRPr="008C6A37">
        <w:rPr>
          <w:b/>
          <w:i/>
          <w:lang w:val="ro-RO"/>
        </w:rPr>
        <w:t>Patrimoniu Cultural</w:t>
      </w:r>
    </w:p>
    <w:p w14:paraId="6435B6A5" w14:textId="77777777" w:rsidR="00670FD4" w:rsidRPr="008C6A37" w:rsidRDefault="00670FD4" w:rsidP="00670FD4">
      <w:pPr>
        <w:ind w:firstLine="567"/>
        <w:rPr>
          <w:lang w:val="ro-RO"/>
        </w:rPr>
      </w:pPr>
      <w:r w:rsidRPr="008C6A37">
        <w:rPr>
          <w:lang w:val="ro-RO"/>
        </w:rPr>
        <w:t xml:space="preserve">În zona costieră au fost identificate și clasate în Lista Monumentelor Istorice (LMI) din România un număr de 426 monumente, ansambluri și situri terestre, dintre care 297 în județul Constanța și 129 în județul Tulcea. Alături de acestea este clasat în LMI Situl arheologic subacvatic situat pe platforma continentală a litoralului românesc al Mării Negre. </w:t>
      </w:r>
      <w:r>
        <w:rPr>
          <w:lang w:val="ro-RO"/>
        </w:rPr>
        <w:t xml:space="preserve">Astfel, întreaga zonă costieră este situată în zona de protecție a monumentului istoric Situl arheologic subacavtic clasat în Lista Monumentelor Istorice cu codurile CT-I-s-A-02561 și TL-I-s-A-05721. </w:t>
      </w:r>
      <w:r w:rsidRPr="008C6A37">
        <w:rPr>
          <w:lang w:val="ro-RO"/>
        </w:rPr>
        <w:t xml:space="preserve">Din categoriile tipologice se observă că cea mai mare pondere o au monumentele și siturile arheologice, în număr de 214, urmate de cele de arhitectură în număr de 167, apoi 39 de for public și 6 memorial-funerare. Din punct de vedere al grupei valorice, 126 monumente, ansambluri și situri sunt înscrise  în categoria A (valoare națională, universală) și 300 în categoria B (valoare locală). Din perspectiva repartizării spațiale a patrimoniului, numărul cel </w:t>
      </w:r>
      <w:r w:rsidRPr="008C6A37">
        <w:rPr>
          <w:lang w:val="ro-RO"/>
        </w:rPr>
        <w:lastRenderedPageBreak/>
        <w:t>mai mare de monumente se regăsește în mediul urban, în municipiile Constanța și Mangalia, precum și în orașul Sulina, tot aici înregistrându-se și cea mai mare pondere a patrimoniului arhitectural, de for public și memorial-funerar. În ceea ce privește patrimoniul arheologic, acesta predomină în mediul rural, în județul Constanța fiind o concentrare de circa 70%.</w:t>
      </w:r>
    </w:p>
    <w:p w14:paraId="7BACC1A9" w14:textId="77777777" w:rsidR="00670FD4" w:rsidRPr="008C6A37" w:rsidRDefault="00670FD4" w:rsidP="00670FD4">
      <w:pPr>
        <w:ind w:firstLine="567"/>
        <w:rPr>
          <w:lang w:val="ro-RO"/>
        </w:rPr>
      </w:pPr>
      <w:r w:rsidRPr="008C6A37">
        <w:rPr>
          <w:lang w:val="ro-RO"/>
        </w:rPr>
        <w:t>Patrimoniul arheologic din zona costieră este, din păcate, în mare parte neglijat, lipsind măsurile de  pază, întreținere, conservare și restaurare, fiind afectat de construcții, uneori necontrolate sau neautorizate și de nerespectarea regulamentelor de urbanism. În ceea ce privește patrimoniul arhitectural și zonele istorice ale localităților, lipsa regulamentelor de urbanism care să integreze conservarea patrimoniului în dezvoltarea comunităților, în acord cu nevoile de modernizare și adaptare la cerințele actuale, a condus la o degradare continuă reflectată în demolări și transformări excesive ale construcțiilor istorice și modificări ale vechilor țesuturi urbane.</w:t>
      </w:r>
    </w:p>
    <w:p w14:paraId="2D8E7BEA" w14:textId="77777777" w:rsidR="00670FD4" w:rsidRPr="008C6A37" w:rsidRDefault="00670FD4" w:rsidP="00670FD4">
      <w:pPr>
        <w:ind w:firstLine="567"/>
        <w:rPr>
          <w:lang w:val="ro-RO"/>
        </w:rPr>
      </w:pPr>
      <w:r w:rsidRPr="008C6A37">
        <w:rPr>
          <w:lang w:val="ro-RO"/>
        </w:rPr>
        <w:t>Referitor la patrimoniul cultural subacvatic, cele mai importante inițiative în domeniu au fost proiectele HERAS –“Submarine Archaeological  Heritage in the Western Black Sea Shelf” și ”Western Black Sea Underwater Cultural Touristic Routes”, coordonate de INCD GeoEcoMar. Prin aceste proiecte s-a început dezvoltarea unei baze de date care cuprinde epavele din vestul Mării Negre și a fost realizată o hartă preliminară a posibilelor situri subacvatice, precum și posibile rute turistice subacvatice.</w:t>
      </w:r>
    </w:p>
    <w:p w14:paraId="4E347BE0" w14:textId="77777777" w:rsidR="00670FD4" w:rsidRPr="008C6A37" w:rsidRDefault="00670FD4" w:rsidP="00670FD4">
      <w:pPr>
        <w:ind w:firstLine="567"/>
        <w:rPr>
          <w:b/>
          <w:i/>
          <w:lang w:val="ro-RO"/>
        </w:rPr>
      </w:pPr>
      <w:r w:rsidRPr="008C6A37">
        <w:rPr>
          <w:b/>
          <w:i/>
          <w:lang w:val="ro-RO"/>
        </w:rPr>
        <w:t>Resurse biotice și abiotice</w:t>
      </w:r>
    </w:p>
    <w:p w14:paraId="4E811F3C" w14:textId="77777777" w:rsidR="00670FD4" w:rsidRPr="008C6A37" w:rsidRDefault="00670FD4" w:rsidP="00670FD4">
      <w:pPr>
        <w:ind w:firstLine="567"/>
        <w:rPr>
          <w:i/>
          <w:lang w:val="ro-RO"/>
        </w:rPr>
      </w:pPr>
      <w:r w:rsidRPr="008C6A37">
        <w:rPr>
          <w:i/>
          <w:lang w:val="ro-RO"/>
        </w:rPr>
        <w:t>Resursa piscicolă</w:t>
      </w:r>
    </w:p>
    <w:p w14:paraId="4A9818FD" w14:textId="77777777" w:rsidR="00670FD4" w:rsidRPr="008C6A37" w:rsidRDefault="00670FD4" w:rsidP="00670FD4">
      <w:pPr>
        <w:ind w:firstLine="567"/>
        <w:rPr>
          <w:lang w:val="ro-RO"/>
        </w:rPr>
      </w:pPr>
      <w:r w:rsidRPr="008C6A37">
        <w:rPr>
          <w:lang w:val="ro-RO"/>
        </w:rPr>
        <w:t>Resursele marine vii sunt materii prime importante ale industriilor alimentare, farmaceutice, cosmetice, în zootehnie, etc. O importanță deosebită se acordă în prezent utilizării raționale a resursei piscicole, atât în scop economic, cât și ecologic, stopării suprapescuitului, a poluării, precum și menținerii echilibrului ecosistemic referitor la biodiversitate, integritate populaţională, lanţuri trofice și stocuri.</w:t>
      </w:r>
    </w:p>
    <w:p w14:paraId="480373BB" w14:textId="77777777" w:rsidR="00670FD4" w:rsidRPr="008C6A37" w:rsidRDefault="00670FD4" w:rsidP="00670FD4">
      <w:pPr>
        <w:ind w:firstLine="567"/>
        <w:rPr>
          <w:lang w:val="ro-RO"/>
        </w:rPr>
      </w:pPr>
      <w:r w:rsidRPr="008C6A37">
        <w:rPr>
          <w:lang w:val="ro-RO"/>
        </w:rPr>
        <w:t>În ultimele decenii s-a observat o tendinţă de reducere a numărului de specii înregistrate, în special datorită pescuitului excesiv şi poluării, acestea numărându-se printre principalele ameninţări pentru stabilitatea stocurilor. Totuși, conform INCDM (2022), diversitatea speciilor de pești a crescut în ultimii 6 ani cu aproximativ 51%. Această creştere se datorează însă speciilor auxiliare (în număr redus de exemplare) și folosirii de unelte şi tehnici de colectare diverse. Cele mai numeroase specii identificate aparţin familiei Gobiidae, urmată de speciile din Familia Mugilidae.</w:t>
      </w:r>
    </w:p>
    <w:p w14:paraId="477BB442" w14:textId="77777777" w:rsidR="00670FD4" w:rsidRPr="008C6A37" w:rsidRDefault="00670FD4" w:rsidP="00670FD4">
      <w:pPr>
        <w:ind w:firstLine="567"/>
        <w:rPr>
          <w:lang w:val="ro-RO"/>
        </w:rPr>
      </w:pPr>
      <w:r w:rsidRPr="008C6A37">
        <w:rPr>
          <w:lang w:val="ro-RO"/>
        </w:rPr>
        <w:t xml:space="preserve">Structura populaţională a ultimilor ani, indică prezenţa în capturi a unui număr mare de specii (24), cele mai importante fiind hamsia, stavridul, guvidele, lufarul (specii de talie mică), calcanul şi alosele (specii de talie mai mare). Dominanţa în capturi a revenit, speciei </w:t>
      </w:r>
      <w:r w:rsidRPr="008C6A37">
        <w:rPr>
          <w:i/>
          <w:lang w:val="ro-RO"/>
        </w:rPr>
        <w:t>Scophthalmus maximus</w:t>
      </w:r>
      <w:r w:rsidRPr="008C6A37">
        <w:rPr>
          <w:lang w:val="ro-RO"/>
        </w:rPr>
        <w:t xml:space="preserve"> - calcan (30,00-28,52%), urmată de: </w:t>
      </w:r>
      <w:r w:rsidRPr="008C6A37">
        <w:rPr>
          <w:i/>
          <w:lang w:val="ro-RO"/>
        </w:rPr>
        <w:t>Engraulis encrasicolus</w:t>
      </w:r>
      <w:r w:rsidRPr="008C6A37">
        <w:rPr>
          <w:lang w:val="ro-RO"/>
        </w:rPr>
        <w:t xml:space="preserve"> - hamsia (15,60-11,41%), </w:t>
      </w:r>
      <w:r w:rsidRPr="008C6A37">
        <w:rPr>
          <w:i/>
          <w:lang w:val="ro-RO"/>
        </w:rPr>
        <w:t>Trachurus mediterraneus</w:t>
      </w:r>
      <w:r w:rsidRPr="008C6A37">
        <w:rPr>
          <w:lang w:val="ro-RO"/>
        </w:rPr>
        <w:t xml:space="preserve"> ponticus - stavrid (11,20-7,60%), </w:t>
      </w:r>
      <w:r w:rsidRPr="008C6A37">
        <w:rPr>
          <w:i/>
          <w:lang w:val="ro-RO"/>
        </w:rPr>
        <w:t>Sprattus sprattus</w:t>
      </w:r>
      <w:r w:rsidRPr="008C6A37">
        <w:rPr>
          <w:lang w:val="ro-RO"/>
        </w:rPr>
        <w:t xml:space="preserve"> – șprot (18,60 – 23,57%), Gobiidae - guvizi (2,80-3,04%), </w:t>
      </w:r>
      <w:r w:rsidRPr="008C6A37">
        <w:rPr>
          <w:i/>
          <w:lang w:val="ro-RO"/>
        </w:rPr>
        <w:t>Pomatomus saltatrix</w:t>
      </w:r>
      <w:r w:rsidRPr="008C6A37">
        <w:rPr>
          <w:lang w:val="ro-RO"/>
        </w:rPr>
        <w:t xml:space="preserve"> – lufar (3,60-12,17%), </w:t>
      </w:r>
      <w:r w:rsidRPr="008C6A37">
        <w:rPr>
          <w:i/>
          <w:lang w:val="ro-RO"/>
        </w:rPr>
        <w:t>Mullus barbatus</w:t>
      </w:r>
      <w:r w:rsidRPr="008C6A37">
        <w:rPr>
          <w:lang w:val="ro-RO"/>
        </w:rPr>
        <w:t xml:space="preserve"> – barbun (5,36-9,89%), Alosae - alose (1,60-2,28%) şi 1% alte specii (INCDM, 2022).</w:t>
      </w:r>
    </w:p>
    <w:p w14:paraId="6FBF3452" w14:textId="77777777" w:rsidR="00670FD4" w:rsidRPr="008C6A37" w:rsidRDefault="00670FD4" w:rsidP="00670FD4">
      <w:pPr>
        <w:ind w:firstLine="567"/>
        <w:rPr>
          <w:lang w:val="ro-RO"/>
        </w:rPr>
      </w:pPr>
      <w:r w:rsidRPr="008C6A37">
        <w:rPr>
          <w:lang w:val="ro-RO"/>
        </w:rPr>
        <w:lastRenderedPageBreak/>
        <w:t>Principalele moluște valorificabile de la țărmul românesc sunt midia (</w:t>
      </w:r>
      <w:r w:rsidRPr="008C6A37">
        <w:rPr>
          <w:i/>
          <w:lang w:val="ro-RO"/>
        </w:rPr>
        <w:t>Mytilus galloprovincialis</w:t>
      </w:r>
      <w:r w:rsidRPr="008C6A37">
        <w:rPr>
          <w:lang w:val="ro-RO"/>
        </w:rPr>
        <w:t>) și rapana (</w:t>
      </w:r>
      <w:r w:rsidRPr="008C6A37">
        <w:rPr>
          <w:i/>
          <w:lang w:val="ro-RO"/>
        </w:rPr>
        <w:t>Rapana venosa</w:t>
      </w:r>
      <w:r w:rsidRPr="008C6A37">
        <w:rPr>
          <w:lang w:val="ro-RO"/>
        </w:rPr>
        <w:t xml:space="preserve">). Datorită valorii nutriționale ridicate și capacității de formare de populații foarte extinse, midia din Marea Neagră este o componentă de bază în lanțul trofic marin, cu valoare ecologică (în procese de biofiltrare) și economică (resursă marină exploatabilă prin valorificare directă și acvacultură). </w:t>
      </w:r>
      <w:r w:rsidRPr="008C6A37">
        <w:rPr>
          <w:i/>
          <w:lang w:val="ro-RO"/>
        </w:rPr>
        <w:t>Rapana venosa</w:t>
      </w:r>
      <w:r w:rsidRPr="008C6A37">
        <w:rPr>
          <w:lang w:val="ro-RO"/>
        </w:rPr>
        <w:t>, cel mai cunoscut reprezentant al malacofaunei din Marea Neagră, intrat accidental cu apa de balast a navelor, are caracteristici adaptative de excepție (nu există specii concurente, nici prădători) și s-a instalat pe arii extinse în noile condiții. În prezent domină capturile pescărești de la țărmul românesc, consumând major stocurile de midie.</w:t>
      </w:r>
    </w:p>
    <w:p w14:paraId="154720A8" w14:textId="77777777" w:rsidR="00670FD4" w:rsidRPr="008C6A37" w:rsidRDefault="00670FD4" w:rsidP="00670FD4">
      <w:pPr>
        <w:ind w:firstLine="567"/>
        <w:rPr>
          <w:i/>
          <w:lang w:val="ro-RO"/>
        </w:rPr>
      </w:pPr>
      <w:r w:rsidRPr="008C6A37">
        <w:rPr>
          <w:i/>
          <w:lang w:val="ro-RO"/>
        </w:rPr>
        <w:t>Resursa stuficolă</w:t>
      </w:r>
    </w:p>
    <w:p w14:paraId="64BC920A" w14:textId="77777777" w:rsidR="00670FD4" w:rsidRPr="008C6A37" w:rsidRDefault="00670FD4" w:rsidP="00670FD4">
      <w:pPr>
        <w:ind w:firstLine="567"/>
        <w:rPr>
          <w:lang w:val="ro-RO"/>
        </w:rPr>
      </w:pPr>
      <w:r w:rsidRPr="008C6A37">
        <w:rPr>
          <w:lang w:val="ro-RO"/>
        </w:rPr>
        <w:t xml:space="preserve">Suprafața acoperită de stuf în Delta Dunării este de circa 173.000 ha, din care doar circa 10-20 % este exploatată în scop economic. Valorificarea resursei stuficole se poate face atât în scop comercial, cât și gospodăresc, ARBDD stabilind anual cote admisibile de exploatare pe baza studiilor de evaluare a resurselor stuficole. Astfel, recoltarea stufului este bine reglementată, pericolul exploatării nesustenabile a acestei resurse regenerabile fiind foarte redus. </w:t>
      </w:r>
    </w:p>
    <w:p w14:paraId="313B6EA3" w14:textId="77777777" w:rsidR="00670FD4" w:rsidRPr="008C6A37" w:rsidRDefault="00670FD4" w:rsidP="00670FD4">
      <w:pPr>
        <w:ind w:firstLine="567"/>
        <w:rPr>
          <w:lang w:val="ro-RO"/>
        </w:rPr>
      </w:pPr>
      <w:r w:rsidRPr="008C6A37">
        <w:rPr>
          <w:lang w:val="ro-RO"/>
        </w:rPr>
        <w:t>Una din problemele legate de exploatarea stufului o constituie nivelul scăzut de valorificare a resursei stuficole în special în zonele centrale ale Deltei Dunării, unde se constată fenomenul de “îmbătrânire“ a stufăriilor ca urmare a dezvoltării mai multor generații de stuf în aceeași zonă cu consecințe negative asupra habitatelor naturale, problemă care ar putea fi diminuată prin promovarea unor metode variate de valorificare a biomasei, inclusiv pentru producerea peleților combustibili. Utilizarea acestei resurse poate stopa declinul industriei de celuloză și hârtie.</w:t>
      </w:r>
    </w:p>
    <w:p w14:paraId="5010375C" w14:textId="77777777" w:rsidR="00670FD4" w:rsidRPr="008C6A37" w:rsidRDefault="00670FD4" w:rsidP="00670FD4">
      <w:pPr>
        <w:ind w:firstLine="567"/>
        <w:rPr>
          <w:i/>
          <w:lang w:val="ro-RO"/>
        </w:rPr>
      </w:pPr>
      <w:r w:rsidRPr="008C6A37">
        <w:rPr>
          <w:i/>
          <w:lang w:val="ro-RO"/>
        </w:rPr>
        <w:t xml:space="preserve">Apa subterană </w:t>
      </w:r>
    </w:p>
    <w:p w14:paraId="19289D97" w14:textId="77777777" w:rsidR="00670FD4" w:rsidRPr="008C6A37" w:rsidRDefault="00670FD4" w:rsidP="00670FD4">
      <w:pPr>
        <w:ind w:firstLine="567"/>
        <w:rPr>
          <w:lang w:val="ro-RO"/>
        </w:rPr>
      </w:pPr>
      <w:r w:rsidRPr="008C6A37">
        <w:rPr>
          <w:lang w:val="ro-RO"/>
        </w:rPr>
        <w:t xml:space="preserve">Conform </w:t>
      </w:r>
      <w:r w:rsidRPr="00DC18E4">
        <w:rPr>
          <w:lang w:val="ro-RO"/>
        </w:rPr>
        <w:t xml:space="preserve">Planului de Management actualizat al fluviului Dunărea, Deltei Dunării, spațiului hidrografic Dobrogea și apelor costiere (2022-2027), </w:t>
      </w:r>
      <w:r w:rsidRPr="008C6A37">
        <w:rPr>
          <w:lang w:val="ro-RO"/>
        </w:rPr>
        <w:t>aprobat prin HG 392/2023, în prezent, niciunul dintre corpurile de apă subterane din zona corpurilor de apă subterane nu a fost identificat, din punct de vedere cantitativ, la risc de neatingere a stării bune. Totuși, presiunea pe exploatarea apelor subterane pentru diverse folosințe (populație, industrie, zootehnie, etc.) este în creştere, volumele de apă subterană captate în ultimii ani fiind tot mai mari. Această problemă, a creșterii volumului de ape subterane exploatat, este amplificată și de factori naturali, în particular seceta, afectând astfel reîncărcarea acviferelor.</w:t>
      </w:r>
    </w:p>
    <w:p w14:paraId="4632632D" w14:textId="77777777" w:rsidR="00670FD4" w:rsidRPr="008C6A37" w:rsidRDefault="00670FD4" w:rsidP="00670FD4">
      <w:pPr>
        <w:ind w:firstLine="567"/>
        <w:rPr>
          <w:i/>
          <w:lang w:val="ro-RO"/>
        </w:rPr>
      </w:pPr>
      <w:r w:rsidRPr="008C6A37">
        <w:rPr>
          <w:i/>
          <w:lang w:val="ro-RO"/>
        </w:rPr>
        <w:t>Ape mezotermale sulfuroase</w:t>
      </w:r>
    </w:p>
    <w:p w14:paraId="16138D77" w14:textId="77777777" w:rsidR="00670FD4" w:rsidRPr="008C6A37" w:rsidRDefault="00670FD4" w:rsidP="00670FD4">
      <w:pPr>
        <w:ind w:firstLine="567"/>
        <w:rPr>
          <w:lang w:val="ro-RO"/>
        </w:rPr>
      </w:pPr>
      <w:r w:rsidRPr="008C6A37">
        <w:rPr>
          <w:lang w:val="ro-RO"/>
        </w:rPr>
        <w:t>Activitatea de exploatare a acestei resurse este reglementată prin acordarea de licențe de exploatare. Fiind o resursă regenerabilă, nu se pune, în prezent, problema nesustenabilității exploatării acesteia.</w:t>
      </w:r>
    </w:p>
    <w:p w14:paraId="0726D916" w14:textId="77777777" w:rsidR="00670FD4" w:rsidRPr="008C6A37" w:rsidRDefault="00670FD4" w:rsidP="00670FD4">
      <w:pPr>
        <w:ind w:firstLine="567"/>
        <w:rPr>
          <w:i/>
          <w:lang w:val="ro-RO"/>
        </w:rPr>
      </w:pPr>
      <w:r w:rsidRPr="008C6A37">
        <w:rPr>
          <w:i/>
          <w:lang w:val="ro-RO"/>
        </w:rPr>
        <w:t>Nămol sapropelic</w:t>
      </w:r>
    </w:p>
    <w:p w14:paraId="7862E613" w14:textId="77777777" w:rsidR="00670FD4" w:rsidRPr="008C6A37" w:rsidRDefault="00670FD4" w:rsidP="00670FD4">
      <w:pPr>
        <w:ind w:firstLine="567"/>
        <w:rPr>
          <w:lang w:val="ro-RO"/>
        </w:rPr>
      </w:pPr>
      <w:r w:rsidRPr="008C6A37">
        <w:rPr>
          <w:lang w:val="ro-RO"/>
        </w:rPr>
        <w:t xml:space="preserve">Nămolul sapropelic este principala resursă naturală din lacul Techirghiol. Principalele probleme referitoare la resursa de nămol din lacul Techirghiol sunt legate, pe de o parte, de pericolul contaminǎrii microbiologice, din cauza proximitǎții activității turistice, modificǎrilor </w:t>
      </w:r>
      <w:r w:rsidRPr="008C6A37">
        <w:rPr>
          <w:lang w:val="ro-RO"/>
        </w:rPr>
        <w:lastRenderedPageBreak/>
        <w:t xml:space="preserve">hidrologice şi a deficiențelor în colectarea apelor uzate și a celor meteorice, iar pe de altǎ parte, de pierderea diversitǎții şi afectarea principalelor specii ce contribuie la formarea sapropelului, amplificată de efectele schimbărilor climatice. În aceste condiții, exploatarea nǎmolului, concesionatǎ în prezent mai multor firme, trebuie monitorizatǎ cu atenție pentru evitarea riscurilor de supraexploatare şi/sau scǎdere a calitǎții acestuia. </w:t>
      </w:r>
    </w:p>
    <w:p w14:paraId="052152E1" w14:textId="77777777" w:rsidR="00670FD4" w:rsidRPr="008C6A37" w:rsidRDefault="00670FD4" w:rsidP="00670FD4">
      <w:pPr>
        <w:ind w:firstLine="567"/>
        <w:rPr>
          <w:i/>
          <w:lang w:val="ro-RO"/>
        </w:rPr>
      </w:pPr>
      <w:r w:rsidRPr="008C6A37">
        <w:rPr>
          <w:i/>
          <w:lang w:val="ro-RO"/>
        </w:rPr>
        <w:t xml:space="preserve">Calcare și șisturi verzi </w:t>
      </w:r>
    </w:p>
    <w:p w14:paraId="6A752B79" w14:textId="77777777" w:rsidR="00670FD4" w:rsidRPr="008C6A37" w:rsidRDefault="00670FD4" w:rsidP="00670FD4">
      <w:pPr>
        <w:ind w:firstLine="567"/>
        <w:rPr>
          <w:lang w:val="ro-RO"/>
        </w:rPr>
      </w:pPr>
      <w:r w:rsidRPr="008C6A37">
        <w:rPr>
          <w:lang w:val="ro-RO"/>
        </w:rPr>
        <w:t xml:space="preserve">Activitatea de extracție a calcarului industrial și pentru construcții este reglementată de ANRM, prin acordarea de licențe de exploatare, în zona lacului Tașaul. </w:t>
      </w:r>
    </w:p>
    <w:p w14:paraId="2C11A177" w14:textId="77777777" w:rsidR="00670FD4" w:rsidRPr="008C6A37" w:rsidRDefault="00670FD4" w:rsidP="00670FD4">
      <w:pPr>
        <w:ind w:firstLine="567"/>
        <w:rPr>
          <w:i/>
          <w:lang w:val="ro-RO"/>
        </w:rPr>
      </w:pPr>
      <w:r w:rsidRPr="008C6A37">
        <w:rPr>
          <w:i/>
          <w:lang w:val="ro-RO"/>
        </w:rPr>
        <w:t>Nisip din mare</w:t>
      </w:r>
    </w:p>
    <w:p w14:paraId="3B6C2A46" w14:textId="77777777" w:rsidR="00670FD4" w:rsidRPr="008C6A37" w:rsidRDefault="00670FD4" w:rsidP="00670FD4">
      <w:pPr>
        <w:ind w:firstLine="567"/>
        <w:rPr>
          <w:lang w:val="ro-RO"/>
        </w:rPr>
      </w:pPr>
      <w:r w:rsidRPr="008C6A37">
        <w:rPr>
          <w:lang w:val="ro-RO"/>
        </w:rPr>
        <w:t>În cazul acestei resurse nu se pune problema nesustenabilității exploatării, deoarece extragerea nisipului se face, în prezent, doar în scopul protecției contra eroziunii, prin lărgirea plajelor prin înnisipare, activitate realizată doar ocazional.</w:t>
      </w:r>
    </w:p>
    <w:p w14:paraId="3F9E8351" w14:textId="77777777" w:rsidR="00670FD4" w:rsidRPr="00940876" w:rsidRDefault="00670FD4" w:rsidP="00670FD4">
      <w:pPr>
        <w:pStyle w:val="Heading3"/>
      </w:pPr>
      <w:bookmarkStart w:id="12" w:name="_Toc150247010"/>
      <w:bookmarkStart w:id="13" w:name="_Toc171084806"/>
      <w:r w:rsidRPr="00940876">
        <w:t xml:space="preserve">1.3.3. Aspecte </w:t>
      </w:r>
      <w:r w:rsidRPr="005D2CE5">
        <w:t>socio</w:t>
      </w:r>
      <w:r w:rsidRPr="00940876">
        <w:t>-demografice</w:t>
      </w:r>
      <w:bookmarkEnd w:id="12"/>
      <w:bookmarkEnd w:id="13"/>
    </w:p>
    <w:p w14:paraId="3F2083A2" w14:textId="77777777" w:rsidR="00670FD4" w:rsidRPr="008C6A37" w:rsidRDefault="00670FD4" w:rsidP="00670FD4">
      <w:pPr>
        <w:ind w:firstLine="567"/>
        <w:rPr>
          <w:lang w:val="ro-RO"/>
        </w:rPr>
      </w:pPr>
      <w:r w:rsidRPr="008C6A37">
        <w:rPr>
          <w:lang w:val="ro-RO"/>
        </w:rPr>
        <w:t>Conform datelor Recensământului Populației și Locuințelor (RPL) 2021 populația zonei costiere – mai sus definite – era în decembrie 2021, de 400.828 de locuitori (populație rezidentă), în scădere cu 15% față de RPL 2011. Din totalul populației, 87,28% dintre locuitori trăiesc în mediul urban (dintre care 73,76% în cele două municipii), iar 12,72% în mediul rural. Ponderea populației din mediul rural a sporit cu 0,8% față de RPL 2011. Se poate observa că populația este concentrată cu precădere, în mediul urban și în județul Constanța (97,24% din total). Pe de altă parte, cea mai mare parte a suprafeței zonei costiere, se află în județul Tulcea (64,83%) și în mediul rural, în cele 13 comune ale acesteia (82,47%). Această distribuție teritorială a populației determină valori foarte diferite ale densității, respectiv 4,79 locuitori / km</w:t>
      </w:r>
      <w:r w:rsidRPr="008C6A37">
        <w:rPr>
          <w:vertAlign w:val="superscript"/>
          <w:lang w:val="ro-RO"/>
        </w:rPr>
        <w:t>2</w:t>
      </w:r>
      <w:r w:rsidRPr="008C6A37">
        <w:rPr>
          <w:lang w:val="ro-RO"/>
        </w:rPr>
        <w:t xml:space="preserve"> în județul Tulcea și 311,83 locuitori / km</w:t>
      </w:r>
      <w:r w:rsidRPr="008C6A37">
        <w:rPr>
          <w:vertAlign w:val="superscript"/>
          <w:lang w:val="ro-RO"/>
        </w:rPr>
        <w:t>2</w:t>
      </w:r>
      <w:r w:rsidRPr="008C6A37">
        <w:rPr>
          <w:lang w:val="ro-RO"/>
        </w:rPr>
        <w:t xml:space="preserve"> în județul Constanța, valoarea medie a densității la nivelul zonei costiere fiind de 112,77 locuitori / km</w:t>
      </w:r>
      <w:r w:rsidRPr="008C6A37">
        <w:rPr>
          <w:vertAlign w:val="superscript"/>
          <w:lang w:val="ro-RO"/>
        </w:rPr>
        <w:t>2</w:t>
      </w:r>
      <w:r w:rsidRPr="008C6A37">
        <w:rPr>
          <w:lang w:val="ro-RO"/>
        </w:rPr>
        <w:t>.</w:t>
      </w:r>
    </w:p>
    <w:p w14:paraId="5D66A315" w14:textId="77777777" w:rsidR="00670FD4" w:rsidRPr="008C6A37" w:rsidRDefault="00670FD4" w:rsidP="00670FD4">
      <w:pPr>
        <w:ind w:firstLine="567"/>
        <w:rPr>
          <w:lang w:val="ro-RO"/>
        </w:rPr>
      </w:pPr>
      <w:r w:rsidRPr="008C6A37">
        <w:rPr>
          <w:lang w:val="ro-RO"/>
        </w:rPr>
        <w:t xml:space="preserve">Valorile cele mai mari ale ratei natalității populației se înregistrează în mediul rural. Prin valorile peste media națională (8,6 la mie) se remarcă partea centrală a zonei, localitățile din nordul județului Constanța (Corbu, Săcele, Istria și Mihai Viteazu), precum și Sf. Gheorghe, Agigea și Limanu. În același timp, în cazul localităților urbane, doar la Mangalia și Sulina valorile acestui indicator sunt mai mici decât media națională (de 7,1 la mie în 2022). </w:t>
      </w:r>
    </w:p>
    <w:p w14:paraId="458B568A" w14:textId="77777777" w:rsidR="00670FD4" w:rsidRPr="008C6A37" w:rsidRDefault="00670FD4" w:rsidP="00670FD4">
      <w:pPr>
        <w:ind w:firstLine="567"/>
        <w:rPr>
          <w:lang w:val="ro-RO"/>
        </w:rPr>
      </w:pPr>
      <w:r w:rsidRPr="008C6A37">
        <w:rPr>
          <w:lang w:val="ro-RO"/>
        </w:rPr>
        <w:t>Dinamica ratei mortalității a cunoscut o evoluție diferențiată în ultimul timp. În cazul localităților urbane valorile acestui indicator se află pe un trend constant ascendent de la începutul anilor 1990, accelerat în anii 2020-2021 de efectele cauzate de COVID19. Cu excepția orașului  Năvodari, toate localitățile urbane au înregistrat rata mortalității peste media națională pentru mediul urban (de 13,6 la mie în 2021). Localitățile rurale au înregistrat o dinamică diferențiată a ratei mortalității, arătând un trend ascendent abia în a doua jumătate deceniului al doilea. COVID19 a avut un impact mai mic în mediul rural, majoritatea comunelor situându-se sub media națională de 17,4 la mie în 2021 (excepție face comuna C.A. Rosetti, cu o rată a mortalității a depășit de două ori media națională pentru zonele rurale).</w:t>
      </w:r>
    </w:p>
    <w:p w14:paraId="0D83B3EB" w14:textId="77777777" w:rsidR="00670FD4" w:rsidRPr="008C6A37" w:rsidRDefault="00670FD4" w:rsidP="00670FD4">
      <w:pPr>
        <w:ind w:firstLine="567"/>
        <w:rPr>
          <w:lang w:val="ro-RO"/>
        </w:rPr>
      </w:pPr>
      <w:r w:rsidRPr="008C6A37">
        <w:rPr>
          <w:lang w:val="ro-RO"/>
        </w:rPr>
        <w:t xml:space="preserve">Rata sporului natural în anul 2021 este negativă în toate localitățile din zona de coastă fără excepție. Prin valorile peste media națională (-5,2 la mie pentru mediul urban și -7,8 pentru </w:t>
      </w:r>
      <w:r w:rsidRPr="008C6A37">
        <w:rPr>
          <w:lang w:val="ro-RO"/>
        </w:rPr>
        <w:lastRenderedPageBreak/>
        <w:t>mediul rural) se remarcă doar orașul Năvodari, pentru mediul urban, și 8 din 13 localități din mediul rural. Comuna C.A. Rosetti iese în evidență printr-o valoare extremă a ratei sporului (-34 la mie în 2021).</w:t>
      </w:r>
    </w:p>
    <w:p w14:paraId="1099F24D" w14:textId="77777777" w:rsidR="00670FD4" w:rsidRPr="008C6A37" w:rsidRDefault="00670FD4" w:rsidP="00670FD4">
      <w:pPr>
        <w:ind w:firstLine="567"/>
        <w:rPr>
          <w:lang w:val="ro-RO"/>
        </w:rPr>
      </w:pPr>
      <w:r w:rsidRPr="008C6A37">
        <w:rPr>
          <w:lang w:val="ro-RO"/>
        </w:rPr>
        <w:t>Gradul de îmbătrânire a populației este într-o continuă creștere începând cu anii 1990. Zona Deltei Dunării se remarcă printr-o îmbătrânire avansată atât mediul urban, cât și în mediul rural. Dintre localitățile urbane se remarcă Techirghiol și Năvodari unde valorile acestui indicator se află sub 100%. În același timp în mediul rural doar 4 localități au depășit valoarea de 100% (Sf. Gheorghe, C.A. Rosetti, Jurilovca și Tuzla). În distribuția spațială a indicatorului se remarcă contrastul dintre zona Deltei, în care se înregistrează valorile cele mai mari și zona centrală (Mihai Viteazu, Istria, Săcele, Corbu și Năvodari) cu valorile cele mai mici: Mihai Viteazu este singura localitate cu gradul de îmbătrânire de sub 50%.</w:t>
      </w:r>
    </w:p>
    <w:p w14:paraId="7CF122B9" w14:textId="77777777" w:rsidR="00670FD4" w:rsidRPr="008C6A37" w:rsidRDefault="00670FD4" w:rsidP="00670FD4">
      <w:pPr>
        <w:ind w:firstLine="567"/>
        <w:rPr>
          <w:lang w:val="ro-RO"/>
        </w:rPr>
      </w:pPr>
      <w:r w:rsidRPr="008C6A37">
        <w:rPr>
          <w:lang w:val="ro-RO"/>
        </w:rPr>
        <w:t>În ceea ce privește tendințele migraționiste de lungă durată, estimate pe baza recensământului populației din 2021, zona de coastă se divizează în două părți distincte: (i) jumătatea nordică (la nord de Năvodari), puțin atractivă, în care ponderea celor născuți în alte localități oscilează între 30 și 40% și (ii) localitățile din jumătatea sudică, conduse detașat de orașul Năvodari (cu circa 70% născuți în alte localități), printre care doar Constanța și Tuzla au valori mai mici, ap</w:t>
      </w:r>
      <w:r>
        <w:rPr>
          <w:lang w:val="ro-RO"/>
        </w:rPr>
        <w:t>ropiate celor din nordul zonei.</w:t>
      </w:r>
    </w:p>
    <w:p w14:paraId="49CE2099" w14:textId="77777777" w:rsidR="00670FD4" w:rsidRPr="00940876" w:rsidRDefault="00670FD4" w:rsidP="00670FD4">
      <w:pPr>
        <w:pStyle w:val="Heading3"/>
      </w:pPr>
      <w:bookmarkStart w:id="14" w:name="_Toc150247011"/>
      <w:bookmarkStart w:id="15" w:name="_Toc171084807"/>
      <w:r w:rsidRPr="00940876">
        <w:t>1.3.4.</w:t>
      </w:r>
      <w:r>
        <w:t xml:space="preserve"> </w:t>
      </w:r>
      <w:r w:rsidRPr="00940876">
        <w:t xml:space="preserve">Dezvoltare </w:t>
      </w:r>
      <w:r w:rsidRPr="005D2CE5">
        <w:t>socio</w:t>
      </w:r>
      <w:r w:rsidRPr="00940876">
        <w:t>-economică</w:t>
      </w:r>
      <w:bookmarkEnd w:id="14"/>
      <w:bookmarkEnd w:id="15"/>
    </w:p>
    <w:p w14:paraId="03C55E22" w14:textId="77777777" w:rsidR="00670FD4" w:rsidRPr="008C6A37" w:rsidRDefault="00670FD4" w:rsidP="00670FD4">
      <w:pPr>
        <w:ind w:firstLine="567"/>
        <w:rPr>
          <w:b/>
          <w:i/>
          <w:lang w:val="ro-RO"/>
        </w:rPr>
      </w:pPr>
      <w:r w:rsidRPr="008C6A37">
        <w:rPr>
          <w:b/>
          <w:i/>
          <w:lang w:val="ro-RO"/>
        </w:rPr>
        <w:t>Pescuit și Acvacultură</w:t>
      </w:r>
    </w:p>
    <w:p w14:paraId="45B8FBF1" w14:textId="77777777" w:rsidR="00670FD4" w:rsidRPr="008C6A37" w:rsidRDefault="00670FD4" w:rsidP="00670FD4">
      <w:pPr>
        <w:ind w:firstLine="567"/>
        <w:rPr>
          <w:lang w:val="ro-RO"/>
        </w:rPr>
      </w:pPr>
      <w:r w:rsidRPr="008C6A37">
        <w:rPr>
          <w:lang w:val="ro-RO"/>
        </w:rPr>
        <w:t>Pescuitul marin se desfășoară  de la țărm până la izobata de 60 metri (adâncimi mai mari pentru pescuitul specializat de calcan, scrumbie și rechin), acoperind așadar, o mare suprafață a părții marine a zonei costiere. Activitatea de pescuit industrial se realizează folosindu-se unelte active și unelte fixe. Pescuitul cu unelte active se efectuează la adâncimi mai mari de 20 m, cu nave trauler, folosindu-se ca unelte traulul pelagic, beam traulul şi năvodul. Pescuitul cu unelte fixe este practicat în lungul litoralului românesc, la adâncimi mici, de 2-11 m, cu taliene, dar și la adâncimi de 20-60 m, când sunt folosite instalaţii, plase și capcane destinate capturării speciilor de pești care migrează în ape puțin adânci, precum și alte unelte cum ar fi talianul, setca, volte, țaparine și paragate.</w:t>
      </w:r>
    </w:p>
    <w:p w14:paraId="64A6323A" w14:textId="77777777" w:rsidR="00670FD4" w:rsidRPr="008C6A37" w:rsidRDefault="00670FD4" w:rsidP="00670FD4">
      <w:pPr>
        <w:ind w:firstLine="567"/>
        <w:rPr>
          <w:lang w:val="ro-RO"/>
        </w:rPr>
      </w:pPr>
      <w:r w:rsidRPr="008C6A37">
        <w:rPr>
          <w:lang w:val="ro-RO"/>
        </w:rPr>
        <w:t>Nivelul capturii și eficiența pescuitului, depind de efortul de pescuit (numărul de nave, numărul de taliene, numărul de zile efective de pescuit, etc), evoluția condițiilor hidroclimatice, starea stocurilor principalelor specii și factorii antropici. Conform ANPA, principalele specii înregistrate în capturi, în 2022, au fost: rapana (2453 t); midiile (446 t); hamsia (30 t); șprot (62 t); stavridul (20 t); lufarul (32 t); calcanul (75 t) și barbunul (26 t).  Pe lângă acestea au mai fost semnalate și (2 t); guvizii (8 t) și alosele (6 t).</w:t>
      </w:r>
    </w:p>
    <w:p w14:paraId="56E1C791" w14:textId="77777777" w:rsidR="00670FD4" w:rsidRPr="008C6A37" w:rsidRDefault="00670FD4" w:rsidP="00670FD4">
      <w:pPr>
        <w:ind w:firstLine="567"/>
        <w:rPr>
          <w:lang w:val="ro-RO"/>
        </w:rPr>
      </w:pPr>
      <w:r w:rsidRPr="008C6A37">
        <w:rPr>
          <w:lang w:val="ro-RO"/>
        </w:rPr>
        <w:t>Pescuitul în Delta Dunării a cunoscut în ultimii ani tendință descendentă semnificativă, de la 3600 t/an în 2017, până la 1610 t/an în 2022.</w:t>
      </w:r>
    </w:p>
    <w:p w14:paraId="2EB1E01E" w14:textId="77777777" w:rsidR="00670FD4" w:rsidRPr="008C6A37" w:rsidRDefault="00670FD4" w:rsidP="00670FD4">
      <w:pPr>
        <w:ind w:firstLine="567"/>
        <w:rPr>
          <w:lang w:val="ro-RO"/>
        </w:rPr>
      </w:pPr>
      <w:r w:rsidRPr="008C6A37">
        <w:rPr>
          <w:lang w:val="ro-RO"/>
        </w:rPr>
        <w:t>Principalele probleme cu care se confruntă sectorul pescăresc în zona costieră sunt:</w:t>
      </w:r>
    </w:p>
    <w:p w14:paraId="78EF9B96" w14:textId="77777777" w:rsidR="00670FD4" w:rsidRPr="008C6A37" w:rsidRDefault="00670FD4" w:rsidP="00670FD4">
      <w:pPr>
        <w:ind w:firstLine="567"/>
        <w:rPr>
          <w:lang w:val="ro-RO"/>
        </w:rPr>
      </w:pPr>
      <w:r w:rsidRPr="008C6A37">
        <w:rPr>
          <w:lang w:val="ro-RO"/>
        </w:rPr>
        <w:t>•</w:t>
      </w:r>
      <w:r w:rsidRPr="008C6A37">
        <w:rPr>
          <w:lang w:val="ro-RO"/>
        </w:rPr>
        <w:tab/>
        <w:t xml:space="preserve">infrastructura specifică (porturi, puncte de debarcare, puncte de primă vânzare) este, în prezent, slab dezvoltată. Infrastructura de porturi pescărești cu dane specializate și spații de </w:t>
      </w:r>
      <w:r w:rsidRPr="008C6A37">
        <w:rPr>
          <w:lang w:val="ro-RO"/>
        </w:rPr>
        <w:lastRenderedPageBreak/>
        <w:t>depozitare, precum și locațiile pentru organizarea primei vânzări a peștelui sunt insuficiente și necesită îmbunătățirea facilităților existente;</w:t>
      </w:r>
    </w:p>
    <w:p w14:paraId="1B30CEA4" w14:textId="77777777" w:rsidR="00670FD4" w:rsidRPr="008C6A37" w:rsidRDefault="00670FD4" w:rsidP="00670FD4">
      <w:pPr>
        <w:ind w:firstLine="567"/>
        <w:rPr>
          <w:lang w:val="ro-RO"/>
        </w:rPr>
      </w:pPr>
      <w:r w:rsidRPr="008C6A37">
        <w:rPr>
          <w:lang w:val="ro-RO"/>
        </w:rPr>
        <w:t>•</w:t>
      </w:r>
      <w:r w:rsidRPr="008C6A37">
        <w:rPr>
          <w:lang w:val="ro-RO"/>
        </w:rPr>
        <w:tab/>
        <w:t>flota de pescuit este învechită, poluatoare;</w:t>
      </w:r>
    </w:p>
    <w:p w14:paraId="3A743AE0" w14:textId="77777777" w:rsidR="00670FD4" w:rsidRPr="008C6A37" w:rsidRDefault="00670FD4" w:rsidP="00670FD4">
      <w:pPr>
        <w:ind w:firstLine="567"/>
        <w:rPr>
          <w:lang w:val="ro-RO"/>
        </w:rPr>
      </w:pPr>
      <w:r w:rsidRPr="008C6A37">
        <w:rPr>
          <w:lang w:val="ro-RO"/>
        </w:rPr>
        <w:t>•</w:t>
      </w:r>
      <w:r w:rsidRPr="008C6A37">
        <w:rPr>
          <w:lang w:val="ro-RO"/>
        </w:rPr>
        <w:tab/>
        <w:t>în ciuda numeroaselor reglementări, încă există practici sau comportamente nesustenabile care duc la impact nedorit al pescuitului asupra ecosistemelor acvatice;</w:t>
      </w:r>
    </w:p>
    <w:p w14:paraId="1803804A" w14:textId="77777777" w:rsidR="00670FD4" w:rsidRPr="008C6A37" w:rsidRDefault="00670FD4" w:rsidP="00670FD4">
      <w:pPr>
        <w:ind w:firstLine="567"/>
        <w:rPr>
          <w:lang w:val="ro-RO"/>
        </w:rPr>
      </w:pPr>
      <w:r w:rsidRPr="008C6A37">
        <w:rPr>
          <w:lang w:val="ro-RO"/>
        </w:rPr>
        <w:t>•</w:t>
      </w:r>
      <w:r w:rsidRPr="008C6A37">
        <w:rPr>
          <w:lang w:val="ro-RO"/>
        </w:rPr>
        <w:tab/>
        <w:t>delimitarea zonelor prioritare de pescuit nu este foarte clară, lipsind criteriile clare pentru stabilirea acestora;</w:t>
      </w:r>
    </w:p>
    <w:p w14:paraId="595D5359" w14:textId="77777777" w:rsidR="00670FD4" w:rsidRPr="008C6A37" w:rsidRDefault="00670FD4" w:rsidP="00670FD4">
      <w:pPr>
        <w:ind w:firstLine="567"/>
        <w:rPr>
          <w:lang w:val="ro-RO"/>
        </w:rPr>
      </w:pPr>
      <w:r w:rsidRPr="008C6A37">
        <w:rPr>
          <w:lang w:val="ro-RO"/>
        </w:rPr>
        <w:t>•</w:t>
      </w:r>
      <w:r w:rsidRPr="008C6A37">
        <w:rPr>
          <w:lang w:val="ro-RO"/>
        </w:rPr>
        <w:tab/>
        <w:t>starea precară a stocurilor de sturioni din Dunăre și Marea Neagră și supraexploatarea stocurilor de calcan din Marea Neagră;</w:t>
      </w:r>
    </w:p>
    <w:p w14:paraId="6C536D92" w14:textId="77777777" w:rsidR="00670FD4" w:rsidRPr="008C6A37" w:rsidRDefault="00670FD4" w:rsidP="00670FD4">
      <w:pPr>
        <w:ind w:firstLine="567"/>
        <w:rPr>
          <w:lang w:val="ro-RO"/>
        </w:rPr>
      </w:pPr>
      <w:r w:rsidRPr="008C6A37">
        <w:rPr>
          <w:lang w:val="ro-RO"/>
        </w:rPr>
        <w:t>•</w:t>
      </w:r>
      <w:r w:rsidRPr="008C6A37">
        <w:rPr>
          <w:lang w:val="ro-RO"/>
        </w:rPr>
        <w:tab/>
        <w:t xml:space="preserve">modificarea sau transformarea habitatelor de reproducere sau hrănire a speciilor de pești ca urmare a lucrările hidrotehnice; </w:t>
      </w:r>
    </w:p>
    <w:p w14:paraId="579F7DFD" w14:textId="77777777" w:rsidR="00670FD4" w:rsidRPr="008C6A37" w:rsidRDefault="00670FD4" w:rsidP="00670FD4">
      <w:pPr>
        <w:ind w:firstLine="567"/>
        <w:rPr>
          <w:lang w:val="ro-RO"/>
        </w:rPr>
      </w:pPr>
      <w:r w:rsidRPr="008C6A37">
        <w:rPr>
          <w:lang w:val="ro-RO"/>
        </w:rPr>
        <w:t>•</w:t>
      </w:r>
      <w:r w:rsidRPr="008C6A37">
        <w:rPr>
          <w:lang w:val="ro-RO"/>
        </w:rPr>
        <w:tab/>
        <w:t>lipsa zonǎrii habitatelor de reproducere şi înmulțire a principalelor specii exploatabile;</w:t>
      </w:r>
    </w:p>
    <w:p w14:paraId="1CB127CE" w14:textId="77777777" w:rsidR="00670FD4" w:rsidRPr="008C6A37" w:rsidRDefault="00670FD4" w:rsidP="00670FD4">
      <w:pPr>
        <w:ind w:firstLine="567"/>
        <w:rPr>
          <w:lang w:val="ro-RO"/>
        </w:rPr>
      </w:pPr>
      <w:r w:rsidRPr="008C6A37">
        <w:rPr>
          <w:lang w:val="ro-RO"/>
        </w:rPr>
        <w:t>•</w:t>
      </w:r>
      <w:r w:rsidRPr="008C6A37">
        <w:rPr>
          <w:lang w:val="ro-RO"/>
        </w:rPr>
        <w:tab/>
        <w:t>lipsa zonǎrii habitatelor cu potențial productiv din punct de vedere al resurselor piscicole, precum şi a informațiilor despre ariile vulnerabile la activitǎțile umane ce impacteazǎ productivitatea şi diversitatea biologicǎ, importante pentru susținerea stocurilor;</w:t>
      </w:r>
    </w:p>
    <w:p w14:paraId="5350DBF5" w14:textId="77777777" w:rsidR="00670FD4" w:rsidRPr="008C6A37" w:rsidRDefault="00670FD4" w:rsidP="00670FD4">
      <w:pPr>
        <w:ind w:firstLine="567"/>
        <w:rPr>
          <w:lang w:val="ro-RO"/>
        </w:rPr>
      </w:pPr>
      <w:r w:rsidRPr="008C6A37">
        <w:rPr>
          <w:lang w:val="ro-RO"/>
        </w:rPr>
        <w:t>•</w:t>
      </w:r>
      <w:r w:rsidRPr="008C6A37">
        <w:rPr>
          <w:lang w:val="ro-RO"/>
        </w:rPr>
        <w:tab/>
        <w:t>schimbarea folosinţei iazurilor, prin transformarea lor în poldere agricole a afectat semnificativ acvacultura. Pe de altă parte, eutrofizarea, poluarea şi unele fenomene naturale (seceta), precum şi lipsa tehnologiilor moderne au dus la scăderea productivităţii amenajărilor piscicole din Delta Dunării.</w:t>
      </w:r>
    </w:p>
    <w:p w14:paraId="601322D7" w14:textId="77777777" w:rsidR="00670FD4" w:rsidRPr="008C6A37" w:rsidRDefault="00670FD4" w:rsidP="00670FD4">
      <w:pPr>
        <w:ind w:firstLine="567"/>
        <w:rPr>
          <w:lang w:val="ro-RO"/>
        </w:rPr>
      </w:pPr>
      <w:r w:rsidRPr="008C6A37">
        <w:rPr>
          <w:i/>
          <w:lang w:val="ro-RO"/>
        </w:rPr>
        <w:t>Acvacultura</w:t>
      </w:r>
      <w:r w:rsidRPr="008C6A37">
        <w:rPr>
          <w:lang w:val="ro-RO"/>
        </w:rPr>
        <w:t xml:space="preserve"> în zona costieră se bazează preponderent pe activitatea de piscicultură de apă dulce (în lacuri deltaice și litorale) și salmastră (în lagune), în timp ce acvacultura marină pontică are o dezvoltare relativ recentă (Zaharia și colab., 2017). Pe baza programelor și recomandărilor UE și potențialului mariculturii s-au reluat activitățile de cercetare pentru dezvoltarea domeniului pe organisme acvatice cu mare plasticitate care suportă variații mari de temperatură, salinitate, densitate, hrană, precum și condiții de creștere în condiții dirijate, de captivitate (http://msp-platform.rmri.ro/marsplan.html). Un factor promotor pentru dezvoltarea acvaculturii marine îl constituie delimitarea zonelor alocate pentru acvacultură (AZA). La nivel național s-a realizat clasificarea apelor pentru calitatea moluștelor (clasa A) pentru trei zone, după cum urmează: a) zona 1, cuprinsă între Perișor și Chituc (Tulcea), cu o suprafață de circa 215 Mm</w:t>
      </w:r>
      <w:r w:rsidRPr="008C6A37">
        <w:rPr>
          <w:vertAlign w:val="superscript"/>
          <w:lang w:val="ro-RO"/>
        </w:rPr>
        <w:t>2</w:t>
      </w:r>
      <w:r w:rsidRPr="008C6A37">
        <w:rPr>
          <w:lang w:val="ro-RO"/>
        </w:rPr>
        <w:t>; b) zona 2, cuprinsă între Năvodari și portul Constanța (Baia Mamaia), circa 109 Mm</w:t>
      </w:r>
      <w:r w:rsidRPr="008C6A37">
        <w:rPr>
          <w:vertAlign w:val="superscript"/>
          <w:lang w:val="ro-RO"/>
        </w:rPr>
        <w:t>2</w:t>
      </w:r>
      <w:r w:rsidRPr="008C6A37">
        <w:rPr>
          <w:lang w:val="ro-RO"/>
        </w:rPr>
        <w:t>; zona 3, cuprinsă între Agigea și Mangalia, cu o suprafață de circa 10  Mm</w:t>
      </w:r>
      <w:r w:rsidRPr="008C6A37">
        <w:rPr>
          <w:vertAlign w:val="superscript"/>
          <w:lang w:val="ro-RO"/>
        </w:rPr>
        <w:t>2</w:t>
      </w:r>
      <w:r w:rsidRPr="008C6A37">
        <w:rPr>
          <w:lang w:val="ro-RO"/>
        </w:rPr>
        <w:t xml:space="preserve"> . </w:t>
      </w:r>
    </w:p>
    <w:p w14:paraId="592C6DF7" w14:textId="77777777" w:rsidR="00670FD4" w:rsidRPr="008C6A37" w:rsidRDefault="00670FD4" w:rsidP="00670FD4">
      <w:pPr>
        <w:ind w:firstLine="567"/>
        <w:rPr>
          <w:b/>
          <w:i/>
          <w:lang w:val="ro-RO"/>
        </w:rPr>
      </w:pPr>
      <w:r w:rsidRPr="008C6A37">
        <w:rPr>
          <w:b/>
          <w:i/>
          <w:lang w:val="ro-RO"/>
        </w:rPr>
        <w:t>Turism</w:t>
      </w:r>
    </w:p>
    <w:p w14:paraId="18839119" w14:textId="77777777" w:rsidR="00670FD4" w:rsidRPr="008C6A37" w:rsidRDefault="00670FD4" w:rsidP="00670FD4">
      <w:pPr>
        <w:ind w:firstLine="567"/>
        <w:rPr>
          <w:lang w:val="ro-RO"/>
        </w:rPr>
      </w:pPr>
      <w:r w:rsidRPr="008C6A37">
        <w:rPr>
          <w:lang w:val="ro-RO"/>
        </w:rPr>
        <w:t>Turismul, deși cu un pronunțat caracter sezonier, rămâne cel mai important sector economic din zona costieră. Zona turistică a litoralului românesc la Marea Neagră cuprinde 12 stațiuni turistice de interes național, plus alte 5 localități turistice litorale (Constanța, Tuzla, 23 August, 2 Mai și Vama Veche), toate situate în județul Constanța, la care se adaugă 5 localități turistice din județul Tulcea: comuna C.A. Rosetti, orașul Sulina, comunele Sfântu Gheorghe, Murighiol și Jurilovca, precum și comunele Corbu, Agigea, Tuzla, 23 August și Limanu, din județul Constanța.</w:t>
      </w:r>
    </w:p>
    <w:p w14:paraId="0A6222EF" w14:textId="77777777" w:rsidR="00670FD4" w:rsidRPr="008C6A37" w:rsidRDefault="00670FD4" w:rsidP="00670FD4">
      <w:pPr>
        <w:ind w:firstLine="567"/>
        <w:rPr>
          <w:lang w:val="ro-RO"/>
        </w:rPr>
      </w:pPr>
      <w:r>
        <w:rPr>
          <w:lang w:val="ro-RO"/>
        </w:rPr>
        <w:lastRenderedPageBreak/>
        <w:t>Conform INSS</w:t>
      </w:r>
      <w:r w:rsidRPr="008C6A37">
        <w:rPr>
          <w:lang w:val="ro-RO"/>
        </w:rPr>
        <w:t xml:space="preserve">E, în 2021, capacitatea de cazare turistică existentă a acestor stațiuni și localități costiere era de 92.901 de locuri, în 1207 structuri de primire turistică având funcțiuni de cazare turistică, reprezentând 13,2% din numărul de unități și respectiv 25,49 % din capacitatea de cazare turistică totală a României. Conform aceleași surse, în 2021, numărul turiștilor sosiți în zona costieră a României a fost de 1.312.084, reprezentând 14% din totalul turiștilor sosiți în România în anul respectiv. Dintre aceștia, majoritatea covârșitoare (95,78%) au fost cazați în stațiunile litorale din județul Constanța (cei mai mulți în stațiunile din municipiile Mangalia și Constanța) și doar 4,22% în localitățile costiere situate în județul Tulcea (cei mai mulți în Murighiol). </w:t>
      </w:r>
    </w:p>
    <w:p w14:paraId="71E2DCCC" w14:textId="77777777" w:rsidR="00670FD4" w:rsidRPr="008C6A37" w:rsidRDefault="00670FD4" w:rsidP="00670FD4">
      <w:pPr>
        <w:ind w:firstLine="567"/>
        <w:rPr>
          <w:lang w:val="ro-RO"/>
        </w:rPr>
      </w:pPr>
      <w:r w:rsidRPr="008C6A37">
        <w:rPr>
          <w:lang w:val="ro-RO"/>
        </w:rPr>
        <w:t>Numărul total al înnoptărilor înregistrate de turiștii cazați în zona costieră a României, în anul 2021, a fost de 4.629.706, reprezentând 22,22% din totalul turiștilor sosiți în România în anul respectiv. Dintre acestea, 4.506.772 de înnoptări au fost înregistrate în zona costieră aferentă județului Constanța, iar diferența de 55.318 înnoptări, au fost înregistrate în localitățile din zona costieră din județul Tulcea. Cel mai mare număr al înnoptărilor a fost înregistrat în stațiunile aparținând municipiului Mangalia (1.769.728), urmat de cele din municipiul Constanța, incluzând și stațiunea Mamaia (416.012) și de cele din orașul Eforie (809.868).</w:t>
      </w:r>
    </w:p>
    <w:p w14:paraId="273D843C" w14:textId="77777777" w:rsidR="00670FD4" w:rsidRPr="008C6A37" w:rsidRDefault="00670FD4" w:rsidP="00670FD4">
      <w:pPr>
        <w:ind w:firstLine="567"/>
        <w:rPr>
          <w:lang w:val="ro-RO"/>
        </w:rPr>
      </w:pPr>
      <w:r w:rsidRPr="008C6A37">
        <w:rPr>
          <w:lang w:val="ro-RO"/>
        </w:rPr>
        <w:t>Concentrarea activității turistice în perioada de vară (2-3 luni), respectiv sezonalitatea ridicată a acestei activități, determină o presiune considerabilă exercitată asupra ecosistemului costier, prin introducerea, în primul rând de deșeuri, poluanți atmosferici (intensificarea traficului rutier și fluvial), zgomot, agenți patogeni, prin degradarea peisajului, a capitalului cultural, etc. Dacă în Delta Dunării presiunea nu este atât de ridicată, pe de o parte datorită numărului semnificativ mai scăzut de vizitatori, iar pe de altă parte datorită reglementărilor impuse de către ARBDD cu privire la activitățile din Delta Dunării, în partea sudică a zonei costiere turismul de masă are efecte negative semnificative asupra mediului. Pe plan social, caracterul strict sezonier al locurilor de muncă din industria turismului în zona costieră face ca cererea de locuri de muncă să fie redusă, sub ofertă, ceea ce determină în cele din urmă scăderea calității serviciilor oferite.</w:t>
      </w:r>
    </w:p>
    <w:p w14:paraId="7E06AAAA" w14:textId="77777777" w:rsidR="00670FD4" w:rsidRPr="008C6A37" w:rsidRDefault="00670FD4" w:rsidP="00670FD4">
      <w:pPr>
        <w:ind w:firstLine="567"/>
        <w:rPr>
          <w:lang w:val="ro-RO"/>
        </w:rPr>
      </w:pPr>
      <w:r w:rsidRPr="008C6A37">
        <w:rPr>
          <w:lang w:val="ro-RO"/>
        </w:rPr>
        <w:t xml:space="preserve">Problema sezonalității ridicate a turismului poate fi contracarată printr-o diversificare a ofertei turistice, prin promovarea turismului de evenimente, a turismului cultural, a pesca-turismului, turismului rural și gastronomic în partea nordică a zonei costiere (Delta Dunării) și turismul de aventură, cel balneo-medical, de organizare a unor manifestări expoziționale, precum și cel de evenimente culturale și de reuniuni în sudul litoralului. </w:t>
      </w:r>
    </w:p>
    <w:p w14:paraId="60CE36CA" w14:textId="77777777" w:rsidR="00670FD4" w:rsidRPr="008C6A37" w:rsidRDefault="00670FD4" w:rsidP="00670FD4">
      <w:pPr>
        <w:ind w:firstLine="567"/>
        <w:rPr>
          <w:lang w:val="ro-RO"/>
        </w:rPr>
      </w:pPr>
      <w:r w:rsidRPr="008C6A37">
        <w:rPr>
          <w:lang w:val="ro-RO"/>
        </w:rPr>
        <w:t xml:space="preserve">Printre cele mai grave probleme cu care s-a confruntat în ultima perioadă turismul în zona costieră, în special în partea sa sudică unde se practică un turism de masă, sunt, pe de-o parte, scăderea aproape continuă a duratei medii a sejurului petrecut de turiști, iar pe de altă parte reducerea drastică a sosirilor turiștilor străini. Slaba promovare turistică constituie principala cauză a reducerii semnificative a numărului de turiști străini, fiind necesare, în mod evident, îmbunătățirea ofertei turistice a litoralului românesc, dar și reluarea campaniilor de promovare turistică a acestei oferte pe piețe țintă europene. </w:t>
      </w:r>
    </w:p>
    <w:p w14:paraId="6218C71C" w14:textId="77777777" w:rsidR="00670FD4" w:rsidRPr="008C6A37" w:rsidRDefault="00670FD4" w:rsidP="00670FD4">
      <w:pPr>
        <w:ind w:firstLine="567"/>
        <w:rPr>
          <w:lang w:val="ro-RO"/>
        </w:rPr>
      </w:pPr>
      <w:r w:rsidRPr="008C6A37">
        <w:rPr>
          <w:lang w:val="ro-RO"/>
        </w:rPr>
        <w:t xml:space="preserve">Alte probleme legate de dezvoltarea turismului în zona costieră sunt legate de alte sectoare economice, precum transportul. Îmbunătățirea infrastructurii de transport feroviar, oferirea de alternative la transportul rutier, organizarea de curse aeriene charter pentru turiști, </w:t>
      </w:r>
      <w:r w:rsidRPr="008C6A37">
        <w:rPr>
          <w:lang w:val="ro-RO"/>
        </w:rPr>
        <w:lastRenderedPageBreak/>
        <w:t xml:space="preserve">care să opereze pe Aeroportul M. Kogălniceanu Constanța și pe cel din Tulcea, precum și creșterea numărului de nave de pasageri cu escale mai lungi în portul Constanța pot contribui la sporirea atractivității și extinderea duratei sezonului turistic și, implicit, creșterea veniturilor. </w:t>
      </w:r>
    </w:p>
    <w:p w14:paraId="6B9B744E" w14:textId="77777777" w:rsidR="00670FD4" w:rsidRPr="008C6A37" w:rsidRDefault="00670FD4" w:rsidP="00670FD4">
      <w:pPr>
        <w:ind w:firstLine="567"/>
        <w:rPr>
          <w:b/>
          <w:i/>
          <w:lang w:val="ro-RO"/>
        </w:rPr>
      </w:pPr>
      <w:r w:rsidRPr="008C6A37">
        <w:rPr>
          <w:b/>
          <w:i/>
          <w:lang w:val="ro-RO"/>
        </w:rPr>
        <w:t>Transport</w:t>
      </w:r>
    </w:p>
    <w:p w14:paraId="45C9CD32" w14:textId="77777777" w:rsidR="00670FD4" w:rsidRPr="008C6A37" w:rsidRDefault="00670FD4" w:rsidP="00670FD4">
      <w:pPr>
        <w:ind w:firstLine="567"/>
        <w:rPr>
          <w:lang w:val="ro-RO"/>
        </w:rPr>
      </w:pPr>
      <w:r w:rsidRPr="008C6A37">
        <w:rPr>
          <w:lang w:val="ro-RO"/>
        </w:rPr>
        <w:t>Rețeaua de transport care conectează unitățile administrativ-teritoriale din zona costieră include transportul naval și terestru (rutier și feroviar) servind fluxurile de mărfuri și pasageri aferentei acestora.</w:t>
      </w:r>
    </w:p>
    <w:p w14:paraId="69D1D08D" w14:textId="77777777" w:rsidR="00670FD4" w:rsidRPr="008C6A37" w:rsidRDefault="00670FD4" w:rsidP="00670FD4">
      <w:pPr>
        <w:ind w:firstLine="567"/>
        <w:rPr>
          <w:lang w:val="ro-RO"/>
        </w:rPr>
      </w:pPr>
      <w:r w:rsidRPr="008C6A37">
        <w:rPr>
          <w:lang w:val="ro-RO"/>
        </w:rPr>
        <w:t>Pe teritoriul zonei costiere, în partea nordică, aferentă județului Tulcea, rețeaua de drumuri publice cuprinde doar drumuri județene și comunale, în timp ce în partea sudică, aferentă județului Constanța, rețeaua de drumuri publice este mult mai complexă, incluzând toate categoriile de drumuri (autostradă, drumuri naționale, drumuri județene și drumuri comunale). Principalele probleme referitoare la transportul terestru se referă atât la infrastructură, cât și la mijloacele de transport. Infrastructura de transport terestru este departe de a fi una optimă din punct de vedere al teritoriilor şi funcţionalităţilor deservite, în special în partea de nord a zonei costiere. Deși mai bine dezvoltată în sudul zonei costiere, infrastructura actuală nu acoperă adecvat fluxul de trafic rutier în sezonul turistic. Aceasta, corelată cu numărul ridicat de mijloace de transport ce folosesc combustibili fosili și care în mare parte sunt vechi, poluante, conduc la o intensificare semnificativă a poluării atmosferice și fonice.</w:t>
      </w:r>
    </w:p>
    <w:p w14:paraId="313AA5D0" w14:textId="77777777" w:rsidR="00670FD4" w:rsidRPr="008C6A37" w:rsidRDefault="00670FD4" w:rsidP="00670FD4">
      <w:pPr>
        <w:ind w:firstLine="567"/>
        <w:rPr>
          <w:lang w:val="ro-RO"/>
        </w:rPr>
      </w:pPr>
      <w:r w:rsidRPr="008C6A37">
        <w:rPr>
          <w:lang w:val="ro-RO"/>
        </w:rPr>
        <w:t>Referitor la transportul feroviar, rețeaua acestuia în partea nordică a zonei costiere este ca și inexistentă. În partea sudică, transportul feroviar se desfășoară pe o magistrală CFR (magistrala 800 București Nord-Constanța-Mangalia) și căi ferate secundare, dedicate atât transportului de pasageri, cât și celui de marfă. Transportul feroviar în sudul zonei costiere nu oferă încă o alternativă viabilă la transportul rutier. Mai mult, numărul redus de kilometri de cale ferată electrificată determină ca folosirea combustibililor fosili să contribuie la creșterea emisiilor poluante în atmosferă.</w:t>
      </w:r>
    </w:p>
    <w:p w14:paraId="31F7E851" w14:textId="77777777" w:rsidR="00670FD4" w:rsidRPr="008C6A37" w:rsidRDefault="00670FD4" w:rsidP="00670FD4">
      <w:pPr>
        <w:ind w:firstLine="567"/>
        <w:rPr>
          <w:lang w:val="ro-RO"/>
        </w:rPr>
      </w:pPr>
      <w:r w:rsidRPr="008C6A37">
        <w:rPr>
          <w:lang w:val="ro-RO"/>
        </w:rPr>
        <w:t xml:space="preserve">Traficul maritim este concentrat în zona portului maritim Constanța, dar și în zona porturilor situate pe sectorul maritim al Dunării. În general, traficul maritim se concentrează în zona litoralului sudic şi gurile Dunării, rutele fiind spre principalele porturi din Marea Neagră, în special spre Bosfor, și este reprezentat în general de nave tip vrachier, tanc și portcontainer (INCDM, 2022). </w:t>
      </w:r>
    </w:p>
    <w:p w14:paraId="0E983768" w14:textId="77777777" w:rsidR="00670FD4" w:rsidRPr="008C6A37" w:rsidRDefault="00670FD4" w:rsidP="00670FD4">
      <w:pPr>
        <w:ind w:firstLine="567"/>
        <w:rPr>
          <w:lang w:val="ro-RO"/>
        </w:rPr>
      </w:pPr>
      <w:r w:rsidRPr="008C6A37">
        <w:rPr>
          <w:lang w:val="ro-RO"/>
        </w:rPr>
        <w:t>În prezent, Master Planul Portului Constanţa, aflat în curs de actualizare, prevede o serie de proiecte menite a-i spori capacitatea de acomodare a navelor de tonaj mare şi de dezvoltare a transportului multimodal, în paralel cu modernizarea infrastructurii şi suprastructurii. Îmbunătățirea infrastructurii feroviare din port și a conexiunilor feroviare cu acesta este unul dintre proiectele importante de care depinde dezvoltarea transportului naval în zonă. De asemenea, portul trebuie să asigure în timp relativ scurt capacitatea de aprovizionare cu LNG a navelor și să ia în considerare în dezvoltările sale schimbările din sectorul energetic din regiune.</w:t>
      </w:r>
    </w:p>
    <w:p w14:paraId="00924B4E" w14:textId="77777777" w:rsidR="00670FD4" w:rsidRPr="008C6A37" w:rsidRDefault="00670FD4" w:rsidP="00670FD4">
      <w:pPr>
        <w:ind w:firstLine="567"/>
        <w:rPr>
          <w:lang w:val="ro-RO"/>
        </w:rPr>
      </w:pPr>
      <w:r w:rsidRPr="008C6A37">
        <w:rPr>
          <w:lang w:val="ro-RO"/>
        </w:rPr>
        <w:t xml:space="preserve">În ceea ce privește traficul naval pe brațele Dunării, se observă o creștere semnificativă în 2022 a numărului de nave ce au tranzitat Canalul Sulina, în special pentru nave cu tonaj peste 3000 tdw, în strânsă legătură cu conflictul armat generat de agresiunea Rusiei asupra </w:t>
      </w:r>
      <w:r w:rsidRPr="008C6A37">
        <w:rPr>
          <w:lang w:val="ro-RO"/>
        </w:rPr>
        <w:lastRenderedPageBreak/>
        <w:t xml:space="preserve">Ucrainei. Spre deosebire de traficul de mărfuri, dinamica numărului de pasageri pe cele trei brațe ale Dunării, către localitățile Sulina, Periprava și Sfântu Gheorghe, este într-o scădere continuă în ultimii 10 ani, iar cauzele sunt numărul în creștere a celor care aleg să meargă cu ambarcațiuni private, contextul pandemic, etc.   </w:t>
      </w:r>
    </w:p>
    <w:p w14:paraId="075F9D7F" w14:textId="77777777" w:rsidR="00670FD4" w:rsidRPr="008C6A37" w:rsidRDefault="00670FD4" w:rsidP="00670FD4">
      <w:pPr>
        <w:ind w:firstLine="567"/>
        <w:rPr>
          <w:b/>
          <w:i/>
          <w:lang w:val="ro-RO"/>
        </w:rPr>
      </w:pPr>
      <w:r w:rsidRPr="008C6A37">
        <w:rPr>
          <w:b/>
          <w:i/>
          <w:lang w:val="ro-RO"/>
        </w:rPr>
        <w:t xml:space="preserve">Activități portuare </w:t>
      </w:r>
    </w:p>
    <w:p w14:paraId="7A29C06A" w14:textId="77777777" w:rsidR="00670FD4" w:rsidRPr="008C6A37" w:rsidRDefault="00670FD4" w:rsidP="00670FD4">
      <w:pPr>
        <w:ind w:firstLine="567"/>
        <w:rPr>
          <w:lang w:val="ro-RO"/>
        </w:rPr>
      </w:pPr>
      <w:r w:rsidRPr="008C6A37">
        <w:rPr>
          <w:i/>
          <w:lang w:val="ro-RO"/>
        </w:rPr>
        <w:t>Portul Constanța</w:t>
      </w:r>
      <w:r w:rsidRPr="008C6A37">
        <w:rPr>
          <w:lang w:val="ro-RO"/>
        </w:rPr>
        <w:t xml:space="preserve"> include zonele Constanța, Midia, Mangalia și Basarabi (aceasta situată în afara zonei de studiu), împreună constituind complexul portuar maritim românesc aflat în administrarea CN APM S.A.</w:t>
      </w:r>
    </w:p>
    <w:p w14:paraId="2EC79F74" w14:textId="77777777" w:rsidR="00670FD4" w:rsidRPr="008C6A37" w:rsidRDefault="00670FD4" w:rsidP="00670FD4">
      <w:pPr>
        <w:ind w:firstLine="567"/>
        <w:rPr>
          <w:lang w:val="ro-RO"/>
        </w:rPr>
      </w:pPr>
      <w:r w:rsidRPr="008C6A37">
        <w:rPr>
          <w:lang w:val="ro-RO"/>
        </w:rPr>
        <w:t>Portul Constanța – zona Constanța acoperă o suprafață totală de 3.926 ha, din care 1.313 ha uscat și 2.613 ha apă și dispune de 140 dane operaționale, dintr-un total de 156. Lungimea totală a cheurilor este de 32 km, iar adâncimile variază între 7 și 19 m (</w:t>
      </w:r>
      <w:hyperlink r:id="rId15">
        <w:r w:rsidRPr="008C6A37">
          <w:rPr>
            <w:rStyle w:val="Hyperlink"/>
            <w:lang w:val="ro-RO"/>
          </w:rPr>
          <w:t>https://www.portofconstantza.com/pn/page/np_prezentare_port</w:t>
        </w:r>
      </w:hyperlink>
      <w:r w:rsidRPr="008C6A37">
        <w:rPr>
          <w:lang w:val="ro-RO"/>
        </w:rPr>
        <w:t xml:space="preserve">). Aceste caracteristici sunt comparabile cu cele oferite de către cele mai importante porturi europene și internaționale, permițând accesul navelor tanc cu capacitatea de 165.000 dwt și a vrachierelor cu capacitatea de 220.000 dwt. </w:t>
      </w:r>
    </w:p>
    <w:p w14:paraId="3B3CE774" w14:textId="77777777" w:rsidR="00670FD4" w:rsidRPr="008C6A37" w:rsidRDefault="00670FD4" w:rsidP="00670FD4">
      <w:pPr>
        <w:ind w:firstLine="567"/>
        <w:rPr>
          <w:lang w:val="ro-RO"/>
        </w:rPr>
      </w:pPr>
      <w:r w:rsidRPr="008C6A37">
        <w:rPr>
          <w:lang w:val="ro-RO"/>
        </w:rPr>
        <w:t xml:space="preserve">Portul Constanța este atât port maritim, cât și port fluvial, facilitățile permițând acostarea oricărui tip de navă fluvială. Legătura Portului Constanța cu Dunărea se realizează prin Canalul Dunăre - Marea Neagră și reprezintă unul dintre principalele avantaje ale Portului Constanța. </w:t>
      </w:r>
    </w:p>
    <w:p w14:paraId="2A881D77" w14:textId="77777777" w:rsidR="00670FD4" w:rsidRPr="008C6A37" w:rsidRDefault="00670FD4" w:rsidP="00670FD4">
      <w:pPr>
        <w:ind w:firstLine="567"/>
        <w:rPr>
          <w:lang w:val="ro-RO"/>
        </w:rPr>
      </w:pPr>
      <w:r w:rsidRPr="008C6A37">
        <w:rPr>
          <w:lang w:val="ro-RO"/>
        </w:rPr>
        <w:t>Portul dispune terminale specializate de: vrac lichid, vrac solid (minereu, cărbune și cocs, produse chimice și îngrășăminte, cereale, ciment vrac și materiale de construcții, alte mărfuri vrac solid), containere, mărfuri generale (produse chimice și îngrășăminte, produse alimentare, cherestea și alte produse din lemn, produse metalice, alte mărfuri generale), RO-RO / FERRY, pasageri, barje nepropulsate și remorchere fluviale și gaz petrolier lichefiat.</w:t>
      </w:r>
    </w:p>
    <w:p w14:paraId="42DF2D48" w14:textId="77777777" w:rsidR="00670FD4" w:rsidRPr="008C6A37" w:rsidRDefault="00670FD4" w:rsidP="00670FD4">
      <w:pPr>
        <w:ind w:firstLine="567"/>
        <w:rPr>
          <w:lang w:val="ro-RO"/>
        </w:rPr>
      </w:pPr>
      <w:r w:rsidRPr="008C6A37">
        <w:rPr>
          <w:lang w:val="ro-RO"/>
        </w:rPr>
        <w:t>Portul Constanța – zona Midia pune la dispoziție facilitățile pentru centrul industrial și petrochimic adiacent. Portul, cu o suprafață totală de 834 ha, dispune de 14 dane (11 sunt dane operaționale, iar 3 dane sunt destinate întreținerii și reparațiilor de nave). Principalele categorii de mărfuri operate sunt: petrol brut și produse derivate, GPL, mărfuri generale și animale vii. În zona Midia se află și o bază de operațiuni pentru forările offshore care se realizează în sectorul românesc al Mării Negre.</w:t>
      </w:r>
    </w:p>
    <w:p w14:paraId="06D8EED6" w14:textId="77777777" w:rsidR="00670FD4" w:rsidRPr="008C6A37" w:rsidRDefault="00670FD4" w:rsidP="00670FD4">
      <w:pPr>
        <w:ind w:firstLine="567"/>
        <w:rPr>
          <w:lang w:val="ro-RO"/>
        </w:rPr>
      </w:pPr>
      <w:r w:rsidRPr="008C6A37">
        <w:rPr>
          <w:lang w:val="ro-RO"/>
        </w:rPr>
        <w:t>Portul Constanța – zona Mangalia are o suprafață de 142,19 ha și dispune de 4 dane (2 fiind dane operaționale). Principalele categorii de mărfuri operate sunt bitum, mărfuri generale și GPL.</w:t>
      </w:r>
    </w:p>
    <w:p w14:paraId="4B4F4CC0" w14:textId="77777777" w:rsidR="00670FD4" w:rsidRPr="008C6A37" w:rsidRDefault="00670FD4" w:rsidP="00670FD4">
      <w:pPr>
        <w:ind w:firstLine="567"/>
        <w:rPr>
          <w:lang w:val="ro-RO"/>
        </w:rPr>
      </w:pPr>
      <w:r w:rsidRPr="008C6A37">
        <w:rPr>
          <w:lang w:val="ro-RO"/>
        </w:rPr>
        <w:t>Traficul de mărfuri în porturile maritime a cunoscut în ultima perioadă o creștere semnificativă datorită preluării a unei mari părți din traficul porturilor ucrainiene, situație generată de conflictul militar din zonă. Structura mărfurilor operate în porturile maritime acoperă toate categoriile de mărfuri având în vedere diversitatea terminalelor disponibile. Totuși, trebuie remarcată evoluția clar ascendentă din ultima perioadă a operării mărfurilor solide în vrac, cu predilecție a cerealelor, precum și a produselor vrac lichid, mai precis petrol brut și produse petroliere. Această evoluție a fost accelerată de situația din Ucraina, însă ea se manifestase cu pregnanță și înainte de izbucnirea conflictului.</w:t>
      </w:r>
    </w:p>
    <w:p w14:paraId="3C4046C1" w14:textId="77777777" w:rsidR="00670FD4" w:rsidRPr="008C6A37" w:rsidRDefault="00670FD4" w:rsidP="00670FD4">
      <w:pPr>
        <w:ind w:firstLine="567"/>
        <w:rPr>
          <w:lang w:val="ro-RO"/>
        </w:rPr>
      </w:pPr>
      <w:r w:rsidRPr="008C6A37">
        <w:rPr>
          <w:i/>
          <w:lang w:val="ro-RO"/>
        </w:rPr>
        <w:lastRenderedPageBreak/>
        <w:t>Portul Sulina</w:t>
      </w:r>
      <w:r w:rsidRPr="008C6A37">
        <w:rPr>
          <w:lang w:val="ro-RO"/>
        </w:rPr>
        <w:t xml:space="preserve"> este amplasat pe malul drept al Canalului Sulina, în zona orașului. În ultima perioada, în contextul conflictului dintre Ucraina și Federația Rusă, importanța portului a crescut semnificativ, construcțiile portuare asigură cu greu, în prezent, condiții pentru acostarea navelor maritime care intră și ies de pe Canalul Sulina, precum și a navelor care deservesc traficul local de mărfuri și pasageri.</w:t>
      </w:r>
    </w:p>
    <w:p w14:paraId="08E72E43" w14:textId="77777777" w:rsidR="00670FD4" w:rsidRPr="008C6A37" w:rsidRDefault="00670FD4" w:rsidP="00670FD4">
      <w:pPr>
        <w:ind w:firstLine="567"/>
        <w:rPr>
          <w:b/>
          <w:i/>
          <w:lang w:val="ro-RO"/>
        </w:rPr>
      </w:pPr>
      <w:r w:rsidRPr="008C6A37">
        <w:rPr>
          <w:b/>
          <w:i/>
          <w:lang w:val="ro-RO"/>
        </w:rPr>
        <w:t>Agricultura</w:t>
      </w:r>
    </w:p>
    <w:p w14:paraId="27E67325" w14:textId="77777777" w:rsidR="00670FD4" w:rsidRPr="008C6A37" w:rsidRDefault="00670FD4" w:rsidP="00670FD4">
      <w:pPr>
        <w:ind w:firstLine="567"/>
        <w:rPr>
          <w:lang w:val="ro-RO"/>
        </w:rPr>
      </w:pPr>
      <w:r w:rsidRPr="008C6A37">
        <w:rPr>
          <w:lang w:val="ro-RO"/>
        </w:rPr>
        <w:t>Agricultura este unul dintre cele mai importante sectoare economice din zona costieră, terenurile cultivate cu culturi agricole însumând o suprafață totală de 134.000 ha (37,55% din terenurile zonei costiere) conform datelor furnizate de JRC pentru anul 2018 (D`Andrimont și colab., 2021).  Dintre acestea, suprafața cea mai mare o ocupă terenurilor ocupate cu culturi cerealiere, 42,8% din totalul terenurilor agricole, după care urmează terenurile acoperite cu vegetație ierboasă (24,6%), culturile oleaginoase (16,9 %) și plantațiile multianuale de pomi și arbuști fructiferi (13,8 %).</w:t>
      </w:r>
    </w:p>
    <w:p w14:paraId="4EDC0BC3" w14:textId="77777777" w:rsidR="00670FD4" w:rsidRPr="008C6A37" w:rsidRDefault="00670FD4" w:rsidP="00670FD4">
      <w:pPr>
        <w:ind w:firstLine="567"/>
        <w:rPr>
          <w:lang w:val="ro-RO"/>
        </w:rPr>
      </w:pPr>
      <w:r w:rsidRPr="008C6A37">
        <w:rPr>
          <w:lang w:val="ro-RO"/>
        </w:rPr>
        <w:t>Repartiția geografică a terenurilor cultivate nu este uniformă, cea mai mare parte a terenurilor cultivate fiind concentrate în partea sudică și centrală a zonei de studiu (peste 60 %). Suprafețele totale agricole la nivelul celor două județe din zona costieră au rămas relativ constante în ultimii ani. Totuși, referitor la categoriile de folosință, dacă în județul Constanța suprafețele au rămas constante pe categoriile de folosință cu destinație agricolă, respectiv arabil, pășuni, fânețe, vii și livezi, pentru județul Tulcea este observată o ușoară tendință de creștere la arabil, creștere realizată în detrimentul suprafețelor cu vii și livezi.</w:t>
      </w:r>
    </w:p>
    <w:p w14:paraId="6ABC0FF4" w14:textId="77777777" w:rsidR="00670FD4" w:rsidRPr="008C6A37" w:rsidRDefault="00670FD4" w:rsidP="00670FD4">
      <w:pPr>
        <w:ind w:firstLine="567"/>
        <w:rPr>
          <w:lang w:val="ro-RO"/>
        </w:rPr>
      </w:pPr>
      <w:r w:rsidRPr="008C6A37">
        <w:rPr>
          <w:lang w:val="ro-RO"/>
        </w:rPr>
        <w:t xml:space="preserve">Având în vedere, ponderea mare a acestui sector în economia UAT-urilor din zona costieră, agricultura reprezintă una dintre cele mai importante surse difuze de introducere a materiei organice, compușilor cu azot și fosfor, contaminanți în sol, subsol şi ape, în special în partea sudică a zonei de studiu. Practicile agricole defectuoase, monocultura fiind pe primul loc, influențează negativ atât calitatea solurilor, cât și calitatea apelor de suprafața și subterane prin utilizarea excesivă de substanțe chimice (fertilizanți și pesticide). </w:t>
      </w:r>
    </w:p>
    <w:p w14:paraId="4BBCF4DB" w14:textId="77777777" w:rsidR="00670FD4" w:rsidRPr="008C6A37" w:rsidRDefault="00670FD4" w:rsidP="00670FD4">
      <w:pPr>
        <w:ind w:firstLine="567"/>
        <w:rPr>
          <w:lang w:val="ro-RO"/>
        </w:rPr>
      </w:pPr>
      <w:r w:rsidRPr="008C6A37">
        <w:rPr>
          <w:lang w:val="ro-RO"/>
        </w:rPr>
        <w:t>Principalele amenințări pentru agricultură în Dobrogea sunt seceta și aridizarea, prin urmare, obținerea unor producții satisfăcătoare este dependentă în primul rând de irigaţii. Deși, statistic, peste 70 % din suprafaţa agricolă este amenajată pentru irigaţii, doar 10 % din aceasta se poate iriga efectiv, astfel încât se ajunge la o suprafață mare de terenuri agricole calamitată din cauza secetei. Așadar, este imperios necesară extinderea urgentă a sistemului de irigații funcțional, asigurarea necesarului de apă fiind una dintre măsurile de primă importanță. Totuși, în condițiile secetei tot mai accentuate, extinderea și îmbunătățirea sistemului de irigații reprezintă o soluție parțială și destul de costisitoare.</w:t>
      </w:r>
    </w:p>
    <w:p w14:paraId="2B0A6102" w14:textId="77777777" w:rsidR="00670FD4" w:rsidRPr="008C6A37" w:rsidRDefault="00670FD4" w:rsidP="00670FD4">
      <w:pPr>
        <w:ind w:firstLine="567"/>
        <w:rPr>
          <w:lang w:val="ro-RO"/>
        </w:rPr>
      </w:pPr>
      <w:r w:rsidRPr="008C6A37">
        <w:rPr>
          <w:lang w:val="ro-RO"/>
        </w:rPr>
        <w:t>Dezvoltarea unei “agriculturi inteligente” este o necesitate pentru dezvoltarea în continuare a acestui sector. Creșterea capacității de monitorizare a condițiilor meteo la o scară cât mai redusă (local) și integrarea datelor în diverse sisteme de modelare, prognoză poate oferi fermierilor recomandări de irigare și fertilizare până la recoltare. Aplicarea pe scară mai largă a diversificării producției agricole este de asemenea necesară pentru a combate efectele secetei, permițând anumitor culturi să evite perioadele de vreme caldă sau uscată în fazele lor cele mai sensibile.</w:t>
      </w:r>
    </w:p>
    <w:p w14:paraId="48384F56" w14:textId="77777777" w:rsidR="00670FD4" w:rsidRPr="008C6A37" w:rsidRDefault="00670FD4" w:rsidP="00670FD4">
      <w:pPr>
        <w:ind w:firstLine="567"/>
        <w:rPr>
          <w:b/>
          <w:i/>
          <w:lang w:val="ro-RO"/>
        </w:rPr>
      </w:pPr>
      <w:r w:rsidRPr="008C6A37">
        <w:rPr>
          <w:b/>
          <w:i/>
          <w:lang w:val="ro-RO"/>
        </w:rPr>
        <w:lastRenderedPageBreak/>
        <w:t>Industrie</w:t>
      </w:r>
    </w:p>
    <w:p w14:paraId="33486644" w14:textId="77777777" w:rsidR="00670FD4" w:rsidRPr="008C6A37" w:rsidRDefault="00670FD4" w:rsidP="00670FD4">
      <w:pPr>
        <w:ind w:firstLine="567"/>
        <w:rPr>
          <w:lang w:val="ro-RO"/>
        </w:rPr>
      </w:pPr>
      <w:r w:rsidRPr="008C6A37">
        <w:rPr>
          <w:lang w:val="ro-RO"/>
        </w:rPr>
        <w:t>Activitatea industrială în zona costieră se focalizează în partea sa sudică, în partea nordică, aferentă județului Tulcea, fiind nesemnificativă. Principalele ramuri industriale, potențial generatoare de impact asupra componentelor mediului și bunăstării comunității costiere sunt industria petrochimică, industria extractivă, construcții și întreținere de nave și industria materialelor de construcții.</w:t>
      </w:r>
    </w:p>
    <w:p w14:paraId="7B88183D" w14:textId="77777777" w:rsidR="00670FD4" w:rsidRPr="008C6A37" w:rsidRDefault="00670FD4" w:rsidP="00670FD4">
      <w:pPr>
        <w:ind w:firstLine="567"/>
        <w:rPr>
          <w:lang w:val="ro-RO"/>
        </w:rPr>
      </w:pPr>
      <w:r w:rsidRPr="008C6A37">
        <w:rPr>
          <w:lang w:val="ro-RO"/>
        </w:rPr>
        <w:t>Industria petrochimică în zona costieră este reprezentată de Rompetrol Rafinare SA (membră a KMG International) care realizează operațiuni de producție produse petroliere și petrochimice în următoarele unități: Rafinăria Petromidia (benzină, motorină, combustibil pentru avioane) și Uzina Petrochimică (HDPE, LDPE, PP). Industria de construcții și întreținere de nave este reprezentată de Șantierul Naval Constanța (principalul șantier de reparații și proiecte conversie din Marea Mediterană și Marea Neagră), Șantierul Naval Damen Mangalia și, Șantierul Naval Mangalia S.A. În ceea ce privește industria extractivă în zona costieră, aceasta se rezumă la exploatarea calcarului industrial și de construcții (în zona lacului Tașaul – Luminița) și la extragerea nisipului, care totuși nu este o activitate cu caracter permanent în zona costieră, această activitate fiind determinată de implementarea Master Planului “Protecția și Reabilitarea Zonei Costiere”. Industria materialelor de construcții a luat o oarecare amploare în ultima perioadă în zona costieră, în contextul expansiunii urbane semnificative.</w:t>
      </w:r>
    </w:p>
    <w:p w14:paraId="2F16DEB0" w14:textId="77777777" w:rsidR="00670FD4" w:rsidRPr="008C6A37" w:rsidRDefault="00670FD4" w:rsidP="00670FD4">
      <w:pPr>
        <w:ind w:firstLine="567"/>
        <w:rPr>
          <w:lang w:val="ro-RO"/>
        </w:rPr>
      </w:pPr>
      <w:r w:rsidRPr="008C6A37">
        <w:rPr>
          <w:lang w:val="ro-RO"/>
        </w:rPr>
        <w:t xml:space="preserve">Aceste activități industriale, în condițiile nerespectării legislației în vigoare privind prevenirea și controlul integrat al poluării asupra mediului, inclusiv managementul deșeurilor, pot genera un impact negativ considerabil asupra calității aerului, apei și solurilor, biodiversității, precum și sănătății populației. </w:t>
      </w:r>
    </w:p>
    <w:p w14:paraId="1B69C99A" w14:textId="77777777" w:rsidR="00670FD4" w:rsidRPr="008C6A37" w:rsidRDefault="00670FD4" w:rsidP="00670FD4">
      <w:pPr>
        <w:ind w:firstLine="567"/>
        <w:rPr>
          <w:i/>
          <w:lang w:val="ro-RO"/>
        </w:rPr>
      </w:pPr>
      <w:r w:rsidRPr="008C6A37">
        <w:rPr>
          <w:b/>
          <w:i/>
          <w:lang w:val="ro-RO"/>
        </w:rPr>
        <w:t>Producerea de energie</w:t>
      </w:r>
    </w:p>
    <w:p w14:paraId="4467CD3F" w14:textId="77777777" w:rsidR="00670FD4" w:rsidRPr="008C6A37" w:rsidRDefault="00670FD4" w:rsidP="00670FD4">
      <w:pPr>
        <w:ind w:firstLine="567"/>
        <w:rPr>
          <w:lang w:val="ro-RO"/>
        </w:rPr>
      </w:pPr>
      <w:r w:rsidRPr="008C6A37">
        <w:rPr>
          <w:lang w:val="ro-RO"/>
        </w:rPr>
        <w:t>În prezent,</w:t>
      </w:r>
      <w:r w:rsidRPr="008C6A37">
        <w:rPr>
          <w:i/>
          <w:lang w:val="ro-RO"/>
        </w:rPr>
        <w:t xml:space="preserve"> </w:t>
      </w:r>
      <w:r w:rsidRPr="008C6A37">
        <w:rPr>
          <w:lang w:val="ro-RO"/>
        </w:rPr>
        <w:t>la nivelul zonei costiere, generarea de energie din surse regenerabile este aproape inexistentă. Energia termică este produsă fie la nivel centralizat, folosind combustibili fosili (Constanța, Mangalia și Năvodari), fie individual, preponderent, folosind centrale individuale pe gaz. Toate acestea determină o creștere a emisiilor de gaze poluante în atmosferă. Referitor la energia electrică, aceasta este produsă doar la nivel individual (folosind energia solară), parcurile eoliene și centrala nucleară de la Cernavodă, principale producătoare de energie din Dobrogea, fiind situate în afara zonei costiere.</w:t>
      </w:r>
    </w:p>
    <w:p w14:paraId="5D39BB7B" w14:textId="77777777" w:rsidR="00670FD4" w:rsidRPr="008C6A37" w:rsidRDefault="00670FD4" w:rsidP="00670FD4">
      <w:pPr>
        <w:ind w:firstLine="567"/>
        <w:rPr>
          <w:lang w:val="ro-RO"/>
        </w:rPr>
      </w:pPr>
      <w:r w:rsidRPr="008C6A37">
        <w:rPr>
          <w:lang w:val="ro-RO"/>
        </w:rPr>
        <w:t>Potențialul de producere a energiei alternative (eoliană, solară, valuri, etc.) este unul foarte ridicat în zona costieră, dar din păcate nu este utilizat. Prezenta strategie se aliniază celorlalte strategii și planuri în scopul promovării generării de energie alternativă folosind resursele regenerabile ale zonei costiere.</w:t>
      </w:r>
    </w:p>
    <w:p w14:paraId="0ADA5679" w14:textId="77777777" w:rsidR="00670FD4" w:rsidRPr="008C6A37" w:rsidRDefault="00670FD4" w:rsidP="00670FD4">
      <w:pPr>
        <w:ind w:firstLine="567"/>
        <w:rPr>
          <w:b/>
          <w:i/>
          <w:lang w:val="ro-RO"/>
        </w:rPr>
      </w:pPr>
      <w:r w:rsidRPr="008C6A37">
        <w:rPr>
          <w:b/>
          <w:i/>
          <w:lang w:val="ro-RO"/>
        </w:rPr>
        <w:t>Planificare spațială și dezvoltare urbană</w:t>
      </w:r>
    </w:p>
    <w:p w14:paraId="75340BF0" w14:textId="77777777" w:rsidR="00670FD4" w:rsidRPr="008C6A37" w:rsidRDefault="00670FD4" w:rsidP="00670FD4">
      <w:pPr>
        <w:ind w:firstLine="567"/>
        <w:rPr>
          <w:lang w:val="ro-RO"/>
        </w:rPr>
      </w:pPr>
      <w:r w:rsidRPr="008C6A37">
        <w:rPr>
          <w:lang w:val="ro-RO"/>
        </w:rPr>
        <w:t>Instrumentele de planificare spațială a teritoriului sunt de importanță majoră pentru managementul integrat al zonei costiere. Situația acestora este următoarea:</w:t>
      </w:r>
    </w:p>
    <w:p w14:paraId="68BAE7ED" w14:textId="77777777" w:rsidR="00670FD4" w:rsidRPr="008C6A37" w:rsidRDefault="00670FD4" w:rsidP="00670FD4">
      <w:pPr>
        <w:ind w:firstLine="567"/>
        <w:rPr>
          <w:lang w:val="ro-RO"/>
        </w:rPr>
      </w:pPr>
      <w:r w:rsidRPr="008C6A37">
        <w:rPr>
          <w:i/>
          <w:lang w:val="ro-RO"/>
        </w:rPr>
        <w:t xml:space="preserve">Planul de amenajare a teritoriului zonal - PATZ Zona Costieră (litoral) </w:t>
      </w:r>
      <w:r w:rsidRPr="008C6A37">
        <w:rPr>
          <w:lang w:val="ro-RO"/>
        </w:rPr>
        <w:t xml:space="preserve">nu a fost încă aprobat, deși a fost elaborat cu mult timp în urmă. </w:t>
      </w:r>
    </w:p>
    <w:p w14:paraId="6560651C" w14:textId="77777777" w:rsidR="00670FD4" w:rsidRPr="008C6A37" w:rsidRDefault="00670FD4" w:rsidP="00670FD4">
      <w:pPr>
        <w:ind w:firstLine="567"/>
        <w:rPr>
          <w:lang w:val="ro-RO"/>
        </w:rPr>
      </w:pPr>
      <w:r w:rsidRPr="008C6A37">
        <w:rPr>
          <w:i/>
          <w:lang w:val="ro-RO"/>
        </w:rPr>
        <w:lastRenderedPageBreak/>
        <w:t>Planuri de amenajare a teritoriului județelor</w:t>
      </w:r>
      <w:r w:rsidRPr="008C6A37">
        <w:rPr>
          <w:lang w:val="ro-RO"/>
        </w:rPr>
        <w:t xml:space="preserve"> </w:t>
      </w:r>
      <w:r w:rsidRPr="008C6A37">
        <w:rPr>
          <w:i/>
          <w:lang w:val="ro-RO"/>
        </w:rPr>
        <w:t>Constanța și Tulcea</w:t>
      </w:r>
      <w:r w:rsidRPr="008C6A37">
        <w:rPr>
          <w:lang w:val="ro-RO"/>
        </w:rPr>
        <w:t xml:space="preserve"> au fost elaborate în perioada 1996 – 1998,  cu mult înainte de aprobarea strategiei și a planului de management integrat al zonei costiere, astfel încât sunt necesare actualizări/modificări în consecință, în secțiunile privitoare la zona costieră. </w:t>
      </w:r>
    </w:p>
    <w:p w14:paraId="3E13C03C" w14:textId="77777777" w:rsidR="00670FD4" w:rsidRPr="008C6A37" w:rsidRDefault="00670FD4" w:rsidP="00670FD4">
      <w:pPr>
        <w:ind w:firstLine="567"/>
        <w:rPr>
          <w:lang w:val="ro-RO"/>
        </w:rPr>
      </w:pPr>
      <w:r w:rsidRPr="008C6A37">
        <w:rPr>
          <w:i/>
          <w:lang w:val="ro-RO"/>
        </w:rPr>
        <w:t xml:space="preserve">Planuri urbanistice generale - </w:t>
      </w:r>
      <w:r w:rsidRPr="008C6A37">
        <w:rPr>
          <w:lang w:val="ro-RO"/>
        </w:rPr>
        <w:t>din analiza situației planurilor urbanistice generale rezultă că ar putea fi considerate actuale doar planurile urbanistice generale  ale municipiul Mangalia și ale comunei Tuzla. Planurile urbanistice generale pentru UAT-urile Sfântu Gheorghe, Jurilovca, Istria, Năvodari și Eforie expiră chiar în acest an (2023). În prezent sunt 12 planuri urbanistice generale pentru care procedurile de actualizare sunt inițiate, acestea fiind în diverse etape de elaborare/aprobare. Dacă pentru sectorul nordic al zonei costiere, vechimea PUG-urilor poate că nu constituie o problemă foarte mare (eventual cu excepția orașului Sulina), în sectorul sudic, vechimea mare a PUG-urilor constituie o problemă în contextul  unui proces de dezvoltare dinamic și, în unele cazuri, accelerat și excesiv.</w:t>
      </w:r>
    </w:p>
    <w:p w14:paraId="16C28834" w14:textId="77777777" w:rsidR="00670FD4" w:rsidRPr="008C6A37" w:rsidRDefault="00670FD4" w:rsidP="00670FD4">
      <w:pPr>
        <w:ind w:firstLine="567"/>
        <w:rPr>
          <w:lang w:val="ro-RO"/>
        </w:rPr>
      </w:pPr>
      <w:r w:rsidRPr="008C6A37">
        <w:rPr>
          <w:lang w:val="ro-RO"/>
        </w:rPr>
        <w:t xml:space="preserve">În toate UAT-urile din zona costieră sunt prevăzute zone  de extindere a intravilanelor în vederea dezvoltării activităților deja existente și în unele cazuri chiar pentru activități noi legate de proximitatea liniei țărmului și a resurselor zonei costiere (cazul UAT Corbu), în principal cele turistice. </w:t>
      </w:r>
    </w:p>
    <w:p w14:paraId="3FEFF487" w14:textId="77777777" w:rsidR="00670FD4" w:rsidRPr="008C6A37" w:rsidRDefault="00670FD4" w:rsidP="00670FD4">
      <w:pPr>
        <w:ind w:firstLine="567"/>
        <w:rPr>
          <w:lang w:val="ro-RO"/>
        </w:rPr>
      </w:pPr>
      <w:r w:rsidRPr="008C6A37">
        <w:rPr>
          <w:lang w:val="ro-RO"/>
        </w:rPr>
        <w:t>În sectorul nordic, cea mai mare creștere (procent) este prevăzută la Sfântu Gheorghe (62,31%), urmat de C.A.Rosetti (18,89%) și Murighiol (16,51%), în timp ce în sectorul sudic cele mai mari procente de creștere au fost prevăzute la Costinești (97,70%), Tuzla (68,06%) și Năvodari (56,34%). Pentru Agigea, deși nu există date disponibile referitoare la suprafața intravilanul existent la data actualizării PUG (2009), extinderea aprobată este consistentă. Techirghiol și Năvodari au documentații de actualizare PUG în curs de avizare și conform datelor disponibile în sunt prevăzute noi extinderi ale intravilanului de 34,74% (Techirghiol), și 45,92% (Năvodari). Mangalia are aprobată prin noul PUG o extindere a intravilanului cu 22,46% față de cel existent.</w:t>
      </w:r>
    </w:p>
    <w:p w14:paraId="7384BD60" w14:textId="77777777" w:rsidR="00670FD4" w:rsidRPr="008C6A37" w:rsidRDefault="00670FD4" w:rsidP="00670FD4">
      <w:pPr>
        <w:ind w:firstLine="567"/>
        <w:rPr>
          <w:lang w:val="ro-RO"/>
        </w:rPr>
      </w:pPr>
      <w:r w:rsidRPr="008C6A37">
        <w:rPr>
          <w:lang w:val="ro-RO"/>
        </w:rPr>
        <w:t xml:space="preserve">Cu toate că numărul de locuitori și numărul de unități de primire turistică sunt într-o continuă scădere, extinderile de intravilan s-au realizat aproape exclusiv pentru locuire și turism. Extinderea rapidă a zonelor de locuit nu a fost însoțită în același ritm de investițiile necesare în infrastructuri și servicii publice (străzi, alimentare cu apă și canalizare, educație, etc.) ceea ce afectează calitatea locuirii și atractivitatea localităților. Dezvoltarea excesivă și necontrolată a locuirii în stațiuni poate conduce la conflicte de utilizare a terenurilor, scăderea confortului turiștilor  și, în final, scăderea atractivității acestor stațiuni. </w:t>
      </w:r>
    </w:p>
    <w:p w14:paraId="46620004" w14:textId="77777777" w:rsidR="00670FD4" w:rsidRPr="008C6A37" w:rsidRDefault="00670FD4" w:rsidP="00670FD4">
      <w:pPr>
        <w:ind w:firstLine="567"/>
        <w:rPr>
          <w:lang w:val="ro-RO"/>
        </w:rPr>
      </w:pPr>
      <w:r w:rsidRPr="008C6A37">
        <w:rPr>
          <w:lang w:val="ro-RO"/>
        </w:rPr>
        <w:t>În lipsa unei viziuni elaborate într-un context strategic al întregii  zone costiere, tendințele dezvoltării urbane excesive și necontrolate vor continua, astfel încât activitatea de planificare spațială și dezvoltarea urbană vor constitui o sursa importantă de presiuni și riscuri în sectorul sudic al zonei costiere românești.</w:t>
      </w:r>
    </w:p>
    <w:p w14:paraId="38A761E9" w14:textId="77777777" w:rsidR="00670FD4" w:rsidRPr="008C6A37" w:rsidRDefault="00670FD4" w:rsidP="00670FD4">
      <w:pPr>
        <w:ind w:firstLine="567"/>
        <w:rPr>
          <w:b/>
          <w:i/>
          <w:lang w:val="ro-RO"/>
        </w:rPr>
      </w:pPr>
      <w:r w:rsidRPr="008C6A37">
        <w:rPr>
          <w:b/>
          <w:i/>
          <w:lang w:val="ro-RO"/>
        </w:rPr>
        <w:t>Infrastructura de utilități</w:t>
      </w:r>
    </w:p>
    <w:p w14:paraId="0863F3ED" w14:textId="77777777" w:rsidR="00670FD4" w:rsidRPr="008C6A37" w:rsidRDefault="00670FD4" w:rsidP="00670FD4">
      <w:pPr>
        <w:ind w:firstLine="567"/>
        <w:rPr>
          <w:i/>
          <w:lang w:val="ro-RO"/>
        </w:rPr>
      </w:pPr>
      <w:r w:rsidRPr="008C6A37">
        <w:rPr>
          <w:i/>
          <w:lang w:val="ro-RO"/>
        </w:rPr>
        <w:t>Infrastructura de alimentare cu gaze naturale</w:t>
      </w:r>
    </w:p>
    <w:p w14:paraId="7D917B20" w14:textId="77777777" w:rsidR="00670FD4" w:rsidRPr="008C6A37" w:rsidRDefault="00670FD4" w:rsidP="00670FD4">
      <w:pPr>
        <w:ind w:firstLine="567"/>
        <w:rPr>
          <w:lang w:val="ro-RO"/>
        </w:rPr>
      </w:pPr>
      <w:r w:rsidRPr="008C6A37">
        <w:rPr>
          <w:lang w:val="ro-RO"/>
        </w:rPr>
        <w:t>În cadrul rețelei naționale de distribuție de gaze naturale, județele Constanța și Tulcea se află în culoarul 7 de transport internațional: ZB0100-Isaccea-Şendreni și ZB1500-Tranzit-</w:t>
      </w:r>
      <w:r w:rsidRPr="008C6A37">
        <w:rPr>
          <w:lang w:val="ro-RO"/>
        </w:rPr>
        <w:lastRenderedPageBreak/>
        <w:t>Dobrogea.</w:t>
      </w:r>
      <w:r w:rsidRPr="008C6A37">
        <w:rPr>
          <w:b/>
          <w:i/>
          <w:lang w:val="ro-RO"/>
        </w:rPr>
        <w:t xml:space="preserve"> </w:t>
      </w:r>
      <w:r w:rsidRPr="008C6A37">
        <w:rPr>
          <w:lang w:val="ro-RO"/>
        </w:rPr>
        <w:t>De asemenea, este de menționat proiectul „Extindere SNT prin realizare conductă de transport gaze naturale de la punct preluare gaze Marea Neagră (zona Vadu) – la conducta Tranzit 1 (zona Grădina)”. Conducta, în lungime totală de aproximativ 24,37 km, este proiectată pentru a transporta gaze naturale de la GTP Vadu la conducta ”Tranzit 1” a Sistemului Naţional de Transmisie a gazelor.</w:t>
      </w:r>
    </w:p>
    <w:p w14:paraId="512D6506" w14:textId="77777777" w:rsidR="00670FD4" w:rsidRPr="008C6A37" w:rsidRDefault="00670FD4" w:rsidP="00670FD4">
      <w:pPr>
        <w:ind w:firstLine="567"/>
        <w:rPr>
          <w:i/>
          <w:lang w:val="ro-RO"/>
        </w:rPr>
      </w:pPr>
      <w:r w:rsidRPr="008C6A37">
        <w:rPr>
          <w:i/>
          <w:lang w:val="ro-RO"/>
        </w:rPr>
        <w:t>Infrastructura de alimentare cu energie electrică</w:t>
      </w:r>
    </w:p>
    <w:p w14:paraId="55896E52" w14:textId="77777777" w:rsidR="00670FD4" w:rsidRPr="008C6A37" w:rsidRDefault="00670FD4" w:rsidP="00670FD4">
      <w:pPr>
        <w:ind w:firstLine="567"/>
        <w:rPr>
          <w:lang w:val="ro-RO"/>
        </w:rPr>
      </w:pPr>
      <w:r w:rsidRPr="008C6A37">
        <w:rPr>
          <w:lang w:val="ro-RO"/>
        </w:rPr>
        <w:t>În județul Constanța, infrastructura majoră de alimentare cu energie electrică este reprezentată de liniile electrice aeriene de 750 kV și 400 kV, 4 stații de transformare 400/110 kV, dintre care una, Constanța Nord, este localizată în zona costieră. În județul Tulcea, stațiile de transformare (Isaccea și Tulcea Vest) sunt situate în afara zonei costiere</w:t>
      </w:r>
    </w:p>
    <w:p w14:paraId="145A2326" w14:textId="77777777" w:rsidR="00670FD4" w:rsidRPr="008C6A37" w:rsidRDefault="00670FD4" w:rsidP="00670FD4">
      <w:pPr>
        <w:ind w:firstLine="567"/>
        <w:rPr>
          <w:i/>
          <w:lang w:val="ro-RO"/>
        </w:rPr>
      </w:pPr>
      <w:r w:rsidRPr="008C6A37">
        <w:rPr>
          <w:i/>
          <w:lang w:val="ro-RO"/>
        </w:rPr>
        <w:t>Infrastructura de alimentare cu apă</w:t>
      </w:r>
    </w:p>
    <w:p w14:paraId="610316BC" w14:textId="77777777" w:rsidR="00670FD4" w:rsidRPr="008C6A37" w:rsidRDefault="00670FD4" w:rsidP="00670FD4">
      <w:pPr>
        <w:ind w:firstLine="567"/>
        <w:rPr>
          <w:lang w:val="ro-RO"/>
        </w:rPr>
      </w:pPr>
      <w:r w:rsidRPr="008C6A37">
        <w:rPr>
          <w:lang w:val="ro-RO"/>
        </w:rPr>
        <w:t>În prezent, la nivelul zonei costiere, serviciile de alimentare cu apă și canalizare sunt asigurate de operatorii regionali AQUASERV SA, în județul Tulcea și RAJA S.A, în județul Constanța.</w:t>
      </w:r>
    </w:p>
    <w:p w14:paraId="4E8C1166" w14:textId="77777777" w:rsidR="00670FD4" w:rsidRPr="008C6A37" w:rsidRDefault="00670FD4" w:rsidP="00670FD4">
      <w:pPr>
        <w:ind w:firstLine="567"/>
        <w:rPr>
          <w:lang w:val="ro-RO"/>
        </w:rPr>
      </w:pPr>
      <w:r w:rsidRPr="008C6A37">
        <w:rPr>
          <w:lang w:val="ro-RO"/>
        </w:rPr>
        <w:t>În partea zonei costiere aferentă județului Tulcea, sursele de alimentare sunt atât subterane, cât și de suprafață (Sulina, Sf. Gheorghe).</w:t>
      </w:r>
    </w:p>
    <w:p w14:paraId="6E844D7E" w14:textId="77777777" w:rsidR="00670FD4" w:rsidRPr="008C6A37" w:rsidRDefault="00670FD4" w:rsidP="00670FD4">
      <w:pPr>
        <w:ind w:firstLine="567"/>
        <w:rPr>
          <w:lang w:val="ro-RO"/>
        </w:rPr>
      </w:pPr>
      <w:r w:rsidRPr="008C6A37">
        <w:rPr>
          <w:lang w:val="ro-RO"/>
        </w:rPr>
        <w:t xml:space="preserve">În judeţul Constanţa sunt exploatate un număr de 94 de surse de apă subterană, formată din 349 foraje şi 2 surse de apă de suprafaţă (Galeşu şi Dealul Vifor). Apa brută este tratată în cele două staţii de tratare, respectiv staţia de tratare Palas-Constanţa (situată în zona de studiu) şi staţia de tratare Dealul Vifor-Cernavodă. </w:t>
      </w:r>
    </w:p>
    <w:p w14:paraId="649DDA00" w14:textId="77777777" w:rsidR="00670FD4" w:rsidRPr="008C6A37" w:rsidRDefault="00670FD4" w:rsidP="00670FD4">
      <w:pPr>
        <w:ind w:firstLine="567"/>
        <w:rPr>
          <w:i/>
          <w:lang w:val="ro-RO"/>
        </w:rPr>
      </w:pPr>
      <w:r w:rsidRPr="008C6A37">
        <w:rPr>
          <w:i/>
          <w:lang w:val="ro-RO"/>
        </w:rPr>
        <w:t>Infrastructura de canalizare și epurare a apelor uzate</w:t>
      </w:r>
    </w:p>
    <w:p w14:paraId="16C11C53" w14:textId="77777777" w:rsidR="00670FD4" w:rsidRPr="008C6A37" w:rsidRDefault="00670FD4" w:rsidP="00670FD4">
      <w:pPr>
        <w:ind w:firstLine="567"/>
        <w:rPr>
          <w:lang w:val="ro-RO"/>
        </w:rPr>
      </w:pPr>
      <w:r w:rsidRPr="008C6A37">
        <w:rPr>
          <w:lang w:val="ro-RO"/>
        </w:rPr>
        <w:t xml:space="preserve">La nivelul județului Tulcea, infrastructura de canalizare a cunoscut o ușoară tendință de dezvoltare  în ultimii ani. Cu toate acestea însă, infrastructura de canalizare prezintă încă deficiențe de dezvoltare, fiind nevoie investiții majore pentru extinderea rețelei de canalizare în mediul rural, dat fiind faptul că în județul Tulcea doar jumătate dintre localitățile conectate la alimentarea cu apă au și rețea de canalizare. </w:t>
      </w:r>
    </w:p>
    <w:p w14:paraId="09686C54" w14:textId="77777777" w:rsidR="00670FD4" w:rsidRPr="008C6A37" w:rsidRDefault="00670FD4" w:rsidP="00670FD4">
      <w:pPr>
        <w:ind w:firstLine="567"/>
        <w:rPr>
          <w:lang w:val="ro-RO"/>
        </w:rPr>
      </w:pPr>
      <w:r w:rsidRPr="008C6A37">
        <w:rPr>
          <w:lang w:val="ro-RO"/>
        </w:rPr>
        <w:t>În partea nordică a zonei costiere există patru stații de epurare a apelor uzate, la Sulina, Sf. Gheorghe, Murighiol și Jurilovca. În toate cele patru stații apele uzate sunt epurate (mecanic și biologic). Mai mult, în UAT Murighiol și Jurilovca, sunt colectate și epurate procente mici din încărcarea generată la nivel de UAT, deci reprezintă o potențială presiune asupra apelor.</w:t>
      </w:r>
    </w:p>
    <w:p w14:paraId="061093A2" w14:textId="77777777" w:rsidR="00670FD4" w:rsidRPr="008C6A37" w:rsidRDefault="00670FD4" w:rsidP="00670FD4">
      <w:pPr>
        <w:ind w:firstLine="567"/>
        <w:rPr>
          <w:lang w:val="ro-RO"/>
        </w:rPr>
      </w:pPr>
      <w:r w:rsidRPr="008C6A37">
        <w:rPr>
          <w:lang w:val="ro-RO"/>
        </w:rPr>
        <w:t>Din punct de vedere al colectării și epurării apelor uzate, situația stă mult mai bine în județul Constanța. Gradul de conectare al populației la sistemul de canalizare este semnificativ mai ridicat, în unele UAT-uri fiind asigurat în procente cuprinse între 90 și 100 % (Năvodari, Constanța, Mangalia și Costinești).</w:t>
      </w:r>
    </w:p>
    <w:p w14:paraId="44FC5B68" w14:textId="77777777" w:rsidR="00670FD4" w:rsidRPr="008C6A37" w:rsidRDefault="00670FD4" w:rsidP="00670FD4">
      <w:pPr>
        <w:ind w:firstLine="567"/>
        <w:rPr>
          <w:lang w:val="ro-RO"/>
        </w:rPr>
      </w:pPr>
      <w:r w:rsidRPr="008C6A37">
        <w:rPr>
          <w:lang w:val="ro-RO"/>
        </w:rPr>
        <w:t xml:space="preserve">În partea sudică a zonei costiere există 6 stații de epurare a apelor uzate (Năvodari, Constanța Nord, Constanța Sud, Constanța CN APM, Eforie și Mangalia), în fiecare dintre acestea realizându-se epurarea avansată cu îndepărtare a nutrienților (terțiară). Rata de colectare și epurare variază foarte mult între UAT-uri, de la 5,5 % în UAT Corbu, la 100 % în </w:t>
      </w:r>
      <w:r w:rsidRPr="008C6A37">
        <w:rPr>
          <w:lang w:val="ro-RO"/>
        </w:rPr>
        <w:lastRenderedPageBreak/>
        <w:t xml:space="preserve">UAT-urile Constanța, Eforie și Costinești. Apele colectate și epurate în toate cele cinci stații de epurare sunt deversate în Marea Neagră. </w:t>
      </w:r>
    </w:p>
    <w:p w14:paraId="204B8F68" w14:textId="77777777" w:rsidR="00670FD4" w:rsidRPr="008C6A37" w:rsidRDefault="00670FD4" w:rsidP="00670FD4">
      <w:pPr>
        <w:ind w:firstLine="567"/>
        <w:rPr>
          <w:lang w:val="ro-RO"/>
        </w:rPr>
      </w:pPr>
      <w:r w:rsidRPr="008C6A37">
        <w:rPr>
          <w:b/>
          <w:i/>
          <w:lang w:val="ro-RO"/>
        </w:rPr>
        <w:t>Dragare și construcții hidrotehnice</w:t>
      </w:r>
    </w:p>
    <w:p w14:paraId="0DC94E78" w14:textId="77777777" w:rsidR="00670FD4" w:rsidRPr="008C6A37" w:rsidRDefault="00670FD4" w:rsidP="00670FD4">
      <w:pPr>
        <w:ind w:firstLine="567"/>
        <w:rPr>
          <w:lang w:val="ro-RO"/>
        </w:rPr>
      </w:pPr>
      <w:r w:rsidRPr="008C6A37">
        <w:rPr>
          <w:lang w:val="ro-RO"/>
        </w:rPr>
        <w:t xml:space="preserve">În cazul porturilor maritime, lucrările de dragare sunt necesare pentru eliminarea limitărilor de pescaj în interiorul porturilor, îmbunătățirea manevrelor sigure și a condițiilor de navigație, creșterea eficienței operatorilor prin evitarea operațiunilor de umplere și manipulare dublă, și consolidarea poziției actuale a porturilor în regiunea Mării Negre și a sistemului european de transport. </w:t>
      </w:r>
    </w:p>
    <w:p w14:paraId="7ED40238" w14:textId="77777777" w:rsidR="00670FD4" w:rsidRPr="008C6A37" w:rsidRDefault="00670FD4" w:rsidP="00670FD4">
      <w:pPr>
        <w:ind w:firstLine="567"/>
        <w:rPr>
          <w:lang w:val="ro-RO"/>
        </w:rPr>
      </w:pPr>
      <w:r w:rsidRPr="008C6A37">
        <w:rPr>
          <w:lang w:val="ro-RO"/>
        </w:rPr>
        <w:t xml:space="preserve">În cazul portului Constanța, în prezent, este în implementare proiectul „Modernizarea infrastructurii portuare prin asigurarea creșterii adâncimii canalelor și bazinelor și a siguranței navigației în Portul Constanța”, finanțat prin POIM 2014-2020, Axa prioritară 1, Obiectiv specific 1.3. Proiectul prevede lucrări de dragare în 17 zone portuare pentru a aduce la nivelul proiectat adâncimile apei din bazinele și șenalul de acces din Portul Constanța. </w:t>
      </w:r>
    </w:p>
    <w:p w14:paraId="26661A21" w14:textId="77777777" w:rsidR="00670FD4" w:rsidRPr="008C6A37" w:rsidRDefault="00670FD4" w:rsidP="00670FD4">
      <w:pPr>
        <w:ind w:firstLine="567"/>
        <w:rPr>
          <w:lang w:val="ro-RO"/>
        </w:rPr>
      </w:pPr>
      <w:r w:rsidRPr="008C6A37">
        <w:rPr>
          <w:lang w:val="ro-RO"/>
        </w:rPr>
        <w:t>În porturile Midia și Mangalia, adâncimea apei la dane și accesul în acvatoriul porturilor sunt principalii factori restrictivi pentru operare. Această situație a apărut din cauza întârzierii investițiilor pentru lucrările de dragare și a dus la o scădere semnificativă a eficienței operațiunilor determinate de dificultățile de primire/intrare a navelor mai mari. De asemenea, este limitată și  capacitatea operațională a șantierului naval DAMEN Mangalia, intrarea navelor mai mari fiind împiedicată.</w:t>
      </w:r>
    </w:p>
    <w:p w14:paraId="36051A2A" w14:textId="77777777" w:rsidR="00670FD4" w:rsidRPr="008C6A37" w:rsidRDefault="00670FD4" w:rsidP="00670FD4">
      <w:pPr>
        <w:ind w:firstLine="567"/>
        <w:rPr>
          <w:lang w:val="ro-RO"/>
        </w:rPr>
      </w:pPr>
      <w:r w:rsidRPr="008C6A37">
        <w:rPr>
          <w:lang w:val="ro-RO"/>
        </w:rPr>
        <w:t>Modificările hidrotehnice din partea nordică a zonei costiere, aferentă Deltei Dunării, au avut ca scop îmbunătăţirea condiţiilor de navigaţie pe Dunăre, accesului navelor din mare spre teritoriu, precum şi asigurarea unor condiţii hidrologice optime pentru habitate acvatice naturale, precum și pentru exploatarea resurselor naturale din interiorul deltei. Până în prezent au fost reprofilate prin lucrări de dragare și decolmatare peste 328 km de canale și renaturare suprafețe de 15.712 ha ale amenajărilor agricole și piscicole abandonate, ineficiente economic.</w:t>
      </w:r>
    </w:p>
    <w:p w14:paraId="7CC97D3E" w14:textId="77777777" w:rsidR="00670FD4" w:rsidRPr="008C6A37" w:rsidRDefault="00670FD4" w:rsidP="00670FD4">
      <w:pPr>
        <w:ind w:firstLine="567"/>
        <w:rPr>
          <w:lang w:val="ro-RO"/>
        </w:rPr>
      </w:pPr>
      <w:r w:rsidRPr="008C6A37">
        <w:rPr>
          <w:lang w:val="ro-RO"/>
        </w:rPr>
        <w:t xml:space="preserve">În ceea ce privește structurile hidrotehnice de protecție costieră de pe întreg litoralul românesc, în prezent, se află în plină desfășurare execuția proiectului ”Reducerea eroziunii costiere – Faza II (2014-2020). Perimetre: 2 Mai, Mangalia (Saturn, Balta Mangalia, Venus, Cap Aurora, Jupiter, Neptun, Olimp), Costinești, Eforie Sud, Eforie Centru, Agigea, Port Tomis – Constanța Port, Mamaia Centru, Mamaia Nord, Stăvilar Edighiol, Stăvilar Periboina)” care are ca obiect reabilitarea întregului sector sudic al litoralului prin modificarea dimensiunilor celulelor de plaje (îndepărtarea unor structuri existente și execuția unor structuri noi), precum și lucrări de înnisipări ale plajelor. </w:t>
      </w:r>
    </w:p>
    <w:p w14:paraId="58D6B85F" w14:textId="77777777" w:rsidR="00670FD4" w:rsidRPr="008C6A37" w:rsidRDefault="00670FD4" w:rsidP="00670FD4">
      <w:pPr>
        <w:pStyle w:val="Heading3"/>
        <w:ind w:firstLine="567"/>
      </w:pPr>
      <w:bookmarkStart w:id="16" w:name="_Toc150247012"/>
      <w:bookmarkStart w:id="17" w:name="_Toc171084808"/>
      <w:r>
        <w:t>1.3.5.</w:t>
      </w:r>
      <w:r w:rsidRPr="008C6A37">
        <w:t xml:space="preserve"> Principalele presiuni în zona costieră</w:t>
      </w:r>
      <w:bookmarkEnd w:id="16"/>
      <w:bookmarkEnd w:id="17"/>
    </w:p>
    <w:p w14:paraId="406BF04D" w14:textId="77777777" w:rsidR="00670FD4" w:rsidRPr="008C6A37" w:rsidRDefault="00670FD4" w:rsidP="00670FD4">
      <w:pPr>
        <w:ind w:firstLine="567"/>
        <w:rPr>
          <w:b/>
          <w:i/>
          <w:lang w:val="ro-RO"/>
        </w:rPr>
      </w:pPr>
      <w:r w:rsidRPr="008C6A37">
        <w:rPr>
          <w:b/>
          <w:i/>
          <w:lang w:val="ro-RO"/>
        </w:rPr>
        <w:t>Naturale</w:t>
      </w:r>
    </w:p>
    <w:p w14:paraId="07EE8102" w14:textId="77777777" w:rsidR="00670FD4" w:rsidRPr="008C6A37" w:rsidRDefault="00670FD4" w:rsidP="00670FD4">
      <w:pPr>
        <w:ind w:firstLine="567"/>
        <w:rPr>
          <w:i/>
          <w:lang w:val="ro-RO"/>
        </w:rPr>
      </w:pPr>
      <w:r w:rsidRPr="008C6A37">
        <w:rPr>
          <w:i/>
          <w:lang w:val="ro-RO"/>
        </w:rPr>
        <w:t>Inundații</w:t>
      </w:r>
    </w:p>
    <w:p w14:paraId="63D7E4B1" w14:textId="77777777" w:rsidR="00670FD4" w:rsidRPr="008C6A37" w:rsidRDefault="00670FD4" w:rsidP="00670FD4">
      <w:pPr>
        <w:ind w:firstLine="567"/>
        <w:rPr>
          <w:lang w:val="ro-RO"/>
        </w:rPr>
      </w:pPr>
      <w:r w:rsidRPr="008C6A37">
        <w:rPr>
          <w:lang w:val="ro-RO"/>
        </w:rPr>
        <w:t xml:space="preserve">Conform variantei actualizate a Planului de Management al Riscului la Inundații - A.B.A. Dobrogea-Litoral, ciclul II de implementare a Directivei Inundații 2007/60/CE 60, zonele cu risc semnificativ de inundații din zona costieră, cu sursă fluvială, sunt: sector litoral localitatea </w:t>
      </w:r>
      <w:r w:rsidRPr="008C6A37">
        <w:rPr>
          <w:lang w:val="ro-RO"/>
        </w:rPr>
        <w:lastRenderedPageBreak/>
        <w:t>Mamaia-lacul Razim, sector litoral localitatea Costinești-localitatea Mangalia, râul Casimcea și râul Valea Albești. Aceste inundații se formează datorită depășirii capacității de transport a albiei, iar în cazul sectorului litoral localitatea Mamaia - lacul Razim și depăşirii infrastructurii de apărare. De asemenea, în același plan sunt incluse și zonele de risc semnificativ la inundații, cu sursă pluvială, în localitățile Corbu, Constanța, Eforie și Costinești.</w:t>
      </w:r>
    </w:p>
    <w:p w14:paraId="6C6D58A1" w14:textId="77777777" w:rsidR="00670FD4" w:rsidRPr="008C6A37" w:rsidRDefault="00670FD4" w:rsidP="00670FD4">
      <w:pPr>
        <w:ind w:firstLine="567"/>
        <w:rPr>
          <w:lang w:val="ro-RO"/>
        </w:rPr>
      </w:pPr>
      <w:r w:rsidRPr="008C6A37">
        <w:rPr>
          <w:lang w:val="ro-RO"/>
        </w:rPr>
        <w:t>Pe de altă parte, există și riscul inundațiilor costiere în condițiile unor furtuni și vânturi puternice dinspre mare, mai ales în arealele joase din cadrul țărmului Deltei Dunării. Realizarea lucrărilor de protecție costieră din ultimii ani pe țărmul sudic reduce semnificativ riscul unor astfel de inundații în arealele respective.</w:t>
      </w:r>
    </w:p>
    <w:p w14:paraId="39EDFBC5" w14:textId="77777777" w:rsidR="00670FD4" w:rsidRPr="008C6A37" w:rsidRDefault="00670FD4" w:rsidP="00670FD4">
      <w:pPr>
        <w:ind w:firstLine="567"/>
        <w:rPr>
          <w:lang w:val="ro-RO"/>
        </w:rPr>
      </w:pPr>
      <w:r w:rsidRPr="008C6A37">
        <w:rPr>
          <w:lang w:val="ro-RO"/>
        </w:rPr>
        <w:t>Principala problemă în ceea ce privește protecția populației și infrastructurii din localități o constituie inexistența (în unele localități rurale) sau subdimensionarea rețelei de colectare a apelor, a sistemelor de canale de desecare, precum și a stațiilor de pompare. De asemenea, o altă problemă ar putea deriva din nerealizarea periodică a lucrărilor de mentenanță a infrastructurilor existente de protecţie împotriva inundaţiilor, a lucrărilor de întreținere a albiilor cursurilor de apă și eliminarea blocajelor, obstacolelor pe cursurile de apă.</w:t>
      </w:r>
    </w:p>
    <w:p w14:paraId="79E081F7" w14:textId="77777777" w:rsidR="00670FD4" w:rsidRPr="008C6A37" w:rsidRDefault="00670FD4" w:rsidP="00670FD4">
      <w:pPr>
        <w:ind w:firstLine="567"/>
        <w:rPr>
          <w:i/>
          <w:lang w:val="ro-RO"/>
        </w:rPr>
      </w:pPr>
      <w:r w:rsidRPr="008C6A37">
        <w:rPr>
          <w:i/>
          <w:lang w:val="ro-RO"/>
        </w:rPr>
        <w:t>Seceta</w:t>
      </w:r>
    </w:p>
    <w:p w14:paraId="34E6D2EC" w14:textId="77777777" w:rsidR="00670FD4" w:rsidRPr="008C6A37" w:rsidRDefault="00670FD4" w:rsidP="00670FD4">
      <w:pPr>
        <w:ind w:firstLine="567"/>
        <w:rPr>
          <w:lang w:val="ro-RO"/>
        </w:rPr>
      </w:pPr>
      <w:r w:rsidRPr="008C6A37">
        <w:rPr>
          <w:lang w:val="ro-RO"/>
        </w:rPr>
        <w:t>În “Studiul pentru elaborarea Strategiei Naționale privind Prevenirea și Combaterea Deșertificării și Degradării Terenurilor 2019-2030”, elaborat la cererea MMAP, au fost identificate zonele susceptibile la procesele de degradare a terenurilor și deșertificare. Conform acestui studiu, în zona costieră, UAT-urile din Delta Dunării aparțin zonei cu o susceptibilitate extrem de mare la deșertificare, cu un climat arid de stepă, în timp ce sudul zonei costiere este încadrat la categoria zone cu susceptibilitate mare, cu un climat temperat cu veri fierbinți. Proiecţiile climatice pentru perioadele 2021-2050 şi 2071-2100 estimează o menținere a condițiilor actuale de aridizare în sud-estul României.</w:t>
      </w:r>
    </w:p>
    <w:p w14:paraId="16367AAF" w14:textId="77777777" w:rsidR="00670FD4" w:rsidRPr="008C6A37" w:rsidRDefault="00670FD4" w:rsidP="00670FD4">
      <w:pPr>
        <w:ind w:firstLine="567"/>
        <w:rPr>
          <w:lang w:val="ro-RO"/>
        </w:rPr>
      </w:pPr>
      <w:r w:rsidRPr="008C6A37">
        <w:rPr>
          <w:lang w:val="ro-RO"/>
        </w:rPr>
        <w:t>Principalele amenințări legate de gestionarea inadecvată a secetei și tendinței de deșertificare a zonei de studiu sunt legate atât de reducerea resurselor de sol, cât și modificarea însușirilor fizice, chimice, mineralogice și biologice ale acestuia. O altă amenințare legată de secetă, și în special de deșertificare, se referă la apele de suprafață și cele subterane al căror nivel poate fi serios afectat. Din cauza secetei hidrologice, acviferele de mică adâncime în Dobrogea de Nord pot suferi scăderi temporare sau permanente ale suprafeţelor piezometrice sub minimele istorice, ca urmare a variaţiilor sezoniere, semnificative pentru acviferele freatice.</w:t>
      </w:r>
    </w:p>
    <w:p w14:paraId="430D41F9" w14:textId="77777777" w:rsidR="00670FD4" w:rsidRPr="008C6A37" w:rsidRDefault="00670FD4" w:rsidP="00670FD4">
      <w:pPr>
        <w:ind w:firstLine="567"/>
        <w:rPr>
          <w:i/>
          <w:lang w:val="ro-RO"/>
        </w:rPr>
      </w:pPr>
      <w:r w:rsidRPr="008C6A37">
        <w:rPr>
          <w:i/>
          <w:lang w:val="ro-RO"/>
        </w:rPr>
        <w:t>Fenomene meteorologice extreme</w:t>
      </w:r>
    </w:p>
    <w:p w14:paraId="6EA8C259" w14:textId="77777777" w:rsidR="00670FD4" w:rsidRPr="008C6A37" w:rsidRDefault="00670FD4" w:rsidP="00670FD4">
      <w:pPr>
        <w:ind w:firstLine="567"/>
        <w:rPr>
          <w:lang w:val="ro-RO"/>
        </w:rPr>
      </w:pPr>
      <w:r w:rsidRPr="008C6A37">
        <w:rPr>
          <w:lang w:val="ro-RO"/>
        </w:rPr>
        <w:t>În contextul încălzirii globale, schimbările prognozate ale regimului climatic la nivel național sunt determinate de condițiile regionale. Datele furnizate de ANM arată că schimbările referitoare la regimul termic atmosferic, precum și la precipitațiile medii și regimul eolian, apar împreună cu modificări ale statisticilor fenomenelor meteorologice extreme. Frecvența și intensitatea acestor fenomene meteorologice extreme (furtuni, vânturi, etc.) au crescut semnificativ la nivel național, astfel, în anul 2021 au fost emise de către ANM cele mai multe mesaje pentru fenomene meteorologice periculoase la nivel național (167).</w:t>
      </w:r>
    </w:p>
    <w:p w14:paraId="5B34C8D1" w14:textId="77777777" w:rsidR="00670FD4" w:rsidRPr="008C6A37" w:rsidRDefault="00670FD4" w:rsidP="00670FD4">
      <w:pPr>
        <w:ind w:firstLine="567"/>
        <w:rPr>
          <w:i/>
          <w:lang w:val="ro-RO"/>
        </w:rPr>
      </w:pPr>
      <w:r w:rsidRPr="008C6A37">
        <w:rPr>
          <w:i/>
          <w:lang w:val="ro-RO"/>
        </w:rPr>
        <w:t>Creșterea nivelului mării</w:t>
      </w:r>
    </w:p>
    <w:p w14:paraId="1308D6C4" w14:textId="77777777" w:rsidR="00670FD4" w:rsidRPr="008C6A37" w:rsidRDefault="00670FD4" w:rsidP="00670FD4">
      <w:pPr>
        <w:ind w:firstLine="567"/>
        <w:rPr>
          <w:lang w:val="ro-RO"/>
        </w:rPr>
      </w:pPr>
      <w:r w:rsidRPr="008C6A37">
        <w:rPr>
          <w:lang w:val="ro-RO"/>
        </w:rPr>
        <w:lastRenderedPageBreak/>
        <w:t>Una dintre consecințele majore ale încălzirii globale este creșterea nivelului mării. Variațiile de nivel ale mării în cadrul litoralului românesc sunt determinate în cea mai mare măsură de condițiile eustatice din bazinul Mării Negre, sub influența expansiunii termale și a creșterii nivelului Oceanului Planetar. Acestora li se adaugă factorii meteorologici și hidrologici regionali și locali, precum și mișcările izostatice regionale. Variația nivelului mării la Constanța pe termen lung este de 1,9 mm/an, înregistrând o tendință de creștere accelerată în ultimele 3 decenii, similară cu tendința globală (INCDM, 2022).</w:t>
      </w:r>
    </w:p>
    <w:p w14:paraId="5523D2B3" w14:textId="77777777" w:rsidR="00670FD4" w:rsidRPr="008C6A37" w:rsidRDefault="00670FD4" w:rsidP="00670FD4">
      <w:pPr>
        <w:ind w:firstLine="567"/>
        <w:rPr>
          <w:lang w:val="ro-RO"/>
        </w:rPr>
      </w:pPr>
      <w:r w:rsidRPr="008C6A37">
        <w:rPr>
          <w:lang w:val="ro-RO"/>
        </w:rPr>
        <w:t>Riscurile determinate de creșterea nivelului mării sunt asociate cu procesul de eroziune costieră, inundații și pierderea unor zone umede, care afectează flora și fauna, provocând pierderea habitatului pentru pești, păsări, plante și multe alte specii. Mai mult decât atât, creșterea accelerată a nivelului mării poate avea consecințe nefaste asupra infrastructurii din zona de coastă și poate constitui o amenințare reală pentru comunitățile costiere, mai ales pentru cele situate în Delta Dunării.</w:t>
      </w:r>
    </w:p>
    <w:p w14:paraId="5A571164" w14:textId="77777777" w:rsidR="00670FD4" w:rsidRPr="008C6A37" w:rsidRDefault="00670FD4" w:rsidP="00670FD4">
      <w:pPr>
        <w:ind w:firstLine="567"/>
        <w:rPr>
          <w:i/>
          <w:lang w:val="ro-RO"/>
        </w:rPr>
      </w:pPr>
      <w:r w:rsidRPr="008C6A37">
        <w:rPr>
          <w:i/>
          <w:lang w:val="ro-RO"/>
        </w:rPr>
        <w:t>Eroziunea costieră</w:t>
      </w:r>
    </w:p>
    <w:p w14:paraId="5943068A" w14:textId="77777777" w:rsidR="00670FD4" w:rsidRPr="008C6A37" w:rsidRDefault="00670FD4" w:rsidP="00670FD4">
      <w:pPr>
        <w:ind w:firstLine="567"/>
        <w:rPr>
          <w:lang w:val="ro-RO"/>
        </w:rPr>
      </w:pPr>
      <w:r w:rsidRPr="008C6A37">
        <w:rPr>
          <w:lang w:val="ro-RO"/>
        </w:rPr>
        <w:t>În ciuda recentelor lucrări de protecție contra eroziunii, eroziunea costieră încă reprezintă o problemă importantă de-a lungul litoralului românesc al Mării Negre.</w:t>
      </w:r>
    </w:p>
    <w:p w14:paraId="7B5EB478" w14:textId="77777777" w:rsidR="00670FD4" w:rsidRPr="008C6A37" w:rsidRDefault="00670FD4" w:rsidP="00670FD4">
      <w:pPr>
        <w:ind w:firstLine="567"/>
        <w:rPr>
          <w:lang w:val="ro-RO"/>
        </w:rPr>
      </w:pPr>
      <w:r w:rsidRPr="008C6A37">
        <w:rPr>
          <w:lang w:val="ro-RO"/>
        </w:rPr>
        <w:t>Unitatea nordică a zonei costiere, care se suprapune țărmului Deltei Dunării, este caracterizată prin predominanța proceselor erozive. În momentul de față, zonele cu risc major la eroziune sunt Canalul Sondei-Câșla Vădanei, la sud de Câșla Vădanei, Insula Sacalin, Zătoane-Perișor Nord și Portița-Periboina (procesele erozive afectând cordonul litoral care mărginește Complexul Lagunar Razim-Sinoie).</w:t>
      </w:r>
    </w:p>
    <w:p w14:paraId="7B3E65B6" w14:textId="77777777" w:rsidR="00670FD4" w:rsidRPr="008C6A37" w:rsidRDefault="00670FD4" w:rsidP="00670FD4">
      <w:pPr>
        <w:ind w:firstLine="567"/>
        <w:rPr>
          <w:lang w:val="ro-RO"/>
        </w:rPr>
      </w:pPr>
      <w:r w:rsidRPr="008C6A37">
        <w:rPr>
          <w:lang w:val="ro-RO"/>
        </w:rPr>
        <w:t>Sectorul sudic al țărmului românesc al Mării Negre este, în prezent, marcat de lucrările de combatere a eroziunii costiere care constau în construcția diferitelor diguri de protecție și în alimentarea cu sediment a plajelor. În acest sector, riscul major de eroziune este întâlnit în  perimetrul Costinești-2 Mai-Vama Veche, unde eroziunea costieră poate declanșa procese de prăbușire a falezei. Toate aceste sectoare cu risc de eroziune nu au fost încă supuse lucrărilor de protecție și reabilitare.</w:t>
      </w:r>
    </w:p>
    <w:p w14:paraId="23D0FCB7" w14:textId="77777777" w:rsidR="00670FD4" w:rsidRPr="008C6A37" w:rsidRDefault="00670FD4" w:rsidP="00670FD4">
      <w:pPr>
        <w:ind w:firstLine="567"/>
        <w:rPr>
          <w:i/>
          <w:lang w:val="ro-RO"/>
        </w:rPr>
      </w:pPr>
      <w:r w:rsidRPr="008C6A37">
        <w:rPr>
          <w:i/>
          <w:lang w:val="ro-RO"/>
        </w:rPr>
        <w:t>Alunecări de teren și prăbușire de faleze</w:t>
      </w:r>
    </w:p>
    <w:p w14:paraId="237BCD3A" w14:textId="77777777" w:rsidR="00670FD4" w:rsidRPr="008C6A37" w:rsidRDefault="00670FD4" w:rsidP="00670FD4">
      <w:pPr>
        <w:ind w:firstLine="567"/>
        <w:rPr>
          <w:lang w:val="ro-RO"/>
        </w:rPr>
      </w:pPr>
      <w:r w:rsidRPr="008C6A37">
        <w:rPr>
          <w:lang w:val="ro-RO"/>
        </w:rPr>
        <w:t>Conform Legii nr. 575/14.11.2001 privind aprobarea Planului de amenajare a teritoriului naţional – Secţiunea a V-a – „Zone de risc natural”, potenţialul de producere a alunecărilor de teren în UAT-urile din zona costieră este scăzut.</w:t>
      </w:r>
    </w:p>
    <w:p w14:paraId="5F7CEE41" w14:textId="77777777" w:rsidR="00670FD4" w:rsidRPr="008C6A37" w:rsidRDefault="00670FD4" w:rsidP="00670FD4">
      <w:pPr>
        <w:ind w:firstLine="567"/>
        <w:rPr>
          <w:lang w:val="ro-RO"/>
        </w:rPr>
      </w:pPr>
      <w:r w:rsidRPr="008C6A37">
        <w:rPr>
          <w:lang w:val="ro-RO"/>
        </w:rPr>
        <w:t>Prăbuşirile de faleze se manifestă în sectorul sudic al zonei costiere, caracterizat de faleze înalte. Zonele cu potențial de manifestare a fenomenului de prăbușiri de faleze, stabilite pe baza istoricului evenimentelor şi a observaţiilor din teren sunt sectorul Eforie-Tuzla și sectorul Costineşti Sud-2 Mai-Vama Veche. Prin lucrările de protecție împotriva eroziunii costiere, în special lărgirea plajelor, zonele cu risc de produce a prăbușirii falezelor s-au redus la sectoarele în care aceste lucrări nu au fost încă realizate. De asemenea, mai ales ca urmare a unor căderi de precipitaţii abundente, zona cuprinsă între Poarta 1 şi Poarta 6 Port Constanţa este supusă riscului producerii unor alunecări-prăbuşiri de teren cu implicaţii majore, în mod special asupra construcţiilor dispuse în imediata apropiere a incintei portului Constanța (Inspectoratul pentru Situații de Urgență „DOBROGEA”, 2018).</w:t>
      </w:r>
    </w:p>
    <w:p w14:paraId="56CD18B1" w14:textId="77777777" w:rsidR="00670FD4" w:rsidRPr="008C6A37" w:rsidRDefault="00670FD4" w:rsidP="00670FD4">
      <w:pPr>
        <w:ind w:firstLine="567"/>
        <w:rPr>
          <w:b/>
          <w:i/>
          <w:lang w:val="ro-RO"/>
        </w:rPr>
      </w:pPr>
      <w:r w:rsidRPr="008C6A37">
        <w:rPr>
          <w:b/>
          <w:i/>
          <w:lang w:val="ro-RO"/>
        </w:rPr>
        <w:lastRenderedPageBreak/>
        <w:t>Antropice</w:t>
      </w:r>
    </w:p>
    <w:p w14:paraId="1539196B" w14:textId="77777777" w:rsidR="00670FD4" w:rsidRPr="008C6A37" w:rsidRDefault="00670FD4" w:rsidP="00670FD4">
      <w:pPr>
        <w:ind w:firstLine="567"/>
        <w:rPr>
          <w:i/>
          <w:lang w:val="ro-RO"/>
        </w:rPr>
      </w:pPr>
      <w:r w:rsidRPr="008C6A37">
        <w:rPr>
          <w:i/>
          <w:lang w:val="ro-RO"/>
        </w:rPr>
        <w:t>Introducerea de contaminanți în atmosferă, ape și soluri</w:t>
      </w:r>
    </w:p>
    <w:p w14:paraId="4A90CC8D" w14:textId="77777777" w:rsidR="00670FD4" w:rsidRPr="008C6A37" w:rsidRDefault="00670FD4" w:rsidP="00670FD4">
      <w:pPr>
        <w:ind w:firstLine="567"/>
        <w:rPr>
          <w:lang w:val="ro-RO"/>
        </w:rPr>
      </w:pPr>
      <w:bookmarkStart w:id="18" w:name="_heading=h.tyjcwt" w:colFirst="0" w:colLast="0"/>
      <w:bookmarkEnd w:id="18"/>
      <w:r w:rsidRPr="008C6A37">
        <w:rPr>
          <w:u w:val="single"/>
          <w:lang w:val="ro-RO"/>
        </w:rPr>
        <w:t>Poluarea atmosferică</w:t>
      </w:r>
      <w:r w:rsidRPr="008C6A37">
        <w:rPr>
          <w:lang w:val="ro-RO"/>
        </w:rPr>
        <w:t xml:space="preserve"> este generată atât din surse fixe (staționare), reprezentate de procese industriale, procese de combustie, etc. cât și din surse mobile, reprezentate prin mijloacele de transport rutiere, feroviare și navale. Cele mai semnificative sunt sursele mobile prin arderea diferitelor tipuri de combustibili generează emisii directe de gaze cu efect de seră, precum și mai mulți alți poluanți cum ar fi CO, COVNM, SO</w:t>
      </w:r>
      <w:r w:rsidRPr="008C6A37">
        <w:rPr>
          <w:vertAlign w:val="subscript"/>
          <w:lang w:val="ro-RO"/>
        </w:rPr>
        <w:t>2</w:t>
      </w:r>
      <w:r w:rsidRPr="008C6A37">
        <w:rPr>
          <w:lang w:val="ro-RO"/>
        </w:rPr>
        <w:t>, NO</w:t>
      </w:r>
      <w:r w:rsidRPr="008C6A37">
        <w:rPr>
          <w:vertAlign w:val="subscript"/>
          <w:lang w:val="ro-RO"/>
        </w:rPr>
        <w:t>2</w:t>
      </w:r>
      <w:r w:rsidRPr="008C6A37">
        <w:rPr>
          <w:lang w:val="ro-RO"/>
        </w:rPr>
        <w:t xml:space="preserve">, particule în suspensie, etc. </w:t>
      </w:r>
    </w:p>
    <w:p w14:paraId="30041D48" w14:textId="77777777" w:rsidR="00670FD4" w:rsidRPr="008C6A37" w:rsidRDefault="00670FD4" w:rsidP="00670FD4">
      <w:pPr>
        <w:ind w:firstLine="567"/>
        <w:rPr>
          <w:lang w:val="ro-RO"/>
        </w:rPr>
      </w:pPr>
      <w:r w:rsidRPr="008C6A37">
        <w:rPr>
          <w:lang w:val="ro-RO"/>
        </w:rPr>
        <w:t>În partea nordică a zonei costiere, transportul rutier nu este atât de intens, sursa majoră de poluare atmosferică fiind activitatea de transport naval. În partea sudică, aferentă județului Constanța, sectorul transporturi este mult mai dezvoltat, atât în ceea ce privește transportul rutier, feroviar, cât și naval. La nivelul municipiului Constanța, contribuția sectorului transportului la totalul emisiilor de NO</w:t>
      </w:r>
      <w:r w:rsidRPr="008C6A37">
        <w:rPr>
          <w:vertAlign w:val="subscript"/>
          <w:lang w:val="ro-RO"/>
        </w:rPr>
        <w:t>X</w:t>
      </w:r>
      <w:r w:rsidRPr="008C6A37">
        <w:rPr>
          <w:lang w:val="ro-RO"/>
        </w:rPr>
        <w:t>, CO și COVNM este de peste 75 %, 85 % și, respectiv 65 %, în condițiile în care emisiile din traficul rutier pentru municipiul Constanța reprezintă circa 52% din emisiile din trafic de la nivelul județului (conform Agenției Naționale de Protecție a Mediului – Inventar local de emisii 2018).</w:t>
      </w:r>
    </w:p>
    <w:p w14:paraId="28E427C1" w14:textId="77777777" w:rsidR="00670FD4" w:rsidRPr="008C6A37" w:rsidRDefault="00670FD4" w:rsidP="00670FD4">
      <w:pPr>
        <w:ind w:firstLine="567"/>
        <w:rPr>
          <w:lang w:val="ro-RO"/>
        </w:rPr>
      </w:pPr>
      <w:r w:rsidRPr="008C6A37">
        <w:rPr>
          <w:lang w:val="ro-RO"/>
        </w:rPr>
        <w:t xml:space="preserve">Dintre sursele staționare, cele mai relevante sunt activitățile portuare generatoare de emisii de poluanți atmosferici (generarea energiei electrice și termice și a apei calde menajere în centralele termice; traficul rutier, feroviar și maritim în incintele portuare; activitatea operatorilor portuari ce desfășoară activități cu impact asupra aerului și depozitarea și eliminarea deșeurilor), industriile petrochimică și extractivă și producerea de energie termică (folosind combustibili fosili). </w:t>
      </w:r>
    </w:p>
    <w:p w14:paraId="53D5CD5C" w14:textId="77777777" w:rsidR="00670FD4" w:rsidRPr="008C6A37" w:rsidRDefault="00670FD4" w:rsidP="00670FD4">
      <w:pPr>
        <w:ind w:firstLine="567"/>
        <w:rPr>
          <w:u w:val="single"/>
          <w:lang w:val="ro-RO"/>
        </w:rPr>
      </w:pPr>
      <w:r w:rsidRPr="008C6A37">
        <w:rPr>
          <w:u w:val="single"/>
          <w:lang w:val="ro-RO"/>
        </w:rPr>
        <w:t>Poluarea apei</w:t>
      </w:r>
    </w:p>
    <w:p w14:paraId="4C342FBE" w14:textId="77777777" w:rsidR="00670FD4" w:rsidRPr="008C6A37" w:rsidRDefault="00670FD4" w:rsidP="00670FD4">
      <w:pPr>
        <w:ind w:firstLine="567"/>
        <w:rPr>
          <w:lang w:val="ro-RO"/>
        </w:rPr>
      </w:pPr>
      <w:r w:rsidRPr="008C6A37">
        <w:rPr>
          <w:lang w:val="ro-RO"/>
        </w:rPr>
        <w:t>Valorile contaminanților anorganici (metale grele), organici (hidrocarburi, detergenți, fenoli) şi fertilizanți înregistrați în apele marine costiere şi lacurile litorale, în ultimii 3 ani, indicǎ o îmbunătăţire uşoară, dar şi deficiențe ale sistemelor de control a surselor de poluare difuze – surse atmosferice, agricultură, şi lipsa colectarii apelor uzate sau ineficiența tehnologiilor de epurare a apelor uzate.</w:t>
      </w:r>
    </w:p>
    <w:p w14:paraId="09186664" w14:textId="77777777" w:rsidR="00670FD4" w:rsidRPr="008C6A37" w:rsidRDefault="00670FD4" w:rsidP="00670FD4">
      <w:pPr>
        <w:ind w:firstLine="567"/>
        <w:rPr>
          <w:lang w:val="ro-RO"/>
        </w:rPr>
      </w:pPr>
      <w:r w:rsidRPr="008C6A37">
        <w:rPr>
          <w:lang w:val="ro-RO"/>
        </w:rPr>
        <w:t>Ape de suprafață</w:t>
      </w:r>
    </w:p>
    <w:p w14:paraId="081CC00E" w14:textId="77777777" w:rsidR="00670FD4" w:rsidRPr="008C6A37" w:rsidRDefault="00670FD4" w:rsidP="00670FD4">
      <w:pPr>
        <w:ind w:firstLine="567"/>
        <w:rPr>
          <w:lang w:val="ro-RO"/>
        </w:rPr>
      </w:pPr>
      <w:r w:rsidRPr="008C6A37">
        <w:rPr>
          <w:lang w:val="ro-RO"/>
        </w:rPr>
        <w:t>Sursele de introducere a contaminanților în mediul acvatic din Delta Dunării, pe lângă aportul semnificativ al Dunării, sunt activitățile agricole gestionate defectuos, apele uzate urbane necolectate, deloc sau insuficient epurate, practicile neadecvate și, uneori ilegale, de colectare și depozitare a deșeurilor. În partea de sud a zonei costiere, calitatea apei lacurile litorale este afectată de activitățile agricole din proximitatea lor (lacurile Techirghiol, Tașaul, Corbu, Siutghiol, Mangalia, etc.), activitățile industriale din vecinătate (în cazul lacurilor Tașaul și Corbu), dezvoltare urbană și turism (lacurile Siutghiol, Mangalia, Tăbăcărie, etc.). De asemenea, lipsa sistemelor de colectare a apelor uzate și meteorice de la gospodării sau comunități mici din jurul lacurilor, precum și depozitarea ilegală a deșeurilor în proximitatea lor, constituie, de asemenea probleme a căror rezolvare necesită o creștere a gradului de conștientizare a populației, precum și o implicare mai mare a autorităților locale.</w:t>
      </w:r>
    </w:p>
    <w:p w14:paraId="520095A1" w14:textId="77777777" w:rsidR="00670FD4" w:rsidRPr="008C6A37" w:rsidRDefault="00670FD4" w:rsidP="00670FD4">
      <w:pPr>
        <w:ind w:firstLine="567"/>
        <w:rPr>
          <w:lang w:val="ro-RO"/>
        </w:rPr>
      </w:pPr>
      <w:r w:rsidRPr="008C6A37">
        <w:rPr>
          <w:lang w:val="ro-RO"/>
        </w:rPr>
        <w:t>Ape marine</w:t>
      </w:r>
    </w:p>
    <w:p w14:paraId="7B791255" w14:textId="77777777" w:rsidR="00670FD4" w:rsidRPr="008C6A37" w:rsidRDefault="00670FD4" w:rsidP="00670FD4">
      <w:pPr>
        <w:ind w:firstLine="567"/>
        <w:rPr>
          <w:lang w:val="ro-RO"/>
        </w:rPr>
      </w:pPr>
      <w:r w:rsidRPr="008C6A37">
        <w:rPr>
          <w:lang w:val="ro-RO"/>
        </w:rPr>
        <w:lastRenderedPageBreak/>
        <w:t>Având în vedere că principalul poluator al apelor costiere este fluviul Dunărea, principala problemă este gestionarea poluării la nivelul bazinului hidrografic al acestuia. De asemenea, o altă problemă este legată de insuficienta cunoaștere a nivelului poluării din surse difuze, în special depuneri atmosferice, dar și de pe terenuri agricole. Apare astfel necesitatea, pe de-o parte a consolidării capacității de monitorizare a depunerilor atmosferice, și în special de modelare a mecanismului de transport al poluanților, precum și prognozare a impactului asupra calității apelor costiere și marine.</w:t>
      </w:r>
    </w:p>
    <w:p w14:paraId="6EC146B4" w14:textId="77777777" w:rsidR="00670FD4" w:rsidRPr="008C6A37" w:rsidRDefault="00670FD4" w:rsidP="00670FD4">
      <w:pPr>
        <w:ind w:firstLine="567"/>
        <w:rPr>
          <w:lang w:val="ro-RO"/>
        </w:rPr>
      </w:pPr>
      <w:r w:rsidRPr="008C6A37">
        <w:rPr>
          <w:lang w:val="ro-RO"/>
        </w:rPr>
        <w:t>Referitor la sursele punctiforme, în ciuda măsurilor luate de România pentru îmbunătățirea colectării și tratării apelor uzate și meteorice, încă mai sunt probleme, în special deficiențe în funcționarea stațiilor de epurare (exemplu - Eforie, Constanța Sud, Mangalia), efectele fiind vizibile în special prin nivelurile mai ridicate ale contaminanților din sedimentele localizate în aceste zone.</w:t>
      </w:r>
    </w:p>
    <w:p w14:paraId="07C2631A" w14:textId="77777777" w:rsidR="00670FD4" w:rsidRPr="008C6A37" w:rsidRDefault="00670FD4" w:rsidP="00670FD4">
      <w:pPr>
        <w:ind w:firstLine="567"/>
        <w:rPr>
          <w:lang w:val="ro-RO"/>
        </w:rPr>
      </w:pPr>
      <w:r w:rsidRPr="008C6A37">
        <w:rPr>
          <w:lang w:val="ro-RO"/>
        </w:rPr>
        <w:t>În fine, o altă amenințare pentru calitatea apelor costiere, dar nu numai, apărută recent cu ocazia conflictului declanșat de invazia Rusiei în Ucraina, o reprezintă intensificarea traficului naval în porturile românești, precum și creșterea activităților portuare, generatoare de emisii în mare. Momentan, nu sunt disponibile date care să arate dimensiunea acestei probleme, dar apare necesară adaptarea infrastructurii portuare la noile realități.</w:t>
      </w:r>
    </w:p>
    <w:p w14:paraId="47608BBA" w14:textId="77777777" w:rsidR="00670FD4" w:rsidRPr="008C6A37" w:rsidRDefault="00670FD4" w:rsidP="00670FD4">
      <w:pPr>
        <w:ind w:firstLine="567"/>
        <w:rPr>
          <w:lang w:val="ro-RO"/>
        </w:rPr>
      </w:pPr>
      <w:r w:rsidRPr="008C6A37">
        <w:rPr>
          <w:lang w:val="ro-RO"/>
        </w:rPr>
        <w:t>Ape subterane</w:t>
      </w:r>
    </w:p>
    <w:p w14:paraId="5DDD29A6" w14:textId="77777777" w:rsidR="00670FD4" w:rsidRPr="008C6A37" w:rsidRDefault="00670FD4" w:rsidP="00670FD4">
      <w:pPr>
        <w:ind w:firstLine="567"/>
        <w:rPr>
          <w:lang w:val="ro-RO"/>
        </w:rPr>
      </w:pPr>
      <w:r w:rsidRPr="008C6A37">
        <w:rPr>
          <w:lang w:val="ro-RO"/>
        </w:rPr>
        <w:t>Având în vedere că cea mai mare parte a suprafeţelor corpurilor de apă subterană este acoperită de terenuri agricole, principala problemă referitoare la calitatea acestor ape este legată de utilizarea necorespunzătoare a îngrășămintelor și pesticidelor (folosirea în exces, depozitarea defectuoasă, neconformă), precum și lipsa unor sisteme corespunzătoare de colectare și stocare a dejecţiilor în cazul unor ferme zootehnice constituie amenințări semnificative pentru calitatea apelor subterane. La acestea se adaugă și altele: depozite neconforme și/sau ilegale de deșeuri, inclusiv industriale, aglomerări umane fără sisteme de colectare şi staţii de epurare a apelor uzate, ale căror efect pot fi amplificate de factori naturali, precum inundațiile, viiturile. O altă problemă este riscul de poluare a pânzei freatice cu hidrocarburi din conductele îngropate, uzate fizic sau distruse intenționate.</w:t>
      </w:r>
    </w:p>
    <w:p w14:paraId="08939F4C" w14:textId="77777777" w:rsidR="00670FD4" w:rsidRPr="008C6A37" w:rsidRDefault="00670FD4" w:rsidP="00670FD4">
      <w:pPr>
        <w:ind w:firstLine="567"/>
        <w:rPr>
          <w:lang w:val="ro-RO"/>
        </w:rPr>
      </w:pPr>
      <w:r w:rsidRPr="008C6A37">
        <w:rPr>
          <w:lang w:val="ro-RO"/>
        </w:rPr>
        <w:t>Poluarea accidentală</w:t>
      </w:r>
    </w:p>
    <w:p w14:paraId="2252DFDB" w14:textId="77777777" w:rsidR="00670FD4" w:rsidRPr="008C6A37" w:rsidRDefault="00670FD4" w:rsidP="00670FD4">
      <w:pPr>
        <w:ind w:firstLine="567"/>
        <w:rPr>
          <w:lang w:val="ro-RO"/>
        </w:rPr>
      </w:pPr>
      <w:r w:rsidRPr="008C6A37">
        <w:rPr>
          <w:lang w:val="ro-RO"/>
        </w:rPr>
        <w:t>Riscul producerii unor poluări majore, accidentale, cu produse petroliere, ce conduc la afectarea masivǎ a diversitǎții şi calitǎții factorilor de mediu (aer, apǎ, sol) în zona costierǎ este ridicat, determinat de activitǎțile de rafinare şi prelucrare a produselor petroliere, de transportul petrolului și produselor petroliere, cât şi de riscul producerii unui accident naval major, precum coliziune și/sau scufundare. Planurile de contingențǎ de intervenţie în caz de poluare accidentală cu hidrocarburi în vigoare pentru mediul marin şi fluviul Dunǎrea (HG nr. 893/2006, pentru modificarea HG nr. 1593/2002, privind aprobarea „Planului Naţional de pregatire, răspuns şi cooperare în caz de poluare marină cu hidrocarburi”, pot fi inoperabile, în anumite condiţii, din cauza lipsei unui sistem de avertizare în timp real şi a dotărilor tehnice, uneori insuficiente.</w:t>
      </w:r>
    </w:p>
    <w:p w14:paraId="6062A5B4" w14:textId="77777777" w:rsidR="00670FD4" w:rsidRPr="008C6A37" w:rsidRDefault="00670FD4" w:rsidP="00670FD4">
      <w:pPr>
        <w:ind w:firstLine="567"/>
        <w:rPr>
          <w:lang w:val="ro-RO"/>
        </w:rPr>
      </w:pPr>
      <w:r w:rsidRPr="008C6A37">
        <w:rPr>
          <w:u w:val="single"/>
          <w:lang w:val="ro-RO"/>
        </w:rPr>
        <w:lastRenderedPageBreak/>
        <w:t>Poluarea solurilor</w:t>
      </w:r>
      <w:r w:rsidRPr="008C6A37">
        <w:rPr>
          <w:lang w:val="ro-RO"/>
        </w:rPr>
        <w:t xml:space="preserve"> este accentuată de multitudinea de activități desfășurate în acest areal, de la agricultură, care se desfășoară pe o suprafață considerabilă în majoritatea UAT-urilor, trecând prin dezvoltare urbană, turism și până la activități industriale.</w:t>
      </w:r>
    </w:p>
    <w:p w14:paraId="437BDFBA" w14:textId="77777777" w:rsidR="00670FD4" w:rsidRPr="008C6A37" w:rsidRDefault="00670FD4" w:rsidP="00670FD4">
      <w:pPr>
        <w:ind w:firstLine="567"/>
        <w:rPr>
          <w:lang w:val="ro-RO"/>
        </w:rPr>
      </w:pPr>
      <w:r w:rsidRPr="008C6A37">
        <w:rPr>
          <w:lang w:val="ro-RO"/>
        </w:rPr>
        <w:t xml:space="preserve">Terenurile agricole pot fi contaminate de poluanți caracteristici acestei activități, respectiv pesticide, îngrășăminte minerale și naturale, reziduuri de materiale plastice de la activități agricole și deșeuri de la comunitățile din zona rurală. </w:t>
      </w:r>
    </w:p>
    <w:p w14:paraId="0242CDA6" w14:textId="77777777" w:rsidR="00670FD4" w:rsidRPr="008C6A37" w:rsidRDefault="00670FD4" w:rsidP="00670FD4">
      <w:pPr>
        <w:ind w:firstLine="567"/>
        <w:rPr>
          <w:lang w:val="ro-RO"/>
        </w:rPr>
      </w:pPr>
      <w:r w:rsidRPr="008C6A37">
        <w:rPr>
          <w:lang w:val="ro-RO"/>
        </w:rPr>
        <w:t xml:space="preserve">Alți potențiali contaminanți pentru sol provin din zonele urbane, sursele putând fi de natură domestică, din activități agricole/horticole urbane sau periurbane, utilizarea de pesticide în zona urbană (ex. pentru gestionarea spațiilor verzi), scurgeri accidentale de substanțe toxice, deșeuri municipale, deșeuri medicale, deșeuri de la echipamente electronice, etc.  </w:t>
      </w:r>
    </w:p>
    <w:p w14:paraId="57D7FC12" w14:textId="77777777" w:rsidR="00670FD4" w:rsidRPr="008C6A37" w:rsidRDefault="00670FD4" w:rsidP="00670FD4">
      <w:pPr>
        <w:ind w:firstLine="567"/>
        <w:rPr>
          <w:i/>
          <w:lang w:val="ro-RO"/>
        </w:rPr>
      </w:pPr>
      <w:r w:rsidRPr="008C6A37">
        <w:rPr>
          <w:i/>
          <w:lang w:val="ro-RO"/>
        </w:rPr>
        <w:t>Introducerea de nutrienți în apă și soluri</w:t>
      </w:r>
    </w:p>
    <w:p w14:paraId="13EE232C" w14:textId="77777777" w:rsidR="00670FD4" w:rsidRPr="008C6A37" w:rsidRDefault="00670FD4" w:rsidP="00670FD4">
      <w:pPr>
        <w:ind w:firstLine="567"/>
        <w:rPr>
          <w:lang w:val="ro-RO"/>
        </w:rPr>
      </w:pPr>
      <w:r w:rsidRPr="008C6A37">
        <w:rPr>
          <w:lang w:val="ro-RO"/>
        </w:rPr>
        <w:t xml:space="preserve">Introducerea de nutrienți și materie organică în mediul acvatic (atât dulcicol, cât și marin) conduce la fenomenul de eutrofizare, cu consecințe negative, uneori dramatice, asupra ecosistemelor acvatice, respectiv înfloriri algale, uneori toxice și dezoxigenare, în unele cazuri până la anoxie (fenomen întâlnit din ce în ce mai des în lacurile, canalele și gârlele din Delta Dunării . </w:t>
      </w:r>
    </w:p>
    <w:p w14:paraId="31C8174B" w14:textId="77777777" w:rsidR="00670FD4" w:rsidRPr="008C6A37" w:rsidRDefault="00670FD4" w:rsidP="00670FD4">
      <w:pPr>
        <w:ind w:firstLine="567"/>
        <w:rPr>
          <w:lang w:val="ro-RO"/>
        </w:rPr>
      </w:pPr>
      <w:r w:rsidRPr="008C6A37">
        <w:rPr>
          <w:lang w:val="ro-RO"/>
        </w:rPr>
        <w:t>Sursele de introducere a compușilor cu N și P în mediul acvatic sunt, în general aceleași, ca și în cazul compușilor sintetici și nesintetici.</w:t>
      </w:r>
    </w:p>
    <w:p w14:paraId="64325696" w14:textId="77777777" w:rsidR="00670FD4" w:rsidRPr="008C6A37" w:rsidRDefault="00670FD4" w:rsidP="00670FD4">
      <w:pPr>
        <w:ind w:firstLine="567"/>
        <w:rPr>
          <w:lang w:val="ro-RO"/>
        </w:rPr>
      </w:pPr>
      <w:r w:rsidRPr="008C6A37">
        <w:rPr>
          <w:lang w:val="ro-RO"/>
        </w:rPr>
        <w:t>Pentru solurile din zona costieră introducerea de materie organică și substanțe cu P și N, ca și presiune antropică, se realizează tot prin intermediul agriculturii, aportul cel mai important avându-l în acest caz substanțele fertilizante utilizate pentru susținerea și creșterea producției agricole.</w:t>
      </w:r>
    </w:p>
    <w:p w14:paraId="7A309720" w14:textId="77777777" w:rsidR="00670FD4" w:rsidRPr="008C6A37" w:rsidRDefault="00670FD4" w:rsidP="00670FD4">
      <w:pPr>
        <w:ind w:firstLine="567"/>
        <w:rPr>
          <w:lang w:val="ro-RO"/>
        </w:rPr>
      </w:pPr>
      <w:r w:rsidRPr="008C6A37">
        <w:rPr>
          <w:i/>
          <w:lang w:val="ro-RO"/>
        </w:rPr>
        <w:t>Introducerea de deșeuri</w:t>
      </w:r>
    </w:p>
    <w:p w14:paraId="35229046" w14:textId="77777777" w:rsidR="00670FD4" w:rsidRPr="00087C42" w:rsidRDefault="00670FD4" w:rsidP="00670FD4">
      <w:pPr>
        <w:ind w:firstLine="567"/>
        <w:rPr>
          <w:color w:val="FF0000"/>
          <w:lang w:val="ro-RO"/>
        </w:rPr>
      </w:pPr>
      <w:r w:rsidRPr="008C6A37">
        <w:rPr>
          <w:lang w:val="ro-RO"/>
        </w:rPr>
        <w:t>În ciuda existenței a numeroase reglementări legislative (</w:t>
      </w:r>
      <w:r w:rsidRPr="00087C42">
        <w:rPr>
          <w:lang w:val="ro-RO"/>
        </w:rPr>
        <w:t xml:space="preserve">Ordonanța de Urgență 92/2021 privind regimul deșeurilor, </w:t>
      </w:r>
      <w:r w:rsidRPr="008C6A37">
        <w:rPr>
          <w:lang w:val="ro-RO"/>
        </w:rPr>
        <w:t>Legea 181/2020 privind gestionarea deșeurilor nepericuloase compostabile</w:t>
      </w:r>
      <w:r w:rsidRPr="00087C42">
        <w:rPr>
          <w:lang w:val="ro-RO"/>
        </w:rPr>
        <w:t xml:space="preserve">, Ordonanța Guvernului nr. 2/2021 privind depozitarea deșeurilor, </w:t>
      </w:r>
      <w:r w:rsidRPr="008C6A37">
        <w:rPr>
          <w:lang w:val="ro-RO"/>
        </w:rPr>
        <w:t xml:space="preserve">etc.), strategii și planuri de management a deșeurilor la nivel național (Planul Național privind gestionarea deșeurilor) și local (Plan Județean de Gestionare a Deșeurilor Județul Constanța 2020-2025, Plan Județean de gestionare a Deșeurilor Județul Tulcea), problema introducerii deșeurilor în mediu încă persistă în zona costieră. Deși gradul de conectare al populației la serviciile de salubrizare în zona costieră este ridicat, există 3 UAT-uri (Istria, Mihai Viteazu și Săcele) neconectate încă la serviciile de colectare și transport a deșeurilor municipale (conform PJDG Constanța 2020-2025). În ciuda unui procent relativ ridicat de colectare și transfer a deșeurilor municipale la nivelul zonei costiere, există încă problema depozitării ilegale a deșeurilor, fapt “încurajat“ și de lipsa unui control strict și de aplicare a sancțiunilor din partea autorităților competente. </w:t>
      </w:r>
    </w:p>
    <w:p w14:paraId="0A05ABC5" w14:textId="77777777" w:rsidR="00670FD4" w:rsidRPr="008C6A37" w:rsidRDefault="00670FD4" w:rsidP="00670FD4">
      <w:pPr>
        <w:ind w:firstLine="567"/>
        <w:rPr>
          <w:lang w:val="ro-RO"/>
        </w:rPr>
      </w:pPr>
      <w:r w:rsidRPr="008C6A37">
        <w:rPr>
          <w:lang w:val="ro-RO"/>
        </w:rPr>
        <w:t>De asemenea, problema deșeurile marine, atât a celor plutitoare, cât și a celor scufundate, este insuficient abordată</w:t>
      </w:r>
      <w:r>
        <w:rPr>
          <w:lang w:val="ro-RO"/>
        </w:rPr>
        <w:t xml:space="preserve"> în cadrul implementării Directivei Cadru privind Strategia pentru Mediul Marin, </w:t>
      </w:r>
      <w:r w:rsidRPr="008C6A37">
        <w:rPr>
          <w:lang w:val="ro-RO"/>
        </w:rPr>
        <w:t>fiind necesare creșterea capabilităților de monitorizare a acestora, precum și acțiuni vizând colectarea și tratarea / reciclarea lor.</w:t>
      </w:r>
    </w:p>
    <w:p w14:paraId="169B4BFB" w14:textId="77777777" w:rsidR="00670FD4" w:rsidRPr="008C6A37" w:rsidRDefault="00670FD4" w:rsidP="00670FD4">
      <w:pPr>
        <w:ind w:firstLine="567"/>
        <w:rPr>
          <w:lang w:val="ro-RO"/>
        </w:rPr>
      </w:pPr>
      <w:r w:rsidRPr="008C6A37">
        <w:rPr>
          <w:lang w:val="ro-RO"/>
        </w:rPr>
        <w:lastRenderedPageBreak/>
        <w:t xml:space="preserve">O altă problemă legată de managementul deșeurilor se referă la procentul ridicat de deșeuri </w:t>
      </w:r>
      <w:r>
        <w:rPr>
          <w:lang w:val="ro-RO"/>
        </w:rPr>
        <w:t xml:space="preserve">eliminate prin </w:t>
      </w:r>
      <w:r w:rsidRPr="008C6A37">
        <w:rPr>
          <w:lang w:val="ro-RO"/>
        </w:rPr>
        <w:t>depozita</w:t>
      </w:r>
      <w:r>
        <w:rPr>
          <w:lang w:val="ro-RO"/>
        </w:rPr>
        <w:t>r</w:t>
      </w:r>
      <w:r w:rsidRPr="008C6A37">
        <w:rPr>
          <w:lang w:val="ro-RO"/>
        </w:rPr>
        <w:t>e, relevând astfel necesitatea extinderii infrastructurii de tratare a deșeurilor.</w:t>
      </w:r>
    </w:p>
    <w:p w14:paraId="5EBEA47D" w14:textId="77777777" w:rsidR="00670FD4" w:rsidRPr="008C6A37" w:rsidRDefault="00670FD4" w:rsidP="00670FD4">
      <w:pPr>
        <w:ind w:firstLine="567"/>
        <w:rPr>
          <w:i/>
          <w:lang w:val="ro-RO"/>
        </w:rPr>
      </w:pPr>
      <w:r w:rsidRPr="008C6A37">
        <w:rPr>
          <w:i/>
          <w:lang w:val="ro-RO"/>
        </w:rPr>
        <w:t>Introducerea de zgomot</w:t>
      </w:r>
    </w:p>
    <w:p w14:paraId="52B9341D" w14:textId="77777777" w:rsidR="00670FD4" w:rsidRPr="008C6A37" w:rsidRDefault="00670FD4" w:rsidP="00670FD4">
      <w:pPr>
        <w:ind w:firstLine="567"/>
        <w:rPr>
          <w:lang w:val="ro-RO"/>
        </w:rPr>
      </w:pPr>
      <w:r w:rsidRPr="008C6A37">
        <w:rPr>
          <w:lang w:val="ro-RO"/>
        </w:rPr>
        <w:t>Deşi managementul zgomotului ambiant este reglementat prin Legea 121/2019, puţine activităţi economice sau urbanistice aplică prevederile acesteia care, printre altele, stipulează obligaţiile de planificare acustică. Deși această lege impune obligativitatea realizării hărților de zgomot pentru toate aglomerările, drumurile principale, căile ferate principale până la 30.06.2022, nu toate UAT-urile din zona costieră au realizat aceste cartare acustică. De asemenea, această lege prevede obligativitatea ca până în iulie 2023 să fie elaborate planurile de acțiune destinate gestionării zgomotului și a efectelor acestuia, incluzând măsuri de reducere a zgomotului, dacă este necesar. La nivelul zonei costiere, UAT Constanţa are un Plan de acțiune pe zgomot pentru aglomerarea Constanța, elaborat în 2021, care cuprinde evaluarea nivelurilor de presiune acustică rezultate în urma realizării hărții strategice de zgomot pentru municipiul Constanța şi măsurile propuse pentru gestionarea poluării fonice.</w:t>
      </w:r>
    </w:p>
    <w:p w14:paraId="26111B2C" w14:textId="77777777" w:rsidR="00670FD4" w:rsidRPr="008C6A37" w:rsidRDefault="00670FD4" w:rsidP="00670FD4">
      <w:pPr>
        <w:ind w:firstLine="567"/>
        <w:rPr>
          <w:lang w:val="ro-RO"/>
        </w:rPr>
      </w:pPr>
      <w:r w:rsidRPr="008C6A37">
        <w:rPr>
          <w:lang w:val="ro-RO"/>
        </w:rPr>
        <w:t>Totuși această lege nu abordează / reglementează problema zgomotului introdus prin activități desfășurate pe mare, cu excepția transportului naval în interiorul acvatoriilor portuare, ceea ce poate reprezenta o problemă pentru ecosistemul marin, dat fiind efectul negativ pe care zgomotul subacvatic îl are, în special, asupra mamiferelor marine, dar nu numai.</w:t>
      </w:r>
    </w:p>
    <w:p w14:paraId="794C2A44" w14:textId="77777777" w:rsidR="00670FD4" w:rsidRPr="008C6A37" w:rsidRDefault="00670FD4" w:rsidP="00670FD4">
      <w:pPr>
        <w:ind w:firstLine="567"/>
        <w:rPr>
          <w:i/>
          <w:lang w:val="ro-RO"/>
        </w:rPr>
      </w:pPr>
      <w:r w:rsidRPr="008C6A37">
        <w:rPr>
          <w:i/>
          <w:lang w:val="ro-RO"/>
        </w:rPr>
        <w:t>Introducerea de specii invazive</w:t>
      </w:r>
    </w:p>
    <w:p w14:paraId="79FE7740" w14:textId="77777777" w:rsidR="00670FD4" w:rsidRPr="008C6A37" w:rsidRDefault="00670FD4" w:rsidP="00670FD4">
      <w:pPr>
        <w:ind w:firstLine="567"/>
        <w:rPr>
          <w:lang w:val="ro-RO"/>
        </w:rPr>
      </w:pPr>
      <w:r w:rsidRPr="008C6A37">
        <w:rPr>
          <w:lang w:val="ro-RO"/>
        </w:rPr>
        <w:t xml:space="preserve">În zona costieră sunt prezente o serie de specii străine invazive, reprezentând un real factor de risc pentru asociațiile de specii native. Dintre aceste specii, 54 sunt marine, între ele regăsindu-se unele care au dus la reconfigurarea profundă a asociațiilor de specii planctonice – </w:t>
      </w:r>
      <w:r w:rsidRPr="008C6A37">
        <w:rPr>
          <w:i/>
          <w:lang w:val="ro-RO"/>
        </w:rPr>
        <w:t>Oithona davisae</w:t>
      </w:r>
      <w:r w:rsidRPr="008C6A37">
        <w:rPr>
          <w:lang w:val="ro-RO"/>
        </w:rPr>
        <w:t xml:space="preserve">, </w:t>
      </w:r>
      <w:r w:rsidRPr="008C6A37">
        <w:rPr>
          <w:i/>
          <w:lang w:val="ro-RO"/>
        </w:rPr>
        <w:t>Acartia tonsa</w:t>
      </w:r>
      <w:r w:rsidRPr="008C6A37">
        <w:rPr>
          <w:lang w:val="ro-RO"/>
        </w:rPr>
        <w:t xml:space="preserve">, </w:t>
      </w:r>
      <w:r w:rsidRPr="008C6A37">
        <w:rPr>
          <w:i/>
          <w:lang w:val="ro-RO"/>
        </w:rPr>
        <w:t>Mnemiopsis leidyi</w:t>
      </w:r>
      <w:r w:rsidRPr="008C6A37">
        <w:rPr>
          <w:lang w:val="ro-RO"/>
        </w:rPr>
        <w:t xml:space="preserve">, Beroe ovata - și bentale – </w:t>
      </w:r>
      <w:r w:rsidRPr="008C6A37">
        <w:rPr>
          <w:i/>
          <w:lang w:val="ro-RO"/>
        </w:rPr>
        <w:t>Mya arenaria</w:t>
      </w:r>
      <w:r w:rsidRPr="008C6A37">
        <w:rPr>
          <w:lang w:val="ro-RO"/>
        </w:rPr>
        <w:t xml:space="preserve">, </w:t>
      </w:r>
      <w:r w:rsidRPr="008C6A37">
        <w:rPr>
          <w:i/>
          <w:lang w:val="ro-RO"/>
        </w:rPr>
        <w:t>Anadara kagoshimensis</w:t>
      </w:r>
      <w:r w:rsidRPr="008C6A37">
        <w:rPr>
          <w:lang w:val="ro-RO"/>
        </w:rPr>
        <w:t xml:space="preserve">, </w:t>
      </w:r>
      <w:r w:rsidRPr="008C6A37">
        <w:rPr>
          <w:i/>
          <w:lang w:val="ro-RO"/>
        </w:rPr>
        <w:t>Rapana venosa.</w:t>
      </w:r>
      <w:r w:rsidRPr="008C6A37">
        <w:rPr>
          <w:lang w:val="ro-RO"/>
        </w:rPr>
        <w:t xml:space="preserve"> De menționat că Marea Neagră s-a confruntat cu colapsul total al stocurilor de pești native datorită pătrunderii specie invazive </w:t>
      </w:r>
      <w:r w:rsidRPr="008C6A37">
        <w:rPr>
          <w:i/>
          <w:lang w:val="ro-RO"/>
        </w:rPr>
        <w:t>Mnemiopsis leidyi</w:t>
      </w:r>
      <w:r w:rsidRPr="008C6A37">
        <w:rPr>
          <w:lang w:val="ro-RO"/>
        </w:rPr>
        <w:t xml:space="preserve">, devenind un studiu de caz în cee ace privește falimentarea industriei piscicole din statele riverane bazate pe speciile de pești din marea Neagră. În habitatele terestre un inventar al speciilor invazive include peste 150 de taxoni, cea mai mare parte nevertebrate dar și specii de pești, atât marini cât și de apă dulce (crapii chinezești fitofagi - </w:t>
      </w:r>
      <w:r w:rsidRPr="008C6A37">
        <w:rPr>
          <w:i/>
          <w:lang w:val="ro-RO"/>
        </w:rPr>
        <w:t>Aristichthys nobilis</w:t>
      </w:r>
      <w:r w:rsidRPr="008C6A37">
        <w:rPr>
          <w:lang w:val="ro-RO"/>
        </w:rPr>
        <w:t xml:space="preserve">, </w:t>
      </w:r>
      <w:r w:rsidRPr="008C6A37">
        <w:rPr>
          <w:i/>
          <w:lang w:val="ro-RO"/>
        </w:rPr>
        <w:t>Hypophthalichthys molitrix</w:t>
      </w:r>
      <w:r w:rsidRPr="008C6A37">
        <w:rPr>
          <w:lang w:val="ro-RO"/>
        </w:rPr>
        <w:t xml:space="preserve">, </w:t>
      </w:r>
      <w:r w:rsidRPr="008C6A37">
        <w:rPr>
          <w:i/>
          <w:lang w:val="ro-RO"/>
        </w:rPr>
        <w:t>Ctenopharyngodon idella</w:t>
      </w:r>
      <w:r w:rsidRPr="008C6A37">
        <w:rPr>
          <w:lang w:val="ro-RO"/>
        </w:rPr>
        <w:t xml:space="preserve">, speciile de somn pitic – </w:t>
      </w:r>
      <w:r w:rsidRPr="008C6A37">
        <w:rPr>
          <w:i/>
          <w:lang w:val="ro-RO"/>
        </w:rPr>
        <w:t>Ameirus melas</w:t>
      </w:r>
      <w:r w:rsidRPr="008C6A37">
        <w:rPr>
          <w:lang w:val="ro-RO"/>
        </w:rPr>
        <w:t xml:space="preserve">, </w:t>
      </w:r>
      <w:r w:rsidRPr="008C6A37">
        <w:rPr>
          <w:i/>
          <w:iCs/>
          <w:lang w:val="ro-RO"/>
        </w:rPr>
        <w:t>Ameirus nebulosus</w:t>
      </w:r>
      <w:r w:rsidRPr="008C6A37">
        <w:rPr>
          <w:lang w:val="ro-RO"/>
        </w:rPr>
        <w:t xml:space="preserve">) sau mamifere – (bizamul </w:t>
      </w:r>
      <w:r w:rsidRPr="008C6A37">
        <w:rPr>
          <w:i/>
          <w:lang w:val="ro-RO"/>
        </w:rPr>
        <w:t>Ondathra zibethica</w:t>
      </w:r>
      <w:r w:rsidRPr="008C6A37">
        <w:rPr>
          <w:lang w:val="ro-RO"/>
        </w:rPr>
        <w:t xml:space="preserve">, câinele enot </w:t>
      </w:r>
      <w:r w:rsidRPr="008C6A37">
        <w:rPr>
          <w:i/>
          <w:lang w:val="ro-RO"/>
        </w:rPr>
        <w:t>Nyctereutes procyonoides</w:t>
      </w:r>
      <w:r w:rsidRPr="008C6A37">
        <w:rPr>
          <w:lang w:val="ro-RO"/>
        </w:rPr>
        <w:t xml:space="preserve">). Unele din aceste specii, cum sunt speciile de crapi fitofagi, au produs de asemenea reconfigurări majore ale habitatelor dulcicole în Delta Dunării, având un impact puternic asupra comunităților de specii native. </w:t>
      </w:r>
    </w:p>
    <w:p w14:paraId="3231B887" w14:textId="77777777" w:rsidR="00670FD4" w:rsidRPr="008C6A37" w:rsidRDefault="00670FD4" w:rsidP="00670FD4">
      <w:pPr>
        <w:ind w:firstLine="567"/>
        <w:rPr>
          <w:i/>
          <w:lang w:val="ro-RO"/>
        </w:rPr>
      </w:pPr>
      <w:r w:rsidRPr="008C6A37">
        <w:rPr>
          <w:i/>
          <w:lang w:val="ro-RO"/>
        </w:rPr>
        <w:t>Degradarea / pierderea habitatelor terestre și acvatice</w:t>
      </w:r>
    </w:p>
    <w:p w14:paraId="3880EAA3" w14:textId="77777777" w:rsidR="00670FD4" w:rsidRPr="008C6A37" w:rsidRDefault="00670FD4" w:rsidP="00670FD4">
      <w:pPr>
        <w:ind w:firstLine="567"/>
        <w:rPr>
          <w:lang w:val="ro-RO"/>
        </w:rPr>
      </w:pPr>
      <w:r w:rsidRPr="008C6A37">
        <w:rPr>
          <w:lang w:val="ro-RO"/>
        </w:rPr>
        <w:t>Pentru zona costieră, degradarea și pierderea suprafețelor cu habitate naturale se referă mai puțin la zona terestră și mai mult la zona marină. Dacă în mediul terestru situația este cât de cât sub control, existența rețelei de arii protejate Natura 2000 asigurând păstrarea stării de conservare a habitatelor terestre, în cazul mediului marin situația este diferită.</w:t>
      </w:r>
    </w:p>
    <w:p w14:paraId="44B62FA7" w14:textId="77777777" w:rsidR="00670FD4" w:rsidRPr="008C6A37" w:rsidRDefault="00670FD4" w:rsidP="00670FD4">
      <w:pPr>
        <w:ind w:firstLine="567"/>
        <w:rPr>
          <w:lang w:val="ro-RO"/>
        </w:rPr>
      </w:pPr>
      <w:r w:rsidRPr="008C6A37">
        <w:rPr>
          <w:lang w:val="ro-RO"/>
        </w:rPr>
        <w:lastRenderedPageBreak/>
        <w:t xml:space="preserve">În cazul habitatelor terestre, singura zonă protejată în care se poate vorbi despre degradarea habitatelor naturale este cea din sudul RBDD, de la Corbu–Vadu, unde un turism scăpat de sub control și care nu respectă normele și regulamentele pentru o Rezervație a Biosferei produce an de an o degradare a habitatelor costiere din zona litorală, toate foarte sensibile la impactul antropic. Alte zone unde dezvoltarea proiectelor imobiliare s-a realizat fără respectarea normelor de protecție a habitatelor sunt zona cordonului litoral dintre Eforie Nord și Eforie Sud și zona situată la nord de stațiunea Mamaia, unde practic nu mai există decât petice din habitatele naturale, însă aceste zone nu sunt incluse în arii protejate Natura 2000 </w:t>
      </w:r>
    </w:p>
    <w:p w14:paraId="1C4EFB9A" w14:textId="77777777" w:rsidR="00670FD4" w:rsidRPr="008C6A37" w:rsidRDefault="00670FD4" w:rsidP="00670FD4">
      <w:pPr>
        <w:ind w:firstLine="567"/>
        <w:rPr>
          <w:lang w:val="ro-RO"/>
        </w:rPr>
      </w:pPr>
      <w:r w:rsidRPr="008C6A37">
        <w:rPr>
          <w:lang w:val="ro-RO"/>
        </w:rPr>
        <w:t xml:space="preserve">Habitatele marine suferă în prezent consecințele proiectului de înnisipare a plajelor de la litoralul românesc. Lărgirea plajelor din sudul litoralului și din zona Constanța cu circa 100 de m, afectează toate ariile incluse în rețeaua Natura 2000, arii protejate care au limita la zona de spargere a valurilor. </w:t>
      </w:r>
    </w:p>
    <w:p w14:paraId="1D1705EF" w14:textId="77777777" w:rsidR="00670FD4" w:rsidRPr="008C6A37" w:rsidRDefault="00670FD4" w:rsidP="00670FD4">
      <w:pPr>
        <w:ind w:firstLine="567"/>
        <w:rPr>
          <w:lang w:val="ro-RO"/>
        </w:rPr>
      </w:pPr>
      <w:r w:rsidRPr="008C6A37">
        <w:rPr>
          <w:lang w:val="ro-RO"/>
        </w:rPr>
        <w:t>Activitățile de pescuit cu unelte active exercită, de asemenea, o presiune semnificativă asupra stării habitatelor bentale. Utilizarea beam-traulelor afectează semnificativ habitatele și comunitățile bentale prin perturbarea fizică a fundului mării în perimetrul delimitat de izobatele de 5-7 m şi 30 m adâncime, de la Constanţa până la Peninsula Sacalin din zona RBDD, suprafaţa totală afectată fiind de aproximativ 1326 km</w:t>
      </w:r>
      <w:r w:rsidRPr="008C6A37">
        <w:rPr>
          <w:vertAlign w:val="superscript"/>
          <w:lang w:val="ro-RO"/>
        </w:rPr>
        <w:t>2</w:t>
      </w:r>
      <w:r w:rsidRPr="008C6A37">
        <w:rPr>
          <w:lang w:val="ro-RO"/>
        </w:rPr>
        <w:t xml:space="preserve"> (INCDM, 2022).</w:t>
      </w:r>
    </w:p>
    <w:p w14:paraId="174B6423" w14:textId="77777777" w:rsidR="00670FD4" w:rsidRPr="008C6A37" w:rsidRDefault="00670FD4" w:rsidP="00670FD4">
      <w:pPr>
        <w:ind w:firstLine="567"/>
        <w:rPr>
          <w:i/>
          <w:lang w:val="ro-RO"/>
        </w:rPr>
      </w:pPr>
      <w:r w:rsidRPr="008C6A37">
        <w:rPr>
          <w:i/>
          <w:lang w:val="ro-RO"/>
        </w:rPr>
        <w:t>Pescuitul ilegal și excesiv</w:t>
      </w:r>
    </w:p>
    <w:p w14:paraId="424D630A" w14:textId="77777777" w:rsidR="00670FD4" w:rsidRPr="008C6A37" w:rsidRDefault="00670FD4" w:rsidP="00670FD4">
      <w:pPr>
        <w:ind w:firstLine="567"/>
        <w:rPr>
          <w:lang w:val="ro-RO"/>
        </w:rPr>
      </w:pPr>
      <w:r w:rsidRPr="008C6A37">
        <w:rPr>
          <w:lang w:val="ro-RO"/>
        </w:rPr>
        <w:t>Pescuitul ilegal, nedeclarat și nereglementat epuizează stocurile de pește (mărimea relativă a populaţiilor de pești ierbivori și prădători), reprezentând una dintre cele mai mari amenințări pentru ecosistemele marine, cu risc de colaps biologic şi ecologic de durată incertă. Astfel se explică: a) dispariția din capturi a peștilor pelagici (pălămida, scrumbia albastră, etc.) în favoarea speciilor de talie mică (hamsia şi şprotul); b) impactul indirect asupra populaţiilor de delfini, prin diminuarea surselor de hrană preferată de aceştia, c) necesitatea adaptării peștilor la noi surse de hrană și a sistemelor de pescuit; d) reducerea biodiversității speciilor din Delta Dunării.</w:t>
      </w:r>
    </w:p>
    <w:p w14:paraId="2DDD45AF" w14:textId="77777777" w:rsidR="00670FD4" w:rsidRPr="008C6A37" w:rsidRDefault="00670FD4" w:rsidP="00670FD4">
      <w:pPr>
        <w:ind w:firstLine="567"/>
        <w:rPr>
          <w:lang w:val="ro-RO"/>
        </w:rPr>
      </w:pPr>
      <w:r w:rsidRPr="008C6A37">
        <w:rPr>
          <w:lang w:val="ro-RO"/>
        </w:rPr>
        <w:t>În România, Programul pentru Acvacultură și Pescuit 2021-2027 prevede abordări specifice pentru contracararea pescuitului excesiv și ilegal. În prezent, stabilirea și aplicarea măsurilor tehnice de reglementare a pescuitului (zone, perioade, mărimi ale speciilor, tipuri de unelte, dimensiunea ochiului de plasă, etc.), precum și controlul efortului de pescuit şi capturii total admisibile (TAC-ului) a redus semnificativ această presiune. Totuși ANPA a raportat, în 2019, capturi ilegale (1184,5 kg calcan, 15,3 kg rechin și 11,85 kg pisică de mare)</w:t>
      </w:r>
    </w:p>
    <w:p w14:paraId="1CC71641" w14:textId="77777777" w:rsidR="00670FD4" w:rsidRPr="008C6A37" w:rsidRDefault="00670FD4" w:rsidP="00670FD4">
      <w:pPr>
        <w:ind w:firstLine="567"/>
        <w:rPr>
          <w:i/>
          <w:lang w:val="ro-RO"/>
        </w:rPr>
      </w:pPr>
      <w:r w:rsidRPr="008C6A37">
        <w:rPr>
          <w:i/>
          <w:lang w:val="ro-RO"/>
        </w:rPr>
        <w:t>Dezvoltarea urbană excesivă și necontrolată</w:t>
      </w:r>
    </w:p>
    <w:p w14:paraId="1CAD80A0" w14:textId="77777777" w:rsidR="00670FD4" w:rsidRPr="008C6A37" w:rsidRDefault="00670FD4" w:rsidP="00670FD4">
      <w:pPr>
        <w:ind w:firstLine="567"/>
        <w:rPr>
          <w:lang w:val="ro-RO"/>
        </w:rPr>
      </w:pPr>
      <w:r w:rsidRPr="008C6A37">
        <w:rPr>
          <w:lang w:val="ro-RO"/>
        </w:rPr>
        <w:t>În timp ce în partea nordică a zonei costiere, aferentă Deltei Dunării, se înregistrează un proces de restrângere a funcțiunii teritoriale de locuire care urmează procesul de depopulare a comunităților, în partea sudică a zonei costiere se înregistrează un model de „Expansiune urbană necontrolată” descris în Strategia națională de dezvoltare integrată pentru orașe reziliente, verzi, incluzive și competitive 2022- 2035.</w:t>
      </w:r>
    </w:p>
    <w:p w14:paraId="472C38C4" w14:textId="77777777" w:rsidR="00670FD4" w:rsidRPr="008C6A37" w:rsidRDefault="00670FD4" w:rsidP="00670FD4">
      <w:pPr>
        <w:ind w:firstLine="567"/>
        <w:rPr>
          <w:lang w:val="ro-RO"/>
        </w:rPr>
      </w:pPr>
      <w:r w:rsidRPr="008C6A37">
        <w:rPr>
          <w:lang w:val="ro-RO"/>
        </w:rPr>
        <w:t xml:space="preserve">Expansiunea urbană necontrolată (excesivă) constituie una dintre cele mai importante presiuni asupra zonei costiere, în special în sectorul său sudic, și este caracterizată prin creșterea populației stabile și a celei sezoniere ca urmare a extinderii necontrolate a zonelor construite </w:t>
      </w:r>
      <w:r w:rsidRPr="008C6A37">
        <w:rPr>
          <w:lang w:val="ro-RO"/>
        </w:rPr>
        <w:lastRenderedPageBreak/>
        <w:t xml:space="preserve">pentru rezidență și turism pe seama terenurilor agricole, extinderi de tip „ribbon”, metropolizare și densificare, în multe cazuri fără asigurarea prealabilă, sau măcar concomitentă cu investițiile în locuințe și unități de primire turistică, a infrastructurilor și serviciilor publice tehnico-edilitare. Problema rezidă din lipsa capacității autorităților publice locale (în unele cazuri lipsa interesului) de a restricționa extinderea teritoriilor intravilane pentru noi dezvoltări, din cauza sistemului de reglementări foarte permisiv, coroborat cu imposibilitatea bugetelor locale de a asigura finanțare sau accesul la finanțare pentru infrastructurile tehnico-edilitare în același ritm cu investițiile imobiliare. </w:t>
      </w:r>
    </w:p>
    <w:p w14:paraId="068A8B5A" w14:textId="77777777" w:rsidR="00670FD4" w:rsidRPr="008C6A37" w:rsidRDefault="00670FD4" w:rsidP="00670FD4">
      <w:pPr>
        <w:ind w:firstLine="567"/>
        <w:rPr>
          <w:lang w:val="ro-RO"/>
        </w:rPr>
      </w:pPr>
      <w:r w:rsidRPr="008C6A37">
        <w:rPr>
          <w:lang w:val="ro-RO"/>
        </w:rPr>
        <w:t>De asemenea, în multe cazuri expansiunea urbană are loc și fără a se asigura infrastructuri și servicii sociale (educație, sănătate, agrement, inclusiv spații verzi). Investițiile total insuficiente pentru infrastructuri sociale cheie în zona dezvoltărilor imobiliare, coroborat cu lipsa de interes a dezvoltatorilor de a suporta astfel de cheltuieli, a comportamentului speculativ–imobiliar al acestora, constituie de asemenea o problemă atât din punct de vedere al bunăstării populației, cât și de mediu.</w:t>
      </w:r>
    </w:p>
    <w:p w14:paraId="0C10AE80" w14:textId="77777777" w:rsidR="00670FD4" w:rsidRPr="008C6A37" w:rsidRDefault="00670FD4" w:rsidP="00670FD4">
      <w:pPr>
        <w:ind w:firstLine="567"/>
        <w:rPr>
          <w:lang w:val="ro-RO"/>
        </w:rPr>
      </w:pPr>
      <w:r w:rsidRPr="008C6A37">
        <w:rPr>
          <w:lang w:val="ro-RO"/>
        </w:rPr>
        <w:t xml:space="preserve">O altă consecință a dezvoltării urbane necontrolate este și consumul de teren, în special cel agricol, prin extinderile de tip “green fields”. </w:t>
      </w:r>
    </w:p>
    <w:p w14:paraId="77031DD1" w14:textId="77777777" w:rsidR="00670FD4" w:rsidRPr="008C6A37" w:rsidRDefault="00670FD4" w:rsidP="00670FD4">
      <w:pPr>
        <w:ind w:firstLine="567"/>
        <w:rPr>
          <w:i/>
          <w:lang w:val="ro-RO"/>
        </w:rPr>
      </w:pPr>
      <w:r w:rsidRPr="008C6A37">
        <w:rPr>
          <w:i/>
          <w:lang w:val="ro-RO"/>
        </w:rPr>
        <w:t>Modificarea condițiilor hidrologice</w:t>
      </w:r>
    </w:p>
    <w:p w14:paraId="4D9BD967" w14:textId="77777777" w:rsidR="00670FD4" w:rsidRPr="008C6A37" w:rsidRDefault="00670FD4" w:rsidP="00670FD4">
      <w:pPr>
        <w:ind w:firstLine="567"/>
        <w:rPr>
          <w:lang w:val="ro-RO"/>
        </w:rPr>
      </w:pPr>
      <w:r w:rsidRPr="008C6A37">
        <w:rPr>
          <w:lang w:val="ro-RO"/>
        </w:rPr>
        <w:t>Dacă în partea de nord a zonei costiere modificările hidrologice nu induc efecte negative, ci dimpotrivă contribuie la restaurarea / reconstrucția ecologică a zonelor umede deteriorate, în partea sudică lucrările de protecție contra eroziunii costiere, pe lângă beneficii majore (reducerea eroziunii, creșterea turismului) conduc la modificări ale regimului curenților marini din zona de țărm (ex. curenți de tip rip) afectând, în sens negativ, habitatele bentale, biodiversitatea, dar și activitatea de turism (implicaț</w:t>
      </w:r>
      <w:r>
        <w:rPr>
          <w:lang w:val="ro-RO"/>
        </w:rPr>
        <w:t>ii asupra siguranței plajelor).</w:t>
      </w:r>
    </w:p>
    <w:p w14:paraId="6EF035A2" w14:textId="77777777" w:rsidR="00670FD4" w:rsidRPr="00940876" w:rsidRDefault="00670FD4" w:rsidP="00670FD4">
      <w:pPr>
        <w:pStyle w:val="Heading3"/>
      </w:pPr>
      <w:bookmarkStart w:id="19" w:name="_Toc150247013"/>
      <w:bookmarkStart w:id="20" w:name="_Toc171084809"/>
      <w:r w:rsidRPr="00940876">
        <w:t xml:space="preserve">1.3.6. Cadrul instituțional și legislativ actual. Probleme și nevoi </w:t>
      </w:r>
      <w:r w:rsidRPr="005D2CE5">
        <w:t>identificate</w:t>
      </w:r>
      <w:bookmarkEnd w:id="19"/>
      <w:bookmarkEnd w:id="20"/>
    </w:p>
    <w:p w14:paraId="1046734D" w14:textId="77777777" w:rsidR="00670FD4" w:rsidRPr="008C6A37" w:rsidRDefault="00670FD4" w:rsidP="00670FD4">
      <w:pPr>
        <w:ind w:firstLine="567"/>
        <w:rPr>
          <w:lang w:val="ro-RO"/>
        </w:rPr>
      </w:pPr>
      <w:r w:rsidRPr="008C6A37">
        <w:rPr>
          <w:lang w:val="ro-RO"/>
        </w:rPr>
        <w:t>În prezent, pe lângă autoritatea publică centrală pentru protecţia mediului şi gospodărirea apelor (Ministerul Mediului, Apelor și Pădurilor) funcționează Comitetul Național al Zonei Costiere (CNZC), înființat în baza Ordonanţei de Urgență nr. 202/2002 privind gospodărirea zonei costiere, aprobată cu modificări prin Legea nr. 280/2003, cu următoarele atribuții:</w:t>
      </w:r>
    </w:p>
    <w:p w14:paraId="79C216BA" w14:textId="77777777" w:rsidR="00670FD4" w:rsidRPr="008C6A37" w:rsidRDefault="00670FD4" w:rsidP="00670FD4">
      <w:pPr>
        <w:ind w:firstLine="567"/>
        <w:rPr>
          <w:lang w:val="ro-RO"/>
        </w:rPr>
      </w:pPr>
      <w:r w:rsidRPr="008C6A37">
        <w:rPr>
          <w:lang w:val="ro-RO"/>
        </w:rPr>
        <w:t>•</w:t>
      </w:r>
      <w:r w:rsidRPr="008C6A37">
        <w:rPr>
          <w:lang w:val="ro-RO"/>
        </w:rPr>
        <w:tab/>
        <w:t>avizarea planurilor de gospodărire integrată a zonei costiere și a planurilor de urbanism locale și zonale;</w:t>
      </w:r>
    </w:p>
    <w:p w14:paraId="25EEE1E5" w14:textId="77777777" w:rsidR="00670FD4" w:rsidRPr="008C6A37" w:rsidRDefault="00670FD4" w:rsidP="00670FD4">
      <w:pPr>
        <w:ind w:firstLine="567"/>
        <w:rPr>
          <w:lang w:val="ro-RO"/>
        </w:rPr>
      </w:pPr>
      <w:r w:rsidRPr="008C6A37">
        <w:rPr>
          <w:lang w:val="ro-RO"/>
        </w:rPr>
        <w:t>•</w:t>
      </w:r>
      <w:r w:rsidRPr="008C6A37">
        <w:rPr>
          <w:lang w:val="ro-RO"/>
        </w:rPr>
        <w:tab/>
        <w:t>avizarea studiilor de impact pentru activități cu impact semnificativ ce urmează a se desfăşura în zona costieră, precum și a bilanţurilor de mediu ale lucrărilor existente;</w:t>
      </w:r>
    </w:p>
    <w:p w14:paraId="585CDFA3" w14:textId="77777777" w:rsidR="00670FD4" w:rsidRPr="008C6A37" w:rsidRDefault="00670FD4" w:rsidP="00670FD4">
      <w:pPr>
        <w:ind w:firstLine="567"/>
        <w:rPr>
          <w:lang w:val="ro-RO"/>
        </w:rPr>
      </w:pPr>
      <w:r w:rsidRPr="008C6A37">
        <w:rPr>
          <w:lang w:val="ro-RO"/>
        </w:rPr>
        <w:t>•</w:t>
      </w:r>
      <w:r w:rsidRPr="008C6A37">
        <w:rPr>
          <w:lang w:val="ro-RO"/>
        </w:rPr>
        <w:tab/>
        <w:t>avizarea proiectelor de creare de parcuri și rezervaţii naturale marine/aferente zonei costiere.</w:t>
      </w:r>
    </w:p>
    <w:p w14:paraId="7DFC5B0F" w14:textId="77777777" w:rsidR="00670FD4" w:rsidRPr="008C6A37" w:rsidRDefault="00670FD4" w:rsidP="00670FD4">
      <w:pPr>
        <w:ind w:firstLine="567"/>
        <w:rPr>
          <w:lang w:val="ro-RO"/>
        </w:rPr>
      </w:pPr>
      <w:r w:rsidRPr="008C6A37">
        <w:rPr>
          <w:lang w:val="ro-RO"/>
        </w:rPr>
        <w:t>Conform articolului 68 al OUG 202 / 2002 privind gospodărirea zonei costiere, aprobată cu modificări prin Legea nr. 280/2003, din componența CNZC fac parte peste 40 de reprezentanți ai autorităților centrale, locale și regionale, instituțiilor, factorilor interesați și organizațiilor non-guvernamentale.</w:t>
      </w:r>
    </w:p>
    <w:p w14:paraId="553E4F66" w14:textId="77777777" w:rsidR="00670FD4" w:rsidRPr="008C6A37" w:rsidRDefault="00670FD4" w:rsidP="00670FD4">
      <w:pPr>
        <w:ind w:firstLine="567"/>
        <w:rPr>
          <w:lang w:val="ro-RO"/>
        </w:rPr>
      </w:pPr>
      <w:r w:rsidRPr="008C6A37">
        <w:rPr>
          <w:lang w:val="ro-RO"/>
        </w:rPr>
        <w:lastRenderedPageBreak/>
        <w:t>În conformitate cu art. 10 al Regulamentului de organizare și funcționare a Comitetului Național al Zonei Costiere, aprobat pr</w:t>
      </w:r>
      <w:r>
        <w:rPr>
          <w:lang w:val="ro-RO"/>
        </w:rPr>
        <w:t>in H</w:t>
      </w:r>
      <w:r w:rsidRPr="008C6A37">
        <w:rPr>
          <w:lang w:val="ro-RO"/>
        </w:rPr>
        <w:t xml:space="preserve">G 1015/26.06.2004, pentru desfășurarea activității curente, CNZC are, în prezent, un Secretariat Tehnic Permanent al CNZC (STP-CNZC) care este asigurat de către autoritatea publică centrală pentru protecția mediului și gospodărirea apelor și are următoarele atribuţii: </w:t>
      </w:r>
    </w:p>
    <w:p w14:paraId="5278ED1F" w14:textId="77777777" w:rsidR="00670FD4" w:rsidRPr="008C6A37" w:rsidRDefault="00670FD4" w:rsidP="00670FD4">
      <w:pPr>
        <w:ind w:firstLine="567"/>
        <w:rPr>
          <w:lang w:val="ro-RO"/>
        </w:rPr>
      </w:pPr>
      <w:r w:rsidRPr="008C6A37">
        <w:rPr>
          <w:lang w:val="ro-RO"/>
        </w:rPr>
        <w:t>-</w:t>
      </w:r>
      <w:r w:rsidRPr="008C6A37">
        <w:rPr>
          <w:lang w:val="ro-RO"/>
        </w:rPr>
        <w:tab/>
        <w:t xml:space="preserve">pune la dispoziţia CNZC documentele necesare acestuia în vederea adoptării deciziilor; </w:t>
      </w:r>
    </w:p>
    <w:p w14:paraId="042D9BC7" w14:textId="77777777" w:rsidR="00670FD4" w:rsidRPr="008C6A37" w:rsidRDefault="00670FD4" w:rsidP="00670FD4">
      <w:pPr>
        <w:ind w:firstLine="567"/>
        <w:rPr>
          <w:lang w:val="ro-RO"/>
        </w:rPr>
      </w:pPr>
      <w:r w:rsidRPr="008C6A37">
        <w:rPr>
          <w:lang w:val="ro-RO"/>
        </w:rPr>
        <w:t>-</w:t>
      </w:r>
      <w:r w:rsidRPr="008C6A37">
        <w:rPr>
          <w:lang w:val="ro-RO"/>
        </w:rPr>
        <w:tab/>
        <w:t xml:space="preserve">asigură pregătirea și organizarea şedinţelor de lucru ale CNZC, a dezbaterilor publice și a altor acţiuni iniţiate de acesta; </w:t>
      </w:r>
    </w:p>
    <w:p w14:paraId="64BDC8C7" w14:textId="77777777" w:rsidR="00670FD4" w:rsidRPr="008C6A37" w:rsidRDefault="00670FD4" w:rsidP="00670FD4">
      <w:pPr>
        <w:ind w:firstLine="567"/>
        <w:rPr>
          <w:lang w:val="ro-RO"/>
        </w:rPr>
      </w:pPr>
      <w:r w:rsidRPr="008C6A37">
        <w:rPr>
          <w:lang w:val="ro-RO"/>
        </w:rPr>
        <w:t>-</w:t>
      </w:r>
      <w:r w:rsidRPr="008C6A37">
        <w:rPr>
          <w:lang w:val="ro-RO"/>
        </w:rPr>
        <w:tab/>
        <w:t xml:space="preserve">pregăteşte corespondența legată de activitatea curentă a CNZC, în conformitate cu deciziile luate de acesta și transmise de preşedintele CNZC; </w:t>
      </w:r>
    </w:p>
    <w:p w14:paraId="5FCC6FEE" w14:textId="77777777" w:rsidR="00670FD4" w:rsidRPr="008C6A37" w:rsidRDefault="00670FD4" w:rsidP="00670FD4">
      <w:pPr>
        <w:ind w:firstLine="567"/>
        <w:rPr>
          <w:lang w:val="ro-RO"/>
        </w:rPr>
      </w:pPr>
      <w:r w:rsidRPr="008C6A37">
        <w:rPr>
          <w:lang w:val="ro-RO"/>
        </w:rPr>
        <w:t>-</w:t>
      </w:r>
      <w:r w:rsidRPr="008C6A37">
        <w:rPr>
          <w:lang w:val="ro-RO"/>
        </w:rPr>
        <w:tab/>
        <w:t xml:space="preserve">răspunde întrebărilor și/sau solicitărilor persoanelor interesate în orice problemă care face obiectul atribuţiilor CNZC, cu excepţia celor în legătură cu care CNZC nu a adoptat încă o decizie; </w:t>
      </w:r>
    </w:p>
    <w:p w14:paraId="40EEDE0B" w14:textId="77777777" w:rsidR="00670FD4" w:rsidRPr="008C6A37" w:rsidRDefault="00670FD4" w:rsidP="00670FD4">
      <w:pPr>
        <w:ind w:firstLine="567"/>
        <w:rPr>
          <w:lang w:val="ro-RO"/>
        </w:rPr>
      </w:pPr>
      <w:r w:rsidRPr="008C6A37">
        <w:rPr>
          <w:lang w:val="ro-RO"/>
        </w:rPr>
        <w:t>-</w:t>
      </w:r>
      <w:r w:rsidRPr="008C6A37">
        <w:rPr>
          <w:lang w:val="ro-RO"/>
        </w:rPr>
        <w:tab/>
        <w:t xml:space="preserve">asigură întocmirea proceselor-verbale ale fiecărei şedinţe de lucru și ale dezbaterilor publice; </w:t>
      </w:r>
    </w:p>
    <w:p w14:paraId="26C92B02" w14:textId="77777777" w:rsidR="00670FD4" w:rsidRPr="008C6A37" w:rsidRDefault="00670FD4" w:rsidP="00670FD4">
      <w:pPr>
        <w:ind w:firstLine="567"/>
        <w:rPr>
          <w:lang w:val="ro-RO"/>
        </w:rPr>
      </w:pPr>
      <w:r w:rsidRPr="008C6A37">
        <w:rPr>
          <w:lang w:val="ro-RO"/>
        </w:rPr>
        <w:t>-</w:t>
      </w:r>
      <w:r w:rsidRPr="008C6A37">
        <w:rPr>
          <w:lang w:val="ro-RO"/>
        </w:rPr>
        <w:tab/>
        <w:t xml:space="preserve">elaborează proiectele programului de lucru anual în vederea desfășurării activităţilor CNZC și le supune aprobării acestuia. </w:t>
      </w:r>
    </w:p>
    <w:p w14:paraId="0E83AB7E" w14:textId="77777777" w:rsidR="00670FD4" w:rsidRPr="008C6A37" w:rsidRDefault="00670FD4" w:rsidP="00670FD4">
      <w:pPr>
        <w:ind w:firstLine="567"/>
        <w:rPr>
          <w:lang w:val="ro-RO"/>
        </w:rPr>
      </w:pPr>
      <w:r w:rsidRPr="008C6A37">
        <w:rPr>
          <w:lang w:val="ro-RO"/>
        </w:rPr>
        <w:t xml:space="preserve">În cadrul CNZC sunt constituite, în prezent, șase Grupuri de Lucru, după cum urmează: </w:t>
      </w:r>
    </w:p>
    <w:p w14:paraId="6C56CA5A" w14:textId="77777777" w:rsidR="00670FD4" w:rsidRPr="008C6A37" w:rsidRDefault="00670FD4" w:rsidP="00670FD4">
      <w:pPr>
        <w:ind w:firstLine="567"/>
        <w:rPr>
          <w:lang w:val="ro-RO"/>
        </w:rPr>
      </w:pPr>
      <w:r w:rsidRPr="008C6A37">
        <w:rPr>
          <w:lang w:val="ro-RO"/>
        </w:rPr>
        <w:t>-</w:t>
      </w:r>
      <w:r w:rsidRPr="008C6A37">
        <w:rPr>
          <w:lang w:val="ro-RO"/>
        </w:rPr>
        <w:tab/>
        <w:t>Grupul de lucru pentru delimitarea zonei costiere, urbanism și amenajarea teritoriului;</w:t>
      </w:r>
    </w:p>
    <w:p w14:paraId="589DC6C5" w14:textId="77777777" w:rsidR="00670FD4" w:rsidRPr="008C6A37" w:rsidRDefault="00670FD4" w:rsidP="00670FD4">
      <w:pPr>
        <w:ind w:firstLine="567"/>
        <w:rPr>
          <w:lang w:val="ro-RO"/>
        </w:rPr>
      </w:pPr>
      <w:r w:rsidRPr="008C6A37">
        <w:rPr>
          <w:lang w:val="ro-RO"/>
        </w:rPr>
        <w:t>-</w:t>
      </w:r>
      <w:r w:rsidRPr="008C6A37">
        <w:rPr>
          <w:lang w:val="ro-RO"/>
        </w:rPr>
        <w:tab/>
        <w:t xml:space="preserve">Grupul de lucru pentru combaterea degradării Zonei Costiere prin eroziune marină, alunecări de teren și alte accidente; </w:t>
      </w:r>
    </w:p>
    <w:p w14:paraId="37DF58F2" w14:textId="77777777" w:rsidR="00670FD4" w:rsidRPr="008C6A37" w:rsidRDefault="00670FD4" w:rsidP="00670FD4">
      <w:pPr>
        <w:ind w:firstLine="567"/>
        <w:rPr>
          <w:lang w:val="ro-RO"/>
        </w:rPr>
      </w:pPr>
      <w:r w:rsidRPr="008C6A37">
        <w:rPr>
          <w:lang w:val="ro-RO"/>
        </w:rPr>
        <w:t>-</w:t>
      </w:r>
      <w:r w:rsidRPr="008C6A37">
        <w:rPr>
          <w:lang w:val="ro-RO"/>
        </w:rPr>
        <w:tab/>
        <w:t xml:space="preserve">Grupul de lucru pentru elaborarea documentelor juridice, tehnice la nivel naţional, regional și intersectorial referitoare la gestionarea integrată a Zonei Costiere; </w:t>
      </w:r>
    </w:p>
    <w:p w14:paraId="0E640C8A" w14:textId="77777777" w:rsidR="00670FD4" w:rsidRPr="008C6A37" w:rsidRDefault="00670FD4" w:rsidP="00670FD4">
      <w:pPr>
        <w:ind w:firstLine="567"/>
        <w:rPr>
          <w:lang w:val="ro-RO"/>
        </w:rPr>
      </w:pPr>
      <w:r w:rsidRPr="008C6A37">
        <w:rPr>
          <w:lang w:val="ro-RO"/>
        </w:rPr>
        <w:t>-</w:t>
      </w:r>
      <w:r w:rsidRPr="008C6A37">
        <w:rPr>
          <w:lang w:val="ro-RO"/>
        </w:rPr>
        <w:tab/>
        <w:t xml:space="preserve">Grupul de lucru pentru elaborarea de politici, strategii și planuri de acţiune pentru gestionarea integrată a Zonei Costiere; </w:t>
      </w:r>
    </w:p>
    <w:p w14:paraId="2F41CEB2" w14:textId="77777777" w:rsidR="00670FD4" w:rsidRPr="008C6A37" w:rsidRDefault="00670FD4" w:rsidP="00670FD4">
      <w:pPr>
        <w:ind w:firstLine="567"/>
        <w:rPr>
          <w:lang w:val="ro-RO"/>
        </w:rPr>
      </w:pPr>
      <w:r w:rsidRPr="008C6A37">
        <w:rPr>
          <w:lang w:val="ro-RO"/>
        </w:rPr>
        <w:t>-</w:t>
      </w:r>
      <w:r w:rsidRPr="008C6A37">
        <w:rPr>
          <w:lang w:val="ro-RO"/>
        </w:rPr>
        <w:tab/>
        <w:t xml:space="preserve">Grupul de lucru pentru monitorizarea și controlul integrat al patrimoniului, calităţii mediului și activităţilor umane din Zona Costieră; </w:t>
      </w:r>
    </w:p>
    <w:p w14:paraId="0AA33DDC" w14:textId="77777777" w:rsidR="00670FD4" w:rsidRPr="008C6A37" w:rsidRDefault="00670FD4" w:rsidP="00670FD4">
      <w:pPr>
        <w:ind w:firstLine="567"/>
        <w:rPr>
          <w:lang w:val="ro-RO"/>
        </w:rPr>
      </w:pPr>
      <w:r w:rsidRPr="008C6A37">
        <w:rPr>
          <w:lang w:val="ro-RO"/>
        </w:rPr>
        <w:t>-</w:t>
      </w:r>
      <w:r w:rsidRPr="008C6A37">
        <w:rPr>
          <w:lang w:val="ro-RO"/>
        </w:rPr>
        <w:tab/>
        <w:t>Grupul de lucru pentru informare și comunicare.</w:t>
      </w:r>
    </w:p>
    <w:p w14:paraId="3388E76E" w14:textId="77777777" w:rsidR="00670FD4" w:rsidRPr="008C6A37" w:rsidRDefault="00670FD4" w:rsidP="00670FD4">
      <w:pPr>
        <w:ind w:firstLine="567"/>
        <w:rPr>
          <w:lang w:val="ro-RO"/>
        </w:rPr>
      </w:pPr>
      <w:r w:rsidRPr="008C6A37">
        <w:rPr>
          <w:lang w:val="ro-RO"/>
        </w:rPr>
        <w:t>Conform art. 6, alin. 8 din Anexa la Regulamentului de organizare și funcț</w:t>
      </w:r>
      <w:r>
        <w:rPr>
          <w:lang w:val="ro-RO"/>
        </w:rPr>
        <w:t>ionare a CNZC, aprobat prin HG</w:t>
      </w:r>
      <w:r w:rsidRPr="008C6A37">
        <w:rPr>
          <w:lang w:val="ro-RO"/>
        </w:rPr>
        <w:t xml:space="preserve"> 1015/26.06.2004, deciziile CNZC au caracter consultativ și sunt luate în considerare de autoritatea publică centrală pentru protecția mediului și gospodărirea apelor, dar fără a avea un caracter obligatoriu. </w:t>
      </w:r>
    </w:p>
    <w:p w14:paraId="26233DE1" w14:textId="77777777" w:rsidR="00670FD4" w:rsidRPr="008C6A37" w:rsidRDefault="00670FD4" w:rsidP="00670FD4">
      <w:pPr>
        <w:ind w:firstLine="567"/>
        <w:rPr>
          <w:lang w:val="ro-RO"/>
        </w:rPr>
      </w:pPr>
      <w:r w:rsidRPr="008C6A37">
        <w:rPr>
          <w:lang w:val="ro-RO"/>
        </w:rPr>
        <w:t>Pe de altă parte, Cadrul legal privind managementul integrat al zonei costiere în România este format din principalele documente legislative enumerate mai jos:</w:t>
      </w:r>
    </w:p>
    <w:p w14:paraId="3109AF30" w14:textId="77777777" w:rsidR="00670FD4" w:rsidRPr="008C6A37" w:rsidRDefault="00670FD4" w:rsidP="00670FD4">
      <w:pPr>
        <w:numPr>
          <w:ilvl w:val="0"/>
          <w:numId w:val="11"/>
        </w:numPr>
        <w:ind w:firstLine="567"/>
        <w:rPr>
          <w:lang w:val="ro-RO"/>
        </w:rPr>
      </w:pPr>
      <w:r>
        <w:rPr>
          <w:lang w:val="ro-RO"/>
        </w:rPr>
        <w:t>OU</w:t>
      </w:r>
      <w:r w:rsidRPr="008C6A37">
        <w:rPr>
          <w:lang w:val="ro-RO"/>
        </w:rPr>
        <w:t>G nr. 202/2002 privind gospodărirea integrată a zonei costiere aprobată cu modificări prin Legea nr. 280/2003;</w:t>
      </w:r>
    </w:p>
    <w:p w14:paraId="5B92A518" w14:textId="77777777" w:rsidR="00670FD4" w:rsidRPr="008C6A37" w:rsidRDefault="00670FD4" w:rsidP="00670FD4">
      <w:pPr>
        <w:numPr>
          <w:ilvl w:val="0"/>
          <w:numId w:val="11"/>
        </w:numPr>
        <w:ind w:firstLine="567"/>
        <w:rPr>
          <w:lang w:val="ro-RO"/>
        </w:rPr>
      </w:pPr>
      <w:r>
        <w:rPr>
          <w:lang w:val="ro-RO"/>
        </w:rPr>
        <w:lastRenderedPageBreak/>
        <w:t>HG</w:t>
      </w:r>
      <w:r w:rsidRPr="008C6A37">
        <w:rPr>
          <w:lang w:val="ro-RO"/>
        </w:rPr>
        <w:t xml:space="preserve"> nr. 1015/2004 privind aprobarea Regulamentului de organizare și funcționare a Comitetului Național al Zonei Costiere;</w:t>
      </w:r>
    </w:p>
    <w:p w14:paraId="23D46FB3" w14:textId="77777777" w:rsidR="00670FD4" w:rsidRPr="008C6A37" w:rsidRDefault="00670FD4" w:rsidP="00670FD4">
      <w:pPr>
        <w:numPr>
          <w:ilvl w:val="0"/>
          <w:numId w:val="11"/>
        </w:numPr>
        <w:ind w:firstLine="567"/>
        <w:rPr>
          <w:lang w:val="ro-RO"/>
        </w:rPr>
      </w:pPr>
      <w:r>
        <w:rPr>
          <w:lang w:val="ro-RO"/>
        </w:rPr>
        <w:t>HG</w:t>
      </w:r>
      <w:r w:rsidRPr="008C6A37">
        <w:rPr>
          <w:lang w:val="ro-RO"/>
        </w:rPr>
        <w:t xml:space="preserve"> nr. 749/2004 privind stabilirea responsabilităților, criteriilor şi modului de delimitare a fâșiei de teren aflate în imediata apropiere a zonei costiere, în scopul conservării condițiilor ambientale și valorii patrimoniale şi peisagistice din zonele situate în apropierea țărmului;</w:t>
      </w:r>
    </w:p>
    <w:p w14:paraId="27CDE1AC" w14:textId="77777777" w:rsidR="00670FD4" w:rsidRPr="008C6A37" w:rsidRDefault="00670FD4" w:rsidP="00670FD4">
      <w:pPr>
        <w:numPr>
          <w:ilvl w:val="0"/>
          <w:numId w:val="11"/>
        </w:numPr>
        <w:ind w:firstLine="567"/>
        <w:rPr>
          <w:lang w:val="ro-RO"/>
        </w:rPr>
      </w:pPr>
      <w:r>
        <w:rPr>
          <w:lang w:val="ro-RO"/>
        </w:rPr>
        <w:t>HG</w:t>
      </w:r>
      <w:r w:rsidRPr="008C6A37">
        <w:rPr>
          <w:lang w:val="ro-RO"/>
        </w:rPr>
        <w:t xml:space="preserve"> nr. 546/2004 privind aprobarea Metodologiei pentru delimitarea domeniului public al statului în zona costieră;</w:t>
      </w:r>
    </w:p>
    <w:p w14:paraId="20574D71" w14:textId="77777777" w:rsidR="00670FD4" w:rsidRPr="008C6A37" w:rsidRDefault="00670FD4" w:rsidP="00670FD4">
      <w:pPr>
        <w:numPr>
          <w:ilvl w:val="0"/>
          <w:numId w:val="11"/>
        </w:numPr>
        <w:ind w:firstLine="567"/>
        <w:rPr>
          <w:lang w:val="ro-RO"/>
        </w:rPr>
      </w:pPr>
      <w:r>
        <w:rPr>
          <w:lang w:val="ro-RO"/>
        </w:rPr>
        <w:t>Ordonanț</w:t>
      </w:r>
      <w:r w:rsidRPr="008C6A37">
        <w:rPr>
          <w:lang w:val="ro-RO"/>
        </w:rPr>
        <w:t>a de Urgență nr.19/2006 privind utilizarea plajei Mării Negre și controlul activităților desfășurate pe plajă;</w:t>
      </w:r>
    </w:p>
    <w:p w14:paraId="5042A63E" w14:textId="77777777" w:rsidR="00670FD4" w:rsidRPr="008C6A37" w:rsidRDefault="00670FD4" w:rsidP="00670FD4">
      <w:pPr>
        <w:numPr>
          <w:ilvl w:val="0"/>
          <w:numId w:val="11"/>
        </w:numPr>
        <w:ind w:firstLine="567"/>
        <w:rPr>
          <w:lang w:val="ro-RO"/>
        </w:rPr>
      </w:pPr>
      <w:r>
        <w:rPr>
          <w:lang w:val="ro-RO"/>
        </w:rPr>
        <w:t>Ordonanț</w:t>
      </w:r>
      <w:r w:rsidRPr="008C6A37">
        <w:rPr>
          <w:lang w:val="ro-RO"/>
        </w:rPr>
        <w:t>a de Urgență nr. 18/2016 privind amenajarea spaţiului maritim.</w:t>
      </w:r>
    </w:p>
    <w:p w14:paraId="27F06939" w14:textId="77777777" w:rsidR="00670FD4" w:rsidRPr="008C6A37" w:rsidRDefault="00670FD4" w:rsidP="00670FD4">
      <w:pPr>
        <w:ind w:firstLine="567"/>
        <w:rPr>
          <w:i/>
          <w:lang w:val="ro-RO"/>
        </w:rPr>
      </w:pPr>
      <w:r w:rsidRPr="008C6A37">
        <w:rPr>
          <w:i/>
          <w:lang w:val="ro-RO"/>
        </w:rPr>
        <w:t>Probleme și nevoi identificate</w:t>
      </w:r>
    </w:p>
    <w:p w14:paraId="4D017B3C" w14:textId="77777777" w:rsidR="00670FD4" w:rsidRPr="008C6A37" w:rsidRDefault="00670FD4" w:rsidP="00670FD4">
      <w:pPr>
        <w:ind w:firstLine="567"/>
        <w:rPr>
          <w:lang w:val="ro-RO"/>
        </w:rPr>
      </w:pPr>
      <w:r w:rsidRPr="008C6A37">
        <w:rPr>
          <w:lang w:val="ro-RO"/>
        </w:rPr>
        <w:t>În complexitatea cadrului instituțional pentru managementul integrat al zonei costiere, caracterizat prin diversitatea de acte normative și structuri instituționale cu responsabilități și atribuții directe și/sau conexe, CNZC funcționează în prezent destul de greoi și de multe ori ineficient, fiind astfel necesară întărirea autorității comitetului, precum și revizuirea componenței și, în special, a atribuțiilor acestuia, astfel încât să funcționeze continuu, să devină mai consistent, mai eficient și cu un rol mai important și mai bine definit.</w:t>
      </w:r>
    </w:p>
    <w:p w14:paraId="4CE18A3B" w14:textId="77777777" w:rsidR="00670FD4" w:rsidRPr="008C6A37" w:rsidRDefault="00670FD4" w:rsidP="00670FD4">
      <w:pPr>
        <w:ind w:firstLine="567"/>
        <w:rPr>
          <w:lang w:val="ro-RO"/>
        </w:rPr>
      </w:pPr>
      <w:r w:rsidRPr="008C6A37">
        <w:rPr>
          <w:lang w:val="ro-RO"/>
        </w:rPr>
        <w:t>Faptul că președinția CNZC este, în prezent, asigurată de către MMAP, nu conferă suficientă autoritate comitetului pentru asigurarea coordonării inter-ministeriale. În ceea ce privește componența CNZC se remarcă absența reprezentanților mediului de afaceri, astfel, interesele comunității de afaceri din zona costieră nu sunt adecvat reprezentate, protejate și susținute în raport cu autoritățile publice și locale. Acest lucru poate duce la decizii care nu iau în considerare perspectivele și preocupările mediului de afaceri, ceea ce poate afecta negativ dezvoltarea economică sustenabilă în zona costieră. În plus, având în vedere potențialul foarte mare al activităților de planificare spațială a teritoriului și urbanism de a induce riscuri în zona costieră, este surprinzătoare absența organizațiilor profesionale de profil din componența CNZC.</w:t>
      </w:r>
    </w:p>
    <w:p w14:paraId="0380E6AF" w14:textId="77777777" w:rsidR="00670FD4" w:rsidRPr="008C6A37" w:rsidRDefault="00670FD4" w:rsidP="00670FD4">
      <w:pPr>
        <w:ind w:firstLine="567"/>
        <w:rPr>
          <w:lang w:val="ro-RO"/>
        </w:rPr>
      </w:pPr>
      <w:r w:rsidRPr="008C6A37">
        <w:rPr>
          <w:lang w:val="ro-RO"/>
        </w:rPr>
        <w:t xml:space="preserve">Tot referitor la funcționarea CNZC, o problemă importantă pentru asigurarea eficienței CNZC este și lipsa (cel puțin parțială) de resurse (financiare, logistice). Dacă activitatea membrilor CNZC delegați de instituțiile publice nominalizate se asigură din bugetele instituțiilor respective, participarea altor reprezentanți, precum și a experților în grupurile nominalizate, depinde de resursele limitate sau chiar inexistente ale acestora, bazându-se pe caracterul voluntar, ceea ce în practică nu s-a dovedit că poate asigura continuitatea și calitatea activităților. </w:t>
      </w:r>
    </w:p>
    <w:p w14:paraId="031E749C" w14:textId="77777777" w:rsidR="00670FD4" w:rsidRPr="008C6A37" w:rsidRDefault="00670FD4" w:rsidP="00670FD4">
      <w:pPr>
        <w:ind w:firstLine="567"/>
        <w:rPr>
          <w:lang w:val="ro-RO"/>
        </w:rPr>
      </w:pPr>
      <w:r w:rsidRPr="008C6A37">
        <w:rPr>
          <w:lang w:val="ro-RO"/>
        </w:rPr>
        <w:t>Administrațiile locale, membre ale CNZC, sunt destul de puțin motivate și implicate în procesul de management integrat al zonei costiere (cel mai elocvent exemplu este neincluderea delimitării zonei costiere în PUG-uri, dealtfel stipulată în OUG 202 / 2002), astfel încât atribuțiile și consistența acțiunilor lor în cadrul CNZC necesită o îmbunătățire majoră, inclusiv în ceea ce privește implicarea și expertiza funcționarilor publici.</w:t>
      </w:r>
    </w:p>
    <w:p w14:paraId="426C3E84" w14:textId="77777777" w:rsidR="00670FD4" w:rsidRPr="008C6A37" w:rsidRDefault="00670FD4" w:rsidP="00670FD4">
      <w:pPr>
        <w:ind w:firstLine="567"/>
        <w:rPr>
          <w:lang w:val="ro-RO"/>
        </w:rPr>
      </w:pPr>
      <w:r w:rsidRPr="008C6A37">
        <w:rPr>
          <w:lang w:val="ro-RO"/>
        </w:rPr>
        <w:lastRenderedPageBreak/>
        <w:t>Referitor la coordonarea orizontală intersectorială, se poate spune că în trecut au existat exemple de competențe neclare și suprapuse și de funcționare ineficientă. Pe lângă slăbiciunile în coordonarea și integrarea intersectorială, probleme majore se înregistrează în coordonarea verticală (de la nivel local la nivel național). Capacitățile scăzute, precum și lipsa de experiență și cunoștințe pentru aplicarea unei abordări de management integrat sunt, de asemenea, caracteristice sistemului instituțional existent, iar acest lucru este deosebit de evident la nivel local. Delimitarea clară a responsabilităților din cadrul ministerelor sub jurisdicția cărora intră cele mai importante aspecte referitoare la managementul zonei de costiere este necesară pentru o coordonare mai bună la nivel local a reprezentanților în teritoriu, evitându-se suprapunerea anumitor reglementări, astfel încât acțiunile să fie concertate și eficiente. Totodată, analiza cadrului instituțional și legal actual relevă faptul că există decalaje care pot fi estompate prin adresare punctuală, ținând cont de specificitățile regionale și locale, respectiv condițiile interne și externe - un exemplu poate fi cel referitor la recunoașterea schimbărilor climatice și măsurile necesare.</w:t>
      </w:r>
    </w:p>
    <w:p w14:paraId="4DA7307C" w14:textId="77777777" w:rsidR="00670FD4" w:rsidRPr="008C6A37" w:rsidRDefault="00670FD4" w:rsidP="00670FD4">
      <w:pPr>
        <w:ind w:firstLine="567"/>
        <w:rPr>
          <w:lang w:val="ro-RO"/>
        </w:rPr>
      </w:pPr>
      <w:r w:rsidRPr="008C6A37">
        <w:rPr>
          <w:lang w:val="ro-RO"/>
        </w:rPr>
        <w:t>Cooperarea și coordonarea CNZC cu Comitetul Național pentru Amenajarea Spațiului Maritim este, în prezent, cvasi-inexistentă, în ciuda faptului că multe dintre organizațiile componente sunt reprezentate în ambele comitete. Având în vedere că apele teritoriale ale României reprezintă un spațiu comun ambelor instrumente, cooperarea și coordonarea dintre cele două este obligatorie.</w:t>
      </w:r>
    </w:p>
    <w:p w14:paraId="21FBF06C" w14:textId="77777777" w:rsidR="00670FD4" w:rsidRPr="008C6A37" w:rsidRDefault="00670FD4" w:rsidP="00670FD4">
      <w:pPr>
        <w:ind w:firstLine="567"/>
        <w:rPr>
          <w:lang w:val="ro-RO"/>
        </w:rPr>
      </w:pPr>
      <w:r w:rsidRPr="008C6A37">
        <w:rPr>
          <w:lang w:val="ro-RO"/>
        </w:rPr>
        <w:t>Analizând cadrul juridic actual pentru managementul integrat al zonei costiere se remarcă următoarele aspecte:</w:t>
      </w:r>
    </w:p>
    <w:p w14:paraId="59431DE0" w14:textId="77777777" w:rsidR="00670FD4" w:rsidRPr="008C6A37" w:rsidRDefault="00670FD4" w:rsidP="00670FD4">
      <w:pPr>
        <w:ind w:firstLine="567"/>
        <w:rPr>
          <w:lang w:val="ro-RO"/>
        </w:rPr>
      </w:pPr>
      <w:r w:rsidRPr="008C6A37">
        <w:rPr>
          <w:lang w:val="ro-RO"/>
        </w:rPr>
        <w:t>•</w:t>
      </w:r>
      <w:r w:rsidRPr="008C6A37">
        <w:rPr>
          <w:lang w:val="ro-RO"/>
        </w:rPr>
        <w:tab/>
        <w:t>Actualul cadru legislativ are un domeniu de aplicare foarte / prea larg. OUG 202 / 2002,  aprobată cu modificări prin Legea nr. 280/2003, este un act legislativ care încearcă să reglementeze prea mult. Deoarece MIZC se referă la gestionarea zonei costiere și implică probleme multiple, rezultate multiple dorite și instituții multiple, cu mandate diferite, ar trebui să fie mai degrabă un act legislativ care "facilitează" alte acte legislative și reglementări existente să fie aplicate și să fie respectate, în loc să încerce să se reglementeze prin aplicare independentă;</w:t>
      </w:r>
    </w:p>
    <w:p w14:paraId="7EDDEE84" w14:textId="77777777" w:rsidR="00670FD4" w:rsidRPr="008C6A37" w:rsidRDefault="00670FD4" w:rsidP="00670FD4">
      <w:pPr>
        <w:ind w:firstLine="567"/>
        <w:rPr>
          <w:lang w:val="ro-RO"/>
        </w:rPr>
      </w:pPr>
      <w:r w:rsidRPr="008C6A37">
        <w:rPr>
          <w:lang w:val="ro-RO"/>
        </w:rPr>
        <w:t>•</w:t>
      </w:r>
      <w:r w:rsidRPr="008C6A37">
        <w:rPr>
          <w:lang w:val="ro-RO"/>
        </w:rPr>
        <w:tab/>
        <w:t xml:space="preserve">Actualul cadru legislativ este destul de dificil de aplicat. Aplicarea prevederilor OUG 202/2002, aprobată cu modificări prin Legea nr. 280/2003, este destul de dificilă, deoarece proclamă că se bazează pe o serie de principii, dar mecanismele de aplicare a acestor principii sunt destul de greoaie (exemplu - în cazul principiului "poluatorul plătește", dificultăți practice apar deseori, încă din faza de identificarea a poluatorilor);  </w:t>
      </w:r>
    </w:p>
    <w:p w14:paraId="23143D7C" w14:textId="77777777" w:rsidR="00670FD4" w:rsidRPr="008C6A37" w:rsidRDefault="00670FD4" w:rsidP="00670FD4">
      <w:pPr>
        <w:ind w:firstLine="567"/>
        <w:rPr>
          <w:lang w:val="ro-RO"/>
        </w:rPr>
      </w:pPr>
      <w:r w:rsidRPr="008C6A37">
        <w:rPr>
          <w:lang w:val="ro-RO"/>
        </w:rPr>
        <w:t>•</w:t>
      </w:r>
      <w:r w:rsidRPr="008C6A37">
        <w:rPr>
          <w:lang w:val="ro-RO"/>
        </w:rPr>
        <w:tab/>
        <w:t xml:space="preserve">Actualul cadru legislativ nu este întrutotul coerent. OUG 202/2002 prezintă câteva exemple de incoerență: i) deși în OUG se aderă la principiul "poluatorul plătește", nu este specificat modalitatea de aplicare a acestui principiu; ii) OUG atribuie sarcini, responsabilități și competențe specifice unor organisme specifice care sunt incompatibile cu alte acte legislative/reglementări existente;     </w:t>
      </w:r>
    </w:p>
    <w:p w14:paraId="5A877784" w14:textId="77777777" w:rsidR="00670FD4" w:rsidRPr="008C6A37" w:rsidRDefault="00670FD4" w:rsidP="00670FD4">
      <w:pPr>
        <w:ind w:firstLine="567"/>
        <w:rPr>
          <w:lang w:val="ro-RO"/>
        </w:rPr>
      </w:pPr>
      <w:r w:rsidRPr="008C6A37">
        <w:rPr>
          <w:lang w:val="ro-RO"/>
        </w:rPr>
        <w:t>•</w:t>
      </w:r>
      <w:r w:rsidRPr="008C6A37">
        <w:rPr>
          <w:lang w:val="ro-RO"/>
        </w:rPr>
        <w:tab/>
        <w:t>Actualul cadru legislativ ignoră, deseori, legislația și definițiile din legislația specifică domeniilor conexe;</w:t>
      </w:r>
    </w:p>
    <w:p w14:paraId="1A00E902" w14:textId="77777777" w:rsidR="00670FD4" w:rsidRPr="008C6A37" w:rsidRDefault="00670FD4" w:rsidP="00670FD4">
      <w:pPr>
        <w:numPr>
          <w:ilvl w:val="0"/>
          <w:numId w:val="5"/>
        </w:numPr>
        <w:ind w:left="0" w:firstLine="567"/>
        <w:rPr>
          <w:lang w:val="ro-RO"/>
        </w:rPr>
      </w:pPr>
      <w:r w:rsidRPr="008C6A37">
        <w:rPr>
          <w:lang w:val="ro-RO"/>
        </w:rPr>
        <w:lastRenderedPageBreak/>
        <w:t>Actualul cadru legislativ, referitor la delimitări, nu este actualizat în conformitate cu lucrările de protecție și amenajare costieră recente sau în curs de desfășurare.</w:t>
      </w:r>
    </w:p>
    <w:p w14:paraId="2FF7B457" w14:textId="77777777" w:rsidR="00670FD4" w:rsidRPr="008C6A37" w:rsidRDefault="00670FD4" w:rsidP="00670FD4">
      <w:pPr>
        <w:ind w:firstLine="567"/>
        <w:rPr>
          <w:lang w:val="ro-RO"/>
        </w:rPr>
      </w:pPr>
      <w:r w:rsidRPr="008C6A37">
        <w:rPr>
          <w:lang w:val="ro-RO"/>
        </w:rPr>
        <w:t xml:space="preserve">Tot referitor la cadrul legislativ, trebuie menționate problemele legate de neclaritățile și ambiguitățile în definirea unor termeni de delimitare, precum domeniul public al statului din zona costieră și neconcordanțele între termenii folosiți de MDLPA și MMAP în diverse reglementări privind delimitarea și managementul zonei costiere. </w:t>
      </w:r>
    </w:p>
    <w:p w14:paraId="4CCE3370" w14:textId="77777777" w:rsidR="00670FD4" w:rsidRDefault="00670FD4" w:rsidP="00670FD4">
      <w:pPr>
        <w:ind w:firstLine="567"/>
        <w:rPr>
          <w:lang w:val="ro-RO"/>
        </w:rPr>
      </w:pPr>
      <w:r w:rsidRPr="008C6A37">
        <w:rPr>
          <w:lang w:val="ro-RO"/>
        </w:rPr>
        <w:t>În plus, se constată aplicarea necorespunzătoare a legislației în domeniu, care cuprinde două aspecte principale, respectiv i) nerespectarea obligațiilor UAT-urilor (stipulată în legislația actuală, OUG 202/2002) de delimitare a zonei costiere, ceea  ce poate genera confuzie și incertitudine cu privire la limitele și statutul juridic al zonei costiere, precum și ii) ilegalități asupra domeniului public al statului.</w:t>
      </w:r>
    </w:p>
    <w:p w14:paraId="1D98349E" w14:textId="77777777" w:rsidR="00670FD4" w:rsidRPr="00A92A31" w:rsidRDefault="00670FD4" w:rsidP="00670FD4">
      <w:pPr>
        <w:ind w:firstLine="0"/>
        <w:rPr>
          <w:sz w:val="28"/>
          <w:lang w:val="ro-RO"/>
        </w:rPr>
      </w:pPr>
    </w:p>
    <w:p w14:paraId="73275E92" w14:textId="77777777" w:rsidR="00670FD4" w:rsidRPr="005D2CE5" w:rsidRDefault="00670FD4" w:rsidP="00670FD4">
      <w:pPr>
        <w:pStyle w:val="Heading2"/>
        <w:numPr>
          <w:ilvl w:val="1"/>
          <w:numId w:val="48"/>
        </w:numPr>
      </w:pPr>
      <w:bookmarkStart w:id="21" w:name="_Toc150247014"/>
      <w:bookmarkStart w:id="22" w:name="_Toc171084810"/>
      <w:r w:rsidRPr="005D2CE5">
        <w:t>Viziunea</w:t>
      </w:r>
      <w:bookmarkEnd w:id="21"/>
      <w:bookmarkEnd w:id="22"/>
    </w:p>
    <w:p w14:paraId="48640AB0" w14:textId="77777777" w:rsidR="00670FD4" w:rsidRPr="008C6A37" w:rsidRDefault="00670FD4" w:rsidP="00670FD4">
      <w:pPr>
        <w:ind w:firstLine="567"/>
        <w:rPr>
          <w:lang w:val="ro-RO"/>
        </w:rPr>
      </w:pPr>
      <w:r w:rsidRPr="008C6A37">
        <w:rPr>
          <w:lang w:val="ro-RO"/>
        </w:rPr>
        <w:t xml:space="preserve">În vederea definirii Viziunii </w:t>
      </w:r>
      <w:bookmarkStart w:id="23" w:name="_Hlk170987675"/>
      <w:r w:rsidRPr="008C6A37">
        <w:rPr>
          <w:lang w:val="ro-RO"/>
        </w:rPr>
        <w:t>pe termen mediu și lung a Strategiei</w:t>
      </w:r>
      <w:bookmarkEnd w:id="23"/>
      <w:r w:rsidRPr="008C6A37">
        <w:rPr>
          <w:lang w:val="ro-RO"/>
        </w:rPr>
        <w:t xml:space="preserve">, au fost identificate, luând în considerare provocările uriașe cu care se confruntă zona costieră, așa cum este definită în prezentul document, următoarele elemente de viziune: </w:t>
      </w:r>
    </w:p>
    <w:p w14:paraId="40FAE152" w14:textId="77777777" w:rsidR="00670FD4" w:rsidRPr="008C6A37" w:rsidRDefault="00670FD4" w:rsidP="00670FD4">
      <w:pPr>
        <w:numPr>
          <w:ilvl w:val="0"/>
          <w:numId w:val="2"/>
        </w:numPr>
        <w:ind w:firstLine="567"/>
        <w:rPr>
          <w:lang w:val="ro-RO"/>
        </w:rPr>
      </w:pPr>
      <w:r w:rsidRPr="008C6A37">
        <w:rPr>
          <w:lang w:val="ro-RO"/>
        </w:rPr>
        <w:t>patrimoniul cultural și cel natural, precum și peisajul sunt protejate; </w:t>
      </w:r>
    </w:p>
    <w:p w14:paraId="73A2E964" w14:textId="77777777" w:rsidR="00670FD4" w:rsidRPr="008C6A37" w:rsidRDefault="00670FD4" w:rsidP="00670FD4">
      <w:pPr>
        <w:numPr>
          <w:ilvl w:val="0"/>
          <w:numId w:val="2"/>
        </w:numPr>
        <w:ind w:firstLine="567"/>
        <w:rPr>
          <w:lang w:val="ro-RO"/>
        </w:rPr>
      </w:pPr>
      <w:r w:rsidRPr="008C6A37">
        <w:rPr>
          <w:lang w:val="ro-RO"/>
        </w:rPr>
        <w:t>mediul este sănătos și păstrat pentru generațiile viitoare;</w:t>
      </w:r>
    </w:p>
    <w:p w14:paraId="4BE0A307" w14:textId="77777777" w:rsidR="00670FD4" w:rsidRPr="008C6A37" w:rsidRDefault="00670FD4" w:rsidP="00670FD4">
      <w:pPr>
        <w:numPr>
          <w:ilvl w:val="0"/>
          <w:numId w:val="2"/>
        </w:numPr>
        <w:ind w:firstLine="567"/>
        <w:rPr>
          <w:lang w:val="ro-RO"/>
        </w:rPr>
      </w:pPr>
      <w:r w:rsidRPr="008C6A37">
        <w:rPr>
          <w:lang w:val="ro-RO"/>
        </w:rPr>
        <w:t>serviciile ecosistemice sunt recunoscute și utilizate într-un mod durabil.</w:t>
      </w:r>
    </w:p>
    <w:p w14:paraId="03DB2D92" w14:textId="77777777" w:rsidR="00670FD4" w:rsidRPr="008C6A37" w:rsidRDefault="00670FD4" w:rsidP="00670FD4">
      <w:pPr>
        <w:numPr>
          <w:ilvl w:val="0"/>
          <w:numId w:val="2"/>
        </w:numPr>
        <w:ind w:firstLine="567"/>
        <w:rPr>
          <w:lang w:val="ro-RO"/>
        </w:rPr>
      </w:pPr>
      <w:r w:rsidRPr="008C6A37">
        <w:rPr>
          <w:lang w:val="ro-RO"/>
        </w:rPr>
        <w:t>biodiversitatea părții nordice a zonei costiere (Delta Dunării) este menținută și  protejată în cadrul ARBDD;</w:t>
      </w:r>
    </w:p>
    <w:p w14:paraId="0A6FEE58" w14:textId="77777777" w:rsidR="00670FD4" w:rsidRPr="008C6A37" w:rsidRDefault="00670FD4" w:rsidP="00670FD4">
      <w:pPr>
        <w:numPr>
          <w:ilvl w:val="0"/>
          <w:numId w:val="2"/>
        </w:numPr>
        <w:ind w:firstLine="567"/>
        <w:rPr>
          <w:lang w:val="ro-RO"/>
        </w:rPr>
      </w:pPr>
      <w:r w:rsidRPr="008C6A37">
        <w:rPr>
          <w:lang w:val="ro-RO"/>
        </w:rPr>
        <w:t>elementele unice ale patrimoniului cultural dobrogean sunt protejate și puse în valoare astfel încât să contribuie la dezvoltarea durabilă a zonei costiere;</w:t>
      </w:r>
    </w:p>
    <w:p w14:paraId="03175135" w14:textId="77777777" w:rsidR="00670FD4" w:rsidRPr="008C6A37" w:rsidRDefault="00670FD4" w:rsidP="00670FD4">
      <w:pPr>
        <w:numPr>
          <w:ilvl w:val="0"/>
          <w:numId w:val="2"/>
        </w:numPr>
        <w:ind w:firstLine="567"/>
        <w:rPr>
          <w:lang w:val="ro-RO"/>
        </w:rPr>
      </w:pPr>
      <w:r w:rsidRPr="008C6A37">
        <w:rPr>
          <w:lang w:val="ro-RO"/>
        </w:rPr>
        <w:t>activitățile și obiceiurile tradiționale locale sunt recunoscute și protejate;</w:t>
      </w:r>
    </w:p>
    <w:p w14:paraId="30930A50" w14:textId="77777777" w:rsidR="00670FD4" w:rsidRPr="008C6A37" w:rsidRDefault="00670FD4" w:rsidP="00670FD4">
      <w:pPr>
        <w:numPr>
          <w:ilvl w:val="0"/>
          <w:numId w:val="2"/>
        </w:numPr>
        <w:ind w:firstLine="567"/>
        <w:rPr>
          <w:b/>
          <w:i/>
          <w:lang w:val="ro-RO"/>
        </w:rPr>
      </w:pPr>
      <w:r w:rsidRPr="008C6A37">
        <w:rPr>
          <w:lang w:val="ro-RO"/>
        </w:rPr>
        <w:t>comunitățile costiere sunt protejate de impactul hazardelor naturale și antropice, luând în considerare modificările climatice prognozate pentru secolul XXI;</w:t>
      </w:r>
    </w:p>
    <w:p w14:paraId="13FF716A" w14:textId="77777777" w:rsidR="00670FD4" w:rsidRPr="008C6A37" w:rsidRDefault="00670FD4" w:rsidP="00670FD4">
      <w:pPr>
        <w:numPr>
          <w:ilvl w:val="0"/>
          <w:numId w:val="2"/>
        </w:numPr>
        <w:ind w:firstLine="567"/>
        <w:rPr>
          <w:lang w:val="ro-RO"/>
        </w:rPr>
      </w:pPr>
      <w:r w:rsidRPr="008C6A37">
        <w:rPr>
          <w:lang w:val="ro-RO"/>
        </w:rPr>
        <w:t>dezvoltarea zonei costiere este adaptată la nevoile de protecţie a resurselor sale naturale.</w:t>
      </w:r>
    </w:p>
    <w:p w14:paraId="49AEAB86" w14:textId="77777777" w:rsidR="00670FD4" w:rsidRPr="008C6A37" w:rsidRDefault="00670FD4" w:rsidP="00670FD4">
      <w:pPr>
        <w:numPr>
          <w:ilvl w:val="0"/>
          <w:numId w:val="2"/>
        </w:numPr>
        <w:ind w:firstLine="567"/>
        <w:rPr>
          <w:b/>
          <w:i/>
          <w:lang w:val="ro-RO"/>
        </w:rPr>
      </w:pPr>
      <w:r w:rsidRPr="008C6A37">
        <w:rPr>
          <w:lang w:val="ro-RO"/>
        </w:rPr>
        <w:t>activitățile economice din zona costieră respectă principiile neutralității climatice  (0 emisii de carbon) și cele ale economiei verzi - creștere albastră (Green Economy, Blue Growth);</w:t>
      </w:r>
    </w:p>
    <w:p w14:paraId="4CF7207A" w14:textId="77777777" w:rsidR="00670FD4" w:rsidRPr="008C6A37" w:rsidRDefault="00670FD4" w:rsidP="00670FD4">
      <w:pPr>
        <w:numPr>
          <w:ilvl w:val="0"/>
          <w:numId w:val="2"/>
        </w:numPr>
        <w:ind w:firstLine="567"/>
        <w:rPr>
          <w:b/>
          <w:i/>
          <w:lang w:val="ro-RO"/>
        </w:rPr>
      </w:pPr>
      <w:r w:rsidRPr="008C6A37">
        <w:rPr>
          <w:lang w:val="ro-RO"/>
        </w:rPr>
        <w:t>zona costieră din Delta Dunării are o ofertă turistică sustenabilă, cu dezvoltarea componentei eco-culturale și promovarea activităților  tradiționale;</w:t>
      </w:r>
    </w:p>
    <w:p w14:paraId="3FA5B845" w14:textId="77777777" w:rsidR="00670FD4" w:rsidRPr="008C6A37" w:rsidRDefault="00670FD4" w:rsidP="00670FD4">
      <w:pPr>
        <w:numPr>
          <w:ilvl w:val="0"/>
          <w:numId w:val="2"/>
        </w:numPr>
        <w:ind w:firstLine="567"/>
        <w:rPr>
          <w:b/>
          <w:i/>
          <w:lang w:val="ro-RO"/>
        </w:rPr>
      </w:pPr>
      <w:r w:rsidRPr="008C6A37">
        <w:rPr>
          <w:lang w:val="ro-RO"/>
        </w:rPr>
        <w:t>litoralul sudic are o ofertă diversificată (turism cultural, de aventură, pesca-turism, balneo-medical și gastronomic) ce contribuie la creșterea atractivității turistice și extinderea sezonului turistic;</w:t>
      </w:r>
    </w:p>
    <w:p w14:paraId="539B01A3" w14:textId="77777777" w:rsidR="00670FD4" w:rsidRPr="008C6A37" w:rsidRDefault="00670FD4" w:rsidP="00670FD4">
      <w:pPr>
        <w:numPr>
          <w:ilvl w:val="0"/>
          <w:numId w:val="2"/>
        </w:numPr>
        <w:ind w:firstLine="567"/>
        <w:rPr>
          <w:b/>
          <w:i/>
          <w:lang w:val="ro-RO"/>
        </w:rPr>
      </w:pPr>
      <w:r w:rsidRPr="008C6A37">
        <w:rPr>
          <w:lang w:val="ro-RO"/>
        </w:rPr>
        <w:lastRenderedPageBreak/>
        <w:t>zona costieră românească a atins o poziție satisfăcătoare ca destinație turistică pe piața globală;</w:t>
      </w:r>
    </w:p>
    <w:p w14:paraId="7C9AAA7F" w14:textId="77777777" w:rsidR="00670FD4" w:rsidRPr="008C6A37" w:rsidRDefault="00670FD4" w:rsidP="00670FD4">
      <w:pPr>
        <w:ind w:firstLine="567"/>
        <w:rPr>
          <w:lang w:val="ro-RO"/>
        </w:rPr>
      </w:pPr>
      <w:r w:rsidRPr="008C6A37">
        <w:rPr>
          <w:lang w:val="ro-RO"/>
        </w:rPr>
        <w:t>- stocurile exploatabile de pești și moluște sunt sustenabile pe termen mediu și lung;</w:t>
      </w:r>
    </w:p>
    <w:p w14:paraId="548BB3A3" w14:textId="77777777" w:rsidR="00670FD4" w:rsidRPr="008C6A37" w:rsidRDefault="00670FD4" w:rsidP="00670FD4">
      <w:pPr>
        <w:ind w:firstLine="567"/>
        <w:rPr>
          <w:lang w:val="ro-RO"/>
        </w:rPr>
      </w:pPr>
      <w:r w:rsidRPr="008C6A37">
        <w:rPr>
          <w:lang w:val="ro-RO"/>
        </w:rPr>
        <w:t>- spațiul terestru, precum și cel marin, sunt folosite în comun de diverse activități sinergice;</w:t>
      </w:r>
    </w:p>
    <w:p w14:paraId="0E774477" w14:textId="77777777" w:rsidR="00670FD4" w:rsidRPr="008C6A37" w:rsidRDefault="00670FD4" w:rsidP="00670FD4">
      <w:pPr>
        <w:ind w:firstLine="567"/>
        <w:rPr>
          <w:lang w:val="ro-RO"/>
        </w:rPr>
      </w:pPr>
      <w:r w:rsidRPr="008C6A37">
        <w:rPr>
          <w:lang w:val="ro-RO"/>
        </w:rPr>
        <w:t xml:space="preserve">- sectoarele economice transport naval și activități portuare reprezintă poli de dezvoltare economică sustenabilă, aliniate la strategiile Europene privind politicile comune de transport; </w:t>
      </w:r>
    </w:p>
    <w:p w14:paraId="108A5151" w14:textId="77777777" w:rsidR="00670FD4" w:rsidRPr="008C6A37" w:rsidRDefault="00670FD4" w:rsidP="00670FD4">
      <w:pPr>
        <w:ind w:firstLine="567"/>
        <w:rPr>
          <w:lang w:val="ro-RO"/>
        </w:rPr>
      </w:pPr>
      <w:r w:rsidRPr="008C6A37">
        <w:rPr>
          <w:lang w:val="ro-RO"/>
        </w:rPr>
        <w:t>- potențialul zonei costiere de generare a energiilor regenerabile din surse eoliene, solare și valuri este valorificat la maximum, fără a intra în conflict pentru spațiu cu alte sectoare;</w:t>
      </w:r>
    </w:p>
    <w:p w14:paraId="255E39DD" w14:textId="77777777" w:rsidR="00670FD4" w:rsidRPr="008C6A37" w:rsidRDefault="00670FD4" w:rsidP="00670FD4">
      <w:pPr>
        <w:ind w:firstLine="567"/>
        <w:rPr>
          <w:lang w:val="ro-RO"/>
        </w:rPr>
      </w:pPr>
      <w:r w:rsidRPr="008C6A37">
        <w:rPr>
          <w:lang w:val="ro-RO"/>
        </w:rPr>
        <w:t>- conceptul Smart City este implementat în majoritatea UAT-urilor, integrând aspectele de energie verde regenerabila, consum sustenabil, poluare zero în toate activitățile socio-economice și contribuind la atingerea țintelor asumate de România prin Strategia de valorificare a resurselor regenerabile de energie, aprobată prin HG 1535/2003 și a țintelor climatice propuse de EU pentru 2050, prin Pactul Verde European.</w:t>
      </w:r>
    </w:p>
    <w:p w14:paraId="2ADE97EC" w14:textId="77777777" w:rsidR="00670FD4" w:rsidRPr="008C6A37" w:rsidRDefault="00670FD4" w:rsidP="00670FD4">
      <w:pPr>
        <w:numPr>
          <w:ilvl w:val="0"/>
          <w:numId w:val="1"/>
        </w:numPr>
        <w:ind w:firstLine="567"/>
        <w:rPr>
          <w:lang w:val="ro-RO"/>
        </w:rPr>
      </w:pPr>
      <w:r w:rsidRPr="008C6A37">
        <w:rPr>
          <w:lang w:val="ro-RO"/>
        </w:rPr>
        <w:t>se aplică cele mai bune cunoștințe și standarde disponibile în beneficiul generațiilor actuale și viitoare;</w:t>
      </w:r>
    </w:p>
    <w:p w14:paraId="3876FAE6" w14:textId="77777777" w:rsidR="00670FD4" w:rsidRPr="008C6A37" w:rsidRDefault="00670FD4" w:rsidP="00670FD4">
      <w:pPr>
        <w:numPr>
          <w:ilvl w:val="0"/>
          <w:numId w:val="1"/>
        </w:numPr>
        <w:ind w:firstLine="567"/>
        <w:rPr>
          <w:lang w:val="ro-RO"/>
        </w:rPr>
      </w:pPr>
      <w:r w:rsidRPr="008C6A37">
        <w:rPr>
          <w:lang w:val="ro-RO"/>
        </w:rPr>
        <w:t>integrare, co-creare și coeziune socială;</w:t>
      </w:r>
    </w:p>
    <w:p w14:paraId="47840BF1" w14:textId="77777777" w:rsidR="00670FD4" w:rsidRPr="008C6A37" w:rsidRDefault="00670FD4" w:rsidP="00670FD4">
      <w:pPr>
        <w:numPr>
          <w:ilvl w:val="0"/>
          <w:numId w:val="1"/>
        </w:numPr>
        <w:ind w:firstLine="567"/>
        <w:rPr>
          <w:lang w:val="ro-RO"/>
        </w:rPr>
      </w:pPr>
      <w:r w:rsidRPr="008C6A37">
        <w:rPr>
          <w:lang w:val="ro-RO"/>
        </w:rPr>
        <w:t>este asigurată egalitatea de șanse într-un mediu socio-economic competitiv și sănătos; </w:t>
      </w:r>
    </w:p>
    <w:p w14:paraId="2FCAF3D8" w14:textId="77777777" w:rsidR="00670FD4" w:rsidRPr="008C6A37" w:rsidRDefault="00670FD4" w:rsidP="00670FD4">
      <w:pPr>
        <w:numPr>
          <w:ilvl w:val="0"/>
          <w:numId w:val="1"/>
        </w:numPr>
        <w:ind w:firstLine="567"/>
        <w:rPr>
          <w:lang w:val="ro-RO"/>
        </w:rPr>
      </w:pPr>
      <w:r w:rsidRPr="008C6A37">
        <w:rPr>
          <w:lang w:val="ro-RO"/>
        </w:rPr>
        <w:t>sunt garantate drepturile cetățenilor ce decurg din obligațiile autorităților de a asigura un mediu natural sănătos, în conformitate cu prevederile naționale și  europene;</w:t>
      </w:r>
    </w:p>
    <w:p w14:paraId="17F97066" w14:textId="77777777" w:rsidR="00670FD4" w:rsidRPr="008C6A37" w:rsidRDefault="00670FD4" w:rsidP="00670FD4">
      <w:pPr>
        <w:numPr>
          <w:ilvl w:val="0"/>
          <w:numId w:val="1"/>
        </w:numPr>
        <w:ind w:firstLine="567"/>
        <w:rPr>
          <w:lang w:val="ro-RO"/>
        </w:rPr>
      </w:pPr>
      <w:r w:rsidRPr="008C6A37">
        <w:rPr>
          <w:lang w:val="ro-RO"/>
        </w:rPr>
        <w:t>sunt monitorizate starea și procesele din zona costieră pentru a evalua progresul în atingerea rezultatelor dorite;</w:t>
      </w:r>
    </w:p>
    <w:p w14:paraId="5759C51B" w14:textId="77777777" w:rsidR="00670FD4" w:rsidRPr="008C6A37" w:rsidRDefault="00670FD4" w:rsidP="00670FD4">
      <w:pPr>
        <w:numPr>
          <w:ilvl w:val="0"/>
          <w:numId w:val="1"/>
        </w:numPr>
        <w:ind w:firstLine="567"/>
        <w:rPr>
          <w:lang w:val="ro-RO"/>
        </w:rPr>
      </w:pPr>
      <w:r w:rsidRPr="008C6A37">
        <w:rPr>
          <w:lang w:val="ro-RO"/>
        </w:rPr>
        <w:t>participarea populaţiei locale la realizarea şi implementarea unor decizii socio-economice importante este îmbunătățită.</w:t>
      </w:r>
    </w:p>
    <w:p w14:paraId="29EB84A9" w14:textId="77777777" w:rsidR="00670FD4" w:rsidRPr="008C6A37" w:rsidRDefault="00670FD4" w:rsidP="00670FD4">
      <w:pPr>
        <w:ind w:firstLine="567"/>
        <w:rPr>
          <w:lang w:val="ro-RO"/>
        </w:rPr>
      </w:pPr>
      <w:r w:rsidRPr="008C6A37">
        <w:rPr>
          <w:lang w:val="ro-RO"/>
        </w:rPr>
        <w:t>Integrarea tuturor acestor elemente de viziune conduce la stabilirea Viziunii  pe termen mediu și lung pentru dezvoltarea sustenabilă a zonei costiere românești. Astfel:</w:t>
      </w:r>
    </w:p>
    <w:p w14:paraId="4B4D17CB" w14:textId="77777777" w:rsidR="00670FD4" w:rsidRPr="008C6A37" w:rsidRDefault="00670FD4" w:rsidP="00670FD4">
      <w:pPr>
        <w:ind w:firstLine="567"/>
        <w:rPr>
          <w:b/>
          <w:lang w:val="ro-RO"/>
        </w:rPr>
      </w:pPr>
      <w:r w:rsidRPr="008C6A37">
        <w:rPr>
          <w:b/>
          <w:lang w:val="ro-RO"/>
        </w:rPr>
        <w:t>În 2040, zona costieră a României este sănătoasă, productivă și rezilientă, cu identitate și autenticitate recunoscute. Indicatorii de calitate arată o stare ecologică bună a întregului mediu costier. Resursele zonei costiere sunt utilizate sustenabil asigurând beneficii pentru generațiile actuale și viitoare.</w:t>
      </w:r>
    </w:p>
    <w:p w14:paraId="67969CC3" w14:textId="77777777" w:rsidR="00670FD4" w:rsidRPr="00E441F9" w:rsidRDefault="00670FD4" w:rsidP="00670FD4">
      <w:pPr>
        <w:spacing w:before="0"/>
        <w:ind w:firstLine="0"/>
        <w:rPr>
          <w:b/>
          <w:sz w:val="28"/>
          <w:lang w:val="ro-RO"/>
        </w:rPr>
      </w:pPr>
    </w:p>
    <w:p w14:paraId="1808D2C3" w14:textId="77777777" w:rsidR="00670FD4" w:rsidRPr="00940876" w:rsidRDefault="00670FD4" w:rsidP="00670FD4">
      <w:pPr>
        <w:pStyle w:val="Heading2"/>
        <w:numPr>
          <w:ilvl w:val="1"/>
          <w:numId w:val="48"/>
        </w:numPr>
        <w:rPr>
          <w:sz w:val="28"/>
        </w:rPr>
      </w:pPr>
      <w:bookmarkStart w:id="24" w:name="_Toc150247015"/>
      <w:bookmarkStart w:id="25" w:name="_Toc171084811"/>
      <w:r w:rsidRPr="005D2CE5">
        <w:t>Obiectivele</w:t>
      </w:r>
      <w:r w:rsidRPr="00940876">
        <w:rPr>
          <w:sz w:val="28"/>
        </w:rPr>
        <w:t xml:space="preserve"> </w:t>
      </w:r>
      <w:r w:rsidRPr="005D2CE5">
        <w:t>generale</w:t>
      </w:r>
      <w:r w:rsidRPr="00940876">
        <w:rPr>
          <w:sz w:val="28"/>
        </w:rPr>
        <w:t xml:space="preserve"> </w:t>
      </w:r>
      <w:r w:rsidRPr="005D2CE5">
        <w:t>și specifice</w:t>
      </w:r>
      <w:bookmarkEnd w:id="24"/>
      <w:bookmarkEnd w:id="25"/>
      <w:r w:rsidRPr="00940876">
        <w:rPr>
          <w:sz w:val="28"/>
        </w:rPr>
        <w:t xml:space="preserve"> </w:t>
      </w:r>
    </w:p>
    <w:p w14:paraId="258A483A" w14:textId="77777777" w:rsidR="00670FD4" w:rsidRPr="008C6A37" w:rsidRDefault="00670FD4" w:rsidP="00670FD4">
      <w:pPr>
        <w:ind w:firstLine="567"/>
        <w:rPr>
          <w:lang w:val="ro-RO"/>
        </w:rPr>
      </w:pPr>
      <w:r w:rsidRPr="008C6A37">
        <w:rPr>
          <w:lang w:val="ro-RO"/>
        </w:rPr>
        <w:t>Obiectivele generale ale strategiei sunt definite ca răspuns la problemele și punctele slabe identificate și cu scopul principal de a îndeplini viziunea definită pentru orizontul de timp 2040.</w:t>
      </w:r>
    </w:p>
    <w:p w14:paraId="45019430" w14:textId="77777777" w:rsidR="00670FD4" w:rsidRPr="008C6A37" w:rsidRDefault="00670FD4" w:rsidP="00670FD4">
      <w:pPr>
        <w:ind w:firstLine="567"/>
        <w:rPr>
          <w:b/>
          <w:i/>
          <w:lang w:val="ro-RO"/>
        </w:rPr>
      </w:pPr>
      <w:r w:rsidRPr="008C6A37">
        <w:rPr>
          <w:b/>
          <w:i/>
          <w:lang w:val="ro-RO"/>
        </w:rPr>
        <w:t>O1. Conservarea valorilor naturale, peisagistice și culturale</w:t>
      </w:r>
    </w:p>
    <w:p w14:paraId="689EDB56" w14:textId="77777777" w:rsidR="00670FD4" w:rsidRPr="008C6A37" w:rsidRDefault="00670FD4" w:rsidP="00670FD4">
      <w:pPr>
        <w:ind w:firstLine="567"/>
        <w:rPr>
          <w:lang w:val="ro-RO"/>
        </w:rPr>
      </w:pPr>
      <w:r w:rsidRPr="008C6A37">
        <w:rPr>
          <w:lang w:val="ro-RO"/>
        </w:rPr>
        <w:lastRenderedPageBreak/>
        <w:t xml:space="preserve">Aspectele referitoare la conservarea valorilor naturale, peisagistice și culturale sunt printre cele mai importante aspecte strategice pentru managementul integrat al zonei costiere românești. Valorile naturale, peisagistice și culturale ale zonei costiere reprezintă fundația de care depind păstrarea identității spațiale și a modului de viață al populației din zona costieră. Astfel, conservarea lor devine un element cheie al politicilor de dezvoltare pentru a asigura stabilitatea ecosistemelor și a serviciilor furnizate de către acestea, păstrarea atractivității zonei costiere, bunăstarea comunităților costiere, precum și în ceea ce privește conservarea abilităților societății și naturii de a se adapta la schimbările climatice. </w:t>
      </w:r>
    </w:p>
    <w:p w14:paraId="315173A5" w14:textId="77777777" w:rsidR="00670FD4" w:rsidRPr="008C6A37" w:rsidRDefault="00670FD4" w:rsidP="00670FD4">
      <w:pPr>
        <w:ind w:firstLine="567"/>
        <w:rPr>
          <w:lang w:val="ro-RO"/>
        </w:rPr>
      </w:pPr>
      <w:r w:rsidRPr="008C6A37">
        <w:rPr>
          <w:lang w:val="ro-RO"/>
        </w:rPr>
        <w:t>Obiectivele specifice urmărite pentru atingerea acestui obiectiv general sunt:</w:t>
      </w:r>
    </w:p>
    <w:p w14:paraId="1CCE4F05" w14:textId="77777777" w:rsidR="00670FD4" w:rsidRPr="008C6A37" w:rsidRDefault="00670FD4" w:rsidP="00670FD4">
      <w:pPr>
        <w:ind w:firstLine="567"/>
        <w:rPr>
          <w:i/>
          <w:lang w:val="ro-RO"/>
        </w:rPr>
      </w:pPr>
      <w:r w:rsidRPr="008C6A37">
        <w:rPr>
          <w:i/>
          <w:lang w:val="ro-RO"/>
        </w:rPr>
        <w:t xml:space="preserve">  Os1.a Protejarea eficientă a valorilor naturale, peisagistice și culturale</w:t>
      </w:r>
    </w:p>
    <w:p w14:paraId="31BA30A2" w14:textId="77777777" w:rsidR="00670FD4" w:rsidRPr="008C6A37" w:rsidRDefault="00670FD4" w:rsidP="00670FD4">
      <w:pPr>
        <w:ind w:firstLine="567"/>
        <w:rPr>
          <w:lang w:val="ro-RO"/>
        </w:rPr>
      </w:pPr>
      <w:r w:rsidRPr="008C6A37">
        <w:rPr>
          <w:lang w:val="ro-RO"/>
        </w:rPr>
        <w:t>Atingerea acestui obiectiv este esențială pentru întreaga zonă costieră care, cu puține excepții, prezintă o stare precară de conservare și valorificare eficientă a patrimoniului natural și cultural existent. Cauzele acestui deficit sunt multiple, iar rezolvarea acestora impune mobilizarea și cooperarea a autorităților, experților, societății civile, precum și alocarea resurselor financiare necesare.</w:t>
      </w:r>
    </w:p>
    <w:p w14:paraId="4EE88B12" w14:textId="77777777" w:rsidR="00670FD4" w:rsidRPr="008C6A37" w:rsidRDefault="00670FD4" w:rsidP="00670FD4">
      <w:pPr>
        <w:ind w:firstLine="567"/>
        <w:rPr>
          <w:i/>
          <w:lang w:val="ro-RO"/>
        </w:rPr>
      </w:pPr>
      <w:r w:rsidRPr="008C6A37">
        <w:rPr>
          <w:i/>
          <w:lang w:val="ro-RO"/>
        </w:rPr>
        <w:t>Os1b. Îmbunătățirea și valorizarea serviciilor ecosistemice prin crearea unor mecanisme monetare și nemonetare</w:t>
      </w:r>
    </w:p>
    <w:p w14:paraId="4A2C11AC" w14:textId="77777777" w:rsidR="00670FD4" w:rsidRPr="008C6A37" w:rsidRDefault="00670FD4" w:rsidP="00670FD4">
      <w:pPr>
        <w:ind w:firstLine="567"/>
        <w:rPr>
          <w:lang w:val="ro-RO"/>
        </w:rPr>
      </w:pPr>
      <w:r w:rsidRPr="008C6A37">
        <w:rPr>
          <w:lang w:val="ro-RO"/>
        </w:rPr>
        <w:t xml:space="preserve">Prin atingerea acestui obiectiv specific se urmărește creșterea și conștientizarea comunităților privind valoarea serviciilor ecosistemice privind furnizarea de bunuri și servicii, menținerea calității mediului, funcția estetică și culturală a peisajului, cât și introducerea unor mecanisme viabile de valorizare monetară a acestor servicii de către utilizatori.  </w:t>
      </w:r>
    </w:p>
    <w:p w14:paraId="17AECF0D" w14:textId="77777777" w:rsidR="00670FD4" w:rsidRPr="008C6A37" w:rsidRDefault="00670FD4" w:rsidP="00670FD4">
      <w:pPr>
        <w:ind w:firstLine="567"/>
        <w:rPr>
          <w:b/>
          <w:i/>
          <w:lang w:val="ro-RO"/>
        </w:rPr>
      </w:pPr>
      <w:r w:rsidRPr="008C6A37">
        <w:rPr>
          <w:b/>
          <w:i/>
          <w:lang w:val="ro-RO"/>
        </w:rPr>
        <w:t>O2. Prevenirea, reducerea și remedierea efectelor schimbărilor climatice și poluării</w:t>
      </w:r>
    </w:p>
    <w:p w14:paraId="2849D7DA" w14:textId="77777777" w:rsidR="00670FD4" w:rsidRPr="008C6A37" w:rsidRDefault="00670FD4" w:rsidP="00670FD4">
      <w:pPr>
        <w:ind w:firstLine="567"/>
        <w:rPr>
          <w:lang w:val="ro-RO"/>
        </w:rPr>
      </w:pPr>
      <w:r w:rsidRPr="008C6A37">
        <w:rPr>
          <w:lang w:val="ro-RO"/>
        </w:rPr>
        <w:t xml:space="preserve">Nivelul actual de dezvoltare al infrastructurii de mediu (stații de epurare a apelor uzate, eliminarea deșeurilor, infrastructura de monitorizare a mediului, etc.) nu este pe deplin suficient pentru asigurarea unei calități bune a apelor subterane și de suprafață, a solului și aerului. În plus, infrastructura insuficient dezvoltată limitează și potențialul de dezvoltare socio-economică. În aceste condiții apare necesitatea îmbunătățirii capacităților și calității infrastructurii existente prin investiții semnificative pentru dezvoltarea proiectelor de infrastructură, dar, în același timp, asigurându-se minimizarea impactului negativ asupra mediului datorat dezvoltării infrastructurii. </w:t>
      </w:r>
    </w:p>
    <w:p w14:paraId="33EA8D87" w14:textId="77777777" w:rsidR="00670FD4" w:rsidRPr="008C6A37" w:rsidRDefault="00670FD4" w:rsidP="00670FD4">
      <w:pPr>
        <w:ind w:firstLine="567"/>
        <w:rPr>
          <w:lang w:val="ro-RO"/>
        </w:rPr>
      </w:pPr>
      <w:r w:rsidRPr="008C6A37">
        <w:rPr>
          <w:lang w:val="ro-RO"/>
        </w:rPr>
        <w:t xml:space="preserve">În condițiile unei variabilității pronunțate a climei și schimbări climatice, zonele costiere sunt direct expuse hazardelor naturale și impactului acestora. Prin urmare, este necesar un management al riscului  la hazarde naturale, performant care să limiteze la minimum impactul acestora asupra infrastructurii costiere. </w:t>
      </w:r>
    </w:p>
    <w:p w14:paraId="48444AE2" w14:textId="77777777" w:rsidR="00670FD4" w:rsidRPr="008C6A37" w:rsidRDefault="00670FD4" w:rsidP="00670FD4">
      <w:pPr>
        <w:ind w:firstLine="567"/>
        <w:rPr>
          <w:lang w:val="ro-RO"/>
        </w:rPr>
      </w:pPr>
      <w:r w:rsidRPr="008C6A37">
        <w:rPr>
          <w:lang w:val="ro-RO"/>
        </w:rPr>
        <w:t>Obiectivele specifice definite pentru acest obiectiv general sunt:</w:t>
      </w:r>
    </w:p>
    <w:p w14:paraId="7EF9ADF1" w14:textId="77777777" w:rsidR="00670FD4" w:rsidRPr="008C6A37" w:rsidRDefault="00670FD4" w:rsidP="00670FD4">
      <w:pPr>
        <w:ind w:firstLine="567"/>
        <w:rPr>
          <w:i/>
          <w:lang w:val="ro-RO"/>
        </w:rPr>
      </w:pPr>
      <w:r w:rsidRPr="008C6A37">
        <w:rPr>
          <w:i/>
          <w:lang w:val="ro-RO"/>
        </w:rPr>
        <w:t xml:space="preserve"> Os2.a Atingerea stării ecologice bune a ecosistemelor</w:t>
      </w:r>
    </w:p>
    <w:p w14:paraId="4B9301B1" w14:textId="77777777" w:rsidR="00670FD4" w:rsidRPr="008C6A37" w:rsidRDefault="00670FD4" w:rsidP="00670FD4">
      <w:pPr>
        <w:ind w:firstLine="567"/>
        <w:rPr>
          <w:lang w:val="ro-RO"/>
        </w:rPr>
      </w:pPr>
      <w:r w:rsidRPr="008C6A37">
        <w:rPr>
          <w:lang w:val="ro-RO"/>
        </w:rPr>
        <w:t xml:space="preserve">Conform Directivei Apă (DCA) și Directivei Cadru privind Strategia pentru Mediul Marin (DCSMM), reducerea poluării până la pragul de la care se poate considera atingerea stării chimice, respectiv ecologice bune, este o prioritate. În ceea ce privește habitatele terestre, </w:t>
      </w:r>
      <w:r w:rsidRPr="008C6A37">
        <w:rPr>
          <w:lang w:val="ro-RO"/>
        </w:rPr>
        <w:lastRenderedPageBreak/>
        <w:t xml:space="preserve">este imperios necesar atingerea stării de conservare favorabile conform țintelor asumate de România prin Directiva Habitate și Directiva Păsări, până la următorul ciclu de raportare (2026). </w:t>
      </w:r>
    </w:p>
    <w:p w14:paraId="61B4C8FA" w14:textId="77777777" w:rsidR="00670FD4" w:rsidRPr="008C6A37" w:rsidRDefault="00670FD4" w:rsidP="00670FD4">
      <w:pPr>
        <w:ind w:firstLine="567"/>
        <w:rPr>
          <w:i/>
          <w:lang w:val="ro-RO"/>
        </w:rPr>
      </w:pPr>
      <w:r w:rsidRPr="008C6A37">
        <w:rPr>
          <w:i/>
          <w:lang w:val="ro-RO"/>
        </w:rPr>
        <w:t>Os2.b Gestionarea, revitalizare și reabilitarea zonelor poluate din cauza depozitării, eliminării și tratării  inadecvate a deșeurilor (solide și lichide)</w:t>
      </w:r>
    </w:p>
    <w:p w14:paraId="6F8F0B50" w14:textId="77777777" w:rsidR="00670FD4" w:rsidRPr="008C6A37" w:rsidRDefault="00670FD4" w:rsidP="00670FD4">
      <w:pPr>
        <w:ind w:firstLine="567"/>
        <w:rPr>
          <w:lang w:val="ro-RO"/>
        </w:rPr>
      </w:pPr>
      <w:r w:rsidRPr="008C6A37">
        <w:rPr>
          <w:lang w:val="ro-RO"/>
        </w:rPr>
        <w:t>În mare parte din UAT-urile zonei costiere, pe lângă siturile poluate și/sau potențial poluate identificate oficial, există numeroase altele, generate de depozitarea și eliminarea ilegală sau accidentală a deșeurilor solide și/sau lichide în mediu, neinventariate și nemonitorizate. Atingerea acestui obiectiv specific va conduce la revitalizare și reabilitarea tuturor zonelor poluate sau potențial poluate din zona costieră.</w:t>
      </w:r>
    </w:p>
    <w:p w14:paraId="5DB1FCDD" w14:textId="77777777" w:rsidR="00670FD4" w:rsidRPr="008C6A37" w:rsidRDefault="00670FD4" w:rsidP="00670FD4">
      <w:pPr>
        <w:ind w:firstLine="567"/>
        <w:rPr>
          <w:i/>
          <w:lang w:val="ro-RO"/>
        </w:rPr>
      </w:pPr>
      <w:r w:rsidRPr="008C6A37">
        <w:rPr>
          <w:i/>
          <w:lang w:val="ro-RO"/>
        </w:rPr>
        <w:t xml:space="preserve"> Os2.c Stimularea dezvoltării infrastructurii verzi</w:t>
      </w:r>
    </w:p>
    <w:p w14:paraId="103E8D6B" w14:textId="77777777" w:rsidR="00670FD4" w:rsidRPr="008C6A37" w:rsidRDefault="00670FD4" w:rsidP="00670FD4">
      <w:pPr>
        <w:ind w:firstLine="567"/>
        <w:rPr>
          <w:lang w:val="ro-RO"/>
        </w:rPr>
      </w:pPr>
      <w:r w:rsidRPr="008C6A37">
        <w:rPr>
          <w:lang w:val="ro-RO"/>
        </w:rPr>
        <w:t>Efectele pozitive pentru calitatea mediului, precum și sănătatea ecosistemului, trebuie obținute prin stimularea proiectelor de infrastructură verde în zone naturale sau seminaturale. Acest lucru ar reduce nevoia de a dezvolta infrastructură convențională sau, așa numita, infrastructură gri. Atingerea acestui obiectiv, ce presupune introducerea metodelor și tehnicilor de dezvoltare a infrastructurii verzi, va contribui la refacerea naturii, a funcțiilor naturale și a proceselor importante pentru furnizarea a numeroase servicii ecosistemice. De asemenea, este important să se testeze implementarea proiectelor de infrastructură verde în conformitate cu cele mai bune practici disponibile în UE.</w:t>
      </w:r>
    </w:p>
    <w:p w14:paraId="4AC40143" w14:textId="77777777" w:rsidR="00670FD4" w:rsidRPr="008C6A37" w:rsidRDefault="00670FD4" w:rsidP="00670FD4">
      <w:pPr>
        <w:ind w:firstLine="567"/>
        <w:rPr>
          <w:i/>
          <w:lang w:val="ro-RO"/>
        </w:rPr>
      </w:pPr>
      <w:r w:rsidRPr="008C6A37">
        <w:rPr>
          <w:i/>
          <w:lang w:val="ro-RO"/>
        </w:rPr>
        <w:t>Os2.d Întărirea sistemului de management al riscurilor pentru hazarde naturale și antropice, luând în calcul și impactul schimbărilor climatice</w:t>
      </w:r>
    </w:p>
    <w:p w14:paraId="5C713471" w14:textId="77777777" w:rsidR="00670FD4" w:rsidRPr="008C6A37" w:rsidRDefault="00670FD4" w:rsidP="00670FD4">
      <w:pPr>
        <w:ind w:firstLine="567"/>
        <w:rPr>
          <w:lang w:val="ro-RO"/>
        </w:rPr>
      </w:pPr>
      <w:r w:rsidRPr="008C6A37">
        <w:rPr>
          <w:lang w:val="ro-RO"/>
        </w:rPr>
        <w:t>Strategiile privind sistemele de management a riscului la hazarde naturale sau antropice sunt bazate pe prognozele elaborate pentru următoarele decenii, la nivel național și european, referitoare la vulnerabilitatea fiecărei zone și probabilitatea de apariție a acestora (inundații, seceta, cutremure, poluare cu hidrocarburi, risc epidemic, etc.). Cu toate acestea, schimbările climatice bruște la nivel local și regional, cu consecințe, uneori devastatoare, obligă autoritățile să aloce resurse și să implementeze sisteme moderne de monitorizare, prevenire și reducere a efectelor posibile ale acestor hazarde, să îmbunătățească capacitatea de predicție și să actualizeze frecvent planurile de intervenție. Acestea trebuie să fie însoțite de acțiuni, la nivelul fiecărui UAT, de coordonare, împreună cu autoritățile responsabile, de planificare și implementare de măsuri pentru asigurarea utilităților, a folosinței terenurilor, astfel încât riscul de producere a pagubelor, să fie minim.</w:t>
      </w:r>
    </w:p>
    <w:p w14:paraId="7DF5A95D" w14:textId="77777777" w:rsidR="00670FD4" w:rsidRPr="008C6A37" w:rsidRDefault="00670FD4" w:rsidP="00670FD4">
      <w:pPr>
        <w:ind w:firstLine="567"/>
        <w:rPr>
          <w:lang w:val="ro-RO"/>
        </w:rPr>
      </w:pPr>
      <w:r w:rsidRPr="008C6A37">
        <w:rPr>
          <w:b/>
          <w:i/>
          <w:lang w:val="ro-RO"/>
        </w:rPr>
        <w:t>O3. Planificare spațială și dezvoltare spațială sustenabilă</w:t>
      </w:r>
    </w:p>
    <w:p w14:paraId="546F5E94" w14:textId="77777777" w:rsidR="00670FD4" w:rsidRPr="008C6A37" w:rsidRDefault="00670FD4" w:rsidP="00670FD4">
      <w:pPr>
        <w:ind w:firstLine="567"/>
        <w:rPr>
          <w:lang w:val="ro-RO"/>
        </w:rPr>
      </w:pPr>
      <w:r w:rsidRPr="008C6A37">
        <w:rPr>
          <w:lang w:val="ro-RO"/>
        </w:rPr>
        <w:t>Actualele probleme și punctele slabe ale dezvoltării spațiale în zona costieră aparțin în mare măsură unui grup de probleme sistemice în domeniul amenajării teritoriului și urbanismului. În acest context, eforturile de îmbunătățire a sistemului de amenajare a teritoriului și urbanism sunt esențiale deoarece ar trebui să permită integrarea nevoilor și aspirațiilor sectoriale, protecția necondiționată a celor mai semnificative valori naturale, culturale și peisagistice, consumul și utilizarea rațională a spațiului.</w:t>
      </w:r>
    </w:p>
    <w:p w14:paraId="4F8C2F1A" w14:textId="77777777" w:rsidR="00670FD4" w:rsidRPr="008C6A37" w:rsidRDefault="00670FD4" w:rsidP="00670FD4">
      <w:pPr>
        <w:ind w:firstLine="567"/>
        <w:rPr>
          <w:lang w:val="ro-RO"/>
        </w:rPr>
      </w:pPr>
      <w:r w:rsidRPr="008C6A37">
        <w:rPr>
          <w:lang w:val="ro-RO"/>
        </w:rPr>
        <w:t>Obiectivele specifice pentru acest obiectiv general sunt:</w:t>
      </w:r>
    </w:p>
    <w:p w14:paraId="4FF7E265" w14:textId="77777777" w:rsidR="00670FD4" w:rsidRPr="008C6A37" w:rsidRDefault="00670FD4" w:rsidP="00670FD4">
      <w:pPr>
        <w:ind w:firstLine="567"/>
        <w:rPr>
          <w:i/>
          <w:lang w:val="ro-RO"/>
        </w:rPr>
      </w:pPr>
      <w:r w:rsidRPr="008C6A37">
        <w:rPr>
          <w:i/>
          <w:lang w:val="ro-RO"/>
        </w:rPr>
        <w:lastRenderedPageBreak/>
        <w:t>Os3.a Punerea în practică a planurilor de amenajare spațială a zonei costiere în coordonare cu planurile statelor vecine</w:t>
      </w:r>
    </w:p>
    <w:p w14:paraId="73B51062" w14:textId="77777777" w:rsidR="00670FD4" w:rsidRPr="008C6A37" w:rsidRDefault="00670FD4" w:rsidP="00670FD4">
      <w:pPr>
        <w:ind w:firstLine="567"/>
        <w:rPr>
          <w:lang w:val="ro-RO"/>
        </w:rPr>
      </w:pPr>
      <w:r w:rsidRPr="008C6A37">
        <w:rPr>
          <w:lang w:val="ro-RO"/>
        </w:rPr>
        <w:t xml:space="preserve">Definirea acestui obiectiv specific rezidă din necesitatea aprobării planului de amenajare a teritoriului zonei costiere și armonizarea acestuia cu planurile de amenajare a teritoriului ale statelor vecine, astfel încât să se asigure cooperarea în proiectele de infrastructură mare, cu caracter transfrontalier și dezvoltarea durabilă a zonei costiere și la nivel regional.   </w:t>
      </w:r>
    </w:p>
    <w:p w14:paraId="04427BB0" w14:textId="77777777" w:rsidR="00670FD4" w:rsidRPr="008C6A37" w:rsidRDefault="00670FD4" w:rsidP="00670FD4">
      <w:pPr>
        <w:ind w:firstLine="567"/>
        <w:rPr>
          <w:i/>
          <w:lang w:val="ro-RO"/>
        </w:rPr>
      </w:pPr>
      <w:r w:rsidRPr="008C6A37">
        <w:rPr>
          <w:i/>
          <w:lang w:val="ro-RO"/>
        </w:rPr>
        <w:t>Os3.b. Stabilirea unui sistem performant de supraveghere a eficienței implementării planificării spațiale prin realizarea Geamănului Digital (Digital Twin) a litoralului românesc</w:t>
      </w:r>
    </w:p>
    <w:p w14:paraId="058FBAA0" w14:textId="77777777" w:rsidR="00670FD4" w:rsidRPr="008C6A37" w:rsidRDefault="00670FD4" w:rsidP="00670FD4">
      <w:pPr>
        <w:ind w:firstLine="567"/>
        <w:rPr>
          <w:lang w:val="ro-RO"/>
        </w:rPr>
      </w:pPr>
      <w:r w:rsidRPr="008C6A37">
        <w:rPr>
          <w:lang w:val="ro-RO"/>
        </w:rPr>
        <w:t>Tehnologiile inteligente (IA), precum Geamănul Digital, constituie elemente centrale pentru atingerea obiectivelor acestei Strategii. Simularea diferitelor scenarii de management în mediul virtual construit cu ajutorul IA, reprezintă un instrument de management adaptiv, cu un potențial uriaș de înțelegere a nevoilor reale și răspunsurilor la problemele actuale și viitoare ale zonei costiere. Asistarea procesului de planificare de către maşini virtuale, va ajuta la diminuarea riscului asociat hazardelor, datorită antrenării capabilităţilor acestora de predicţie numerică.</w:t>
      </w:r>
    </w:p>
    <w:p w14:paraId="75F73BA0" w14:textId="77777777" w:rsidR="00670FD4" w:rsidRPr="008C6A37" w:rsidRDefault="00670FD4" w:rsidP="00670FD4">
      <w:pPr>
        <w:ind w:firstLine="567"/>
        <w:rPr>
          <w:i/>
          <w:lang w:val="ro-RO"/>
        </w:rPr>
      </w:pPr>
      <w:r w:rsidRPr="008C6A37">
        <w:rPr>
          <w:i/>
          <w:lang w:val="ro-RO"/>
        </w:rPr>
        <w:t xml:space="preserve">Os3.c Planificare și dezvoltare spațială integrată și durabilă a zonelor metropolitane, periurbane și rurale din zona costieră </w:t>
      </w:r>
    </w:p>
    <w:p w14:paraId="28B76F79" w14:textId="77777777" w:rsidR="00670FD4" w:rsidRPr="008C6A37" w:rsidRDefault="00670FD4" w:rsidP="00670FD4">
      <w:pPr>
        <w:ind w:firstLine="567"/>
        <w:rPr>
          <w:lang w:val="ro-RO"/>
        </w:rPr>
      </w:pPr>
      <w:r w:rsidRPr="008C6A37">
        <w:rPr>
          <w:lang w:val="ro-RO"/>
        </w:rPr>
        <w:t>Acest obiectiv specific a fost definit din necesitatea de a combate presiunea determinată de procesele de suburbanizare și metropolizare, care însoțesc dezvoltare urbană excesivă și necontrolată din sectorul sudic al zonei costiere. Acțiunile implementate pentru atingerea acestui obiectiv contribuie la dezvoltarea de instrumente eficiente de planificare spațială la nivelul teritoriului metropolitan Constanța și la nivelul zonelor  periurbane ale orașelor din zona costieră.</w:t>
      </w:r>
    </w:p>
    <w:p w14:paraId="203C42A9" w14:textId="77777777" w:rsidR="00670FD4" w:rsidRPr="008C6A37" w:rsidRDefault="00670FD4" w:rsidP="00670FD4">
      <w:pPr>
        <w:ind w:firstLine="567"/>
        <w:rPr>
          <w:b/>
          <w:i/>
          <w:lang w:val="ro-RO"/>
        </w:rPr>
      </w:pPr>
      <w:r w:rsidRPr="008C6A37">
        <w:rPr>
          <w:b/>
          <w:i/>
          <w:lang w:val="ro-RO"/>
        </w:rPr>
        <w:t>O4. Dezvoltarea durabilă a zonei costiere</w:t>
      </w:r>
    </w:p>
    <w:p w14:paraId="42D60EBB" w14:textId="77777777" w:rsidR="00670FD4" w:rsidRPr="008C6A37" w:rsidRDefault="00670FD4" w:rsidP="00670FD4">
      <w:pPr>
        <w:ind w:firstLine="567"/>
        <w:rPr>
          <w:lang w:val="ro-RO"/>
        </w:rPr>
      </w:pPr>
      <w:r w:rsidRPr="008C6A37">
        <w:rPr>
          <w:lang w:val="ro-RO"/>
        </w:rPr>
        <w:t xml:space="preserve">O preocupare centrală în managementul integrat al zonei costiere este legată de îmbunătățirea performanțelor economice prin depășirea deficiențelor care caracterizează starea existentă a dezvoltării socio-economice a zonei costiere, în primul rând a celor cauzate de nivelul relativ scăzut de diversificare a unor sectoare economice (turismul, producerea de energie, etc.) și de impactul negativ al acestora asupra calității mediului. Valorile naturale, culturale și peisagistice, resursele biotice și cele minerale, oferă zonei costiere un potențial de dezvoltare economică ridicat, respectiv îmbunătățirea ofertei de turism de înaltă calitate și diversificat, precum și a producției agricole ecologice autohtone. De asemenea, prin poziția sa geografică, zona costieră oferă un potențial ridicat pentru producerea de energie alternativă. În același timp însă, sunt evidente numeroase efecte negative asupra mediului ale dezvoltării activităților economice (în special dezvoltarea urbană, turismul, transporturile). </w:t>
      </w:r>
    </w:p>
    <w:p w14:paraId="290004C3" w14:textId="77777777" w:rsidR="00670FD4" w:rsidRPr="008C6A37" w:rsidRDefault="00670FD4" w:rsidP="00670FD4">
      <w:pPr>
        <w:ind w:firstLine="567"/>
        <w:rPr>
          <w:lang w:val="ro-RO"/>
        </w:rPr>
      </w:pPr>
      <w:r w:rsidRPr="008C6A37">
        <w:rPr>
          <w:lang w:val="ro-RO"/>
        </w:rPr>
        <w:t xml:space="preserve">De aceea, nevoile prioritare în contextul creșterii economice durabile a zonei costiere necesită, printre altele, stimulente pentru dezvoltarea turismului durabil, dezvoltarea agriculturii și pescuitului sustenabile, utilizarea zonelor rurale, unele dintre ele neglijate în prezent, precum și stimulente pentru alte dezvoltarea sectoarelor emergente ale economiei albastre (acvacultura, biotehnologii, etc.). </w:t>
      </w:r>
    </w:p>
    <w:p w14:paraId="00C364BE" w14:textId="77777777" w:rsidR="00670FD4" w:rsidRPr="008C6A37" w:rsidRDefault="00670FD4" w:rsidP="00670FD4">
      <w:pPr>
        <w:ind w:firstLine="567"/>
        <w:rPr>
          <w:lang w:val="ro-RO"/>
        </w:rPr>
      </w:pPr>
      <w:r w:rsidRPr="008C6A37">
        <w:rPr>
          <w:lang w:val="ro-RO"/>
        </w:rPr>
        <w:lastRenderedPageBreak/>
        <w:t>Obiectivele specifice definite pentru acest obiectiv general sunt:</w:t>
      </w:r>
    </w:p>
    <w:p w14:paraId="62FC6D77" w14:textId="77777777" w:rsidR="00670FD4" w:rsidRPr="008C6A37" w:rsidRDefault="00670FD4" w:rsidP="00670FD4">
      <w:pPr>
        <w:ind w:firstLine="567"/>
        <w:rPr>
          <w:lang w:val="ro-RO"/>
        </w:rPr>
      </w:pPr>
      <w:r w:rsidRPr="008C6A37">
        <w:rPr>
          <w:i/>
          <w:lang w:val="ro-RO"/>
        </w:rPr>
        <w:t>Os4.a Gestionarea durabilă a resurselor zonei de coastă</w:t>
      </w:r>
      <w:r w:rsidRPr="008C6A37">
        <w:rPr>
          <w:lang w:val="ro-RO"/>
        </w:rPr>
        <w:t xml:space="preserve"> </w:t>
      </w:r>
    </w:p>
    <w:p w14:paraId="09006107" w14:textId="77777777" w:rsidR="00670FD4" w:rsidRPr="008C6A37" w:rsidRDefault="00670FD4" w:rsidP="00670FD4">
      <w:pPr>
        <w:ind w:firstLine="567"/>
        <w:rPr>
          <w:lang w:val="ro-RO"/>
        </w:rPr>
      </w:pPr>
      <w:r w:rsidRPr="008C6A37">
        <w:rPr>
          <w:lang w:val="ro-RO"/>
        </w:rPr>
        <w:t>Planul Național de Redresare și Reziliență (PNRR) și Strategia Națională și Planul de Acțiune pentru Conservarea Biodiversității 2014-2020 (SNPACB 2014-2020) (în curs de actualizare) trasează liniile directoare pentru stoparea declinului diversităţii biologice reprezentată de resursele genetice, specii, ecosisteme şi peisaj şi refacerea ecosistemelor degradate, precum și de conservare a patrimoniului natural și cultural. La nivel local, Strategia integrată de dezvoltare durabilă a Deltei Dunării 2016-2030, cât și strategiile de dezvoltare a județelor Constanța și Tulcea includ obiective specifice de gestionare durabilă a resurselor zonei costiere. Planificarea strategică a sectoarelor economice din zona costieră (energie, pescuit și acvacultura, turism, agricultură) ce utilizează resursele biotice și abiotice ale zonei costiere, trebuie sa conțină acțiunile sinergice pentru atingerea țintelor de sustenabilitate, respectiv măsuri de implementare a acestora prin aplicarea instrumentelor financiare și capacităților oferite de documentele strategice menționate. Un accent deosebit trebuie pus pe gestionarea resurselor biotice, prin programe dedicate fiecărei resurse exploatate în prezent sau prevăzute a fi exploatate în viitor, precum și prin menținerea calității foarte bună a apelor costiere destinate îmbăierii pentru sectorul turistic.</w:t>
      </w:r>
    </w:p>
    <w:p w14:paraId="6E96EC9B" w14:textId="77777777" w:rsidR="00670FD4" w:rsidRPr="008C6A37" w:rsidRDefault="00670FD4" w:rsidP="00670FD4">
      <w:pPr>
        <w:ind w:firstLine="567"/>
        <w:rPr>
          <w:i/>
          <w:lang w:val="ro-RO"/>
        </w:rPr>
      </w:pPr>
      <w:r w:rsidRPr="008C6A37">
        <w:rPr>
          <w:i/>
          <w:lang w:val="ro-RO"/>
        </w:rPr>
        <w:t>Os4.b Dezvoltarea “verde” a zonei costiere</w:t>
      </w:r>
    </w:p>
    <w:p w14:paraId="2EFFF6D0" w14:textId="77777777" w:rsidR="00670FD4" w:rsidRPr="008C6A37" w:rsidRDefault="00670FD4" w:rsidP="00670FD4">
      <w:pPr>
        <w:ind w:firstLine="567"/>
        <w:rPr>
          <w:lang w:val="ro-RO"/>
        </w:rPr>
      </w:pPr>
      <w:r w:rsidRPr="008C6A37">
        <w:rPr>
          <w:lang w:val="ro-RO"/>
        </w:rPr>
        <w:t>Acest obiectiv specific vizează diversificarea economiei în zona costieră și atingerea performanțelor economice dorite de către antreprenorii locali prin folosirea tehnicilor și tehnologiilor inovative, verzi. Acțiunile implementate pentru atingerea acestui obiectiv specific sunt în concordanță cu principiile neutralității climatice (zero emisii de carbon) și ale economiei verzi - creștere albastră (Green Economy, Blue Growth).</w:t>
      </w:r>
    </w:p>
    <w:p w14:paraId="2CAC50D2" w14:textId="77777777" w:rsidR="00670FD4" w:rsidRPr="008C6A37" w:rsidRDefault="00670FD4" w:rsidP="00670FD4">
      <w:pPr>
        <w:ind w:firstLine="567"/>
        <w:rPr>
          <w:i/>
          <w:lang w:val="ro-RO"/>
        </w:rPr>
      </w:pPr>
      <w:r w:rsidRPr="008C6A37">
        <w:rPr>
          <w:i/>
          <w:lang w:val="ro-RO"/>
        </w:rPr>
        <w:t xml:space="preserve">Os4.c Valorificarea resurselor energetice regenerabile </w:t>
      </w:r>
    </w:p>
    <w:p w14:paraId="69A55829" w14:textId="77777777" w:rsidR="00670FD4" w:rsidRPr="008C6A37" w:rsidRDefault="00670FD4" w:rsidP="00670FD4">
      <w:pPr>
        <w:ind w:firstLine="567"/>
        <w:rPr>
          <w:lang w:val="ro-RO"/>
        </w:rPr>
      </w:pPr>
      <w:r w:rsidRPr="008C6A37">
        <w:rPr>
          <w:lang w:val="ro-RO"/>
        </w:rPr>
        <w:t xml:space="preserve">Zona costieră românească oferă posibilități considerabile de producere a energiei alternative, în special a energiei solare fotovoltaice şi eoliene, existând deja o serie de iniţiative în acest sens, însă potenţialul de dezvoltare nu a fost atins la capacitatea estimată. Atingerea acestui obiectiv specific presupune acțiuni de susținere și promovare a producerii de energie din surse alternative, regenerabile și nepoluante care vin în sprijinul îndeplinirii obiectivelor Planului Național Integrat în domeniul Energiei și Schimbărilor Climatice (PNIESC) 2021-2030 și Strategiei Naționale pentru Dezvoltarea Durabilă a României 2030 (SNDDR). </w:t>
      </w:r>
    </w:p>
    <w:p w14:paraId="07340EDD" w14:textId="77777777" w:rsidR="00670FD4" w:rsidRPr="008C6A37" w:rsidRDefault="00670FD4" w:rsidP="00670FD4">
      <w:pPr>
        <w:ind w:firstLine="567"/>
        <w:rPr>
          <w:i/>
          <w:lang w:val="ro-RO"/>
        </w:rPr>
      </w:pPr>
      <w:r w:rsidRPr="008C6A37">
        <w:rPr>
          <w:i/>
          <w:lang w:val="ro-RO"/>
        </w:rPr>
        <w:t>Os4.d. Atragerea investițiilor în biotehnologii pentru recuperarea, remedierea, îmbunătățirea sănătății umane și a mediului, în acord cu strategiile europene de promovare a Economiei Albastre și de atingere a obiectivelor Pactului Verde European și a Strategiei de la Ferma direct în Farfurie.</w:t>
      </w:r>
    </w:p>
    <w:p w14:paraId="732AF253" w14:textId="77777777" w:rsidR="00670FD4" w:rsidRPr="008C6A37" w:rsidRDefault="00670FD4" w:rsidP="00670FD4">
      <w:pPr>
        <w:ind w:firstLine="567"/>
        <w:rPr>
          <w:lang w:val="ro-RO"/>
        </w:rPr>
      </w:pPr>
      <w:r w:rsidRPr="008C6A37">
        <w:rPr>
          <w:lang w:val="ro-RO"/>
        </w:rPr>
        <w:t>Până la ora actuală, zona costieră beneficiază de investiții relativ scăzute în acest sector emergent al Economiei verde / albastre, deși atât partea terestră cât și cea marină au un potențial considerabil din punct de vedere biologic, ecologic dar și economic. Acțiunile ce vor fi întreprinse pentru îndeplinirea acestui obiectiv specific vor contribui la atingerea, de către România, a obiectivelor Pactului Verde European și a Strategiei de la Fermă direct la Farfurie.</w:t>
      </w:r>
    </w:p>
    <w:p w14:paraId="519F4347" w14:textId="77777777" w:rsidR="00670FD4" w:rsidRPr="008C6A37" w:rsidRDefault="00670FD4" w:rsidP="00670FD4">
      <w:pPr>
        <w:ind w:firstLine="567"/>
        <w:rPr>
          <w:b/>
          <w:i/>
          <w:lang w:val="ro-RO"/>
        </w:rPr>
      </w:pPr>
      <w:r w:rsidRPr="008C6A37">
        <w:rPr>
          <w:b/>
          <w:i/>
          <w:lang w:val="ro-RO"/>
        </w:rPr>
        <w:lastRenderedPageBreak/>
        <w:t>O5. Creșterea eficienței sistemului de management al zonei costiere</w:t>
      </w:r>
    </w:p>
    <w:p w14:paraId="65E4CEA3" w14:textId="77777777" w:rsidR="00670FD4" w:rsidRPr="008C6A37" w:rsidRDefault="00670FD4" w:rsidP="00670FD4">
      <w:pPr>
        <w:ind w:firstLine="567"/>
        <w:rPr>
          <w:lang w:val="ro-RO"/>
        </w:rPr>
      </w:pPr>
      <w:r w:rsidRPr="008C6A37">
        <w:rPr>
          <w:lang w:val="ro-RO"/>
        </w:rPr>
        <w:t>Acest obiectiv general a fost definit în contextul în care un mecanism funcțional de coordonare și cooperare reprezintă o nevoie urgentă a actualului sistem de management al zonei costiere. O contribuție importantă la dezvoltarea sustenabilă a zonei costiere trebuie să fie adusă prin consolidarea cooperării și coordonării între părțile interesate. În același timp, îmbunătățirea sistemului (instituțional) de management al zonei costiere nu este posibilă fără a investi în același timp în dezvoltarea capacităților funcționarilor publici și experților de a îndeplini sarcinile atribuite în mod eficient și eficace.</w:t>
      </w:r>
    </w:p>
    <w:p w14:paraId="15D826DF" w14:textId="77777777" w:rsidR="00670FD4" w:rsidRPr="008C6A37" w:rsidRDefault="00670FD4" w:rsidP="00670FD4">
      <w:pPr>
        <w:ind w:firstLine="567"/>
        <w:rPr>
          <w:lang w:val="ro-RO"/>
        </w:rPr>
      </w:pPr>
      <w:r w:rsidRPr="008C6A37">
        <w:rPr>
          <w:lang w:val="ro-RO"/>
        </w:rPr>
        <w:t>Obiectivele specifice definite pentru acest obiectiv general sunt:</w:t>
      </w:r>
    </w:p>
    <w:p w14:paraId="205802D1" w14:textId="77777777" w:rsidR="00670FD4" w:rsidRPr="008C6A37" w:rsidRDefault="00670FD4" w:rsidP="00670FD4">
      <w:pPr>
        <w:ind w:firstLine="567"/>
        <w:rPr>
          <w:i/>
          <w:lang w:val="ro-RO"/>
        </w:rPr>
      </w:pPr>
      <w:r w:rsidRPr="008C6A37">
        <w:rPr>
          <w:i/>
          <w:lang w:val="ro-RO"/>
        </w:rPr>
        <w:t>Os5.a Stabilirea / consolidarea mecanismului de coordonare a managementului integrat al zonei de coastă care să aducă împreună toate instituțiile responsabile ale statului român</w:t>
      </w:r>
    </w:p>
    <w:p w14:paraId="6B70E28A" w14:textId="77777777" w:rsidR="00670FD4" w:rsidRPr="008C6A37" w:rsidRDefault="00670FD4" w:rsidP="00670FD4">
      <w:pPr>
        <w:ind w:firstLine="567"/>
        <w:rPr>
          <w:lang w:val="ro-RO"/>
        </w:rPr>
      </w:pPr>
      <w:r w:rsidRPr="008C6A37">
        <w:rPr>
          <w:lang w:val="ro-RO"/>
        </w:rPr>
        <w:t xml:space="preserve">Atingerea acestui obiectiv specific este prioritară, asigurarea un mecanism de coordonare eficient și eficace fiind condiția esențială pentru gestionarea integrată a unei zone atât de complexe și dinamice, precum zona costieră. </w:t>
      </w:r>
    </w:p>
    <w:p w14:paraId="64AFC76F" w14:textId="77777777" w:rsidR="00670FD4" w:rsidRPr="008C6A37" w:rsidRDefault="00670FD4" w:rsidP="00670FD4">
      <w:pPr>
        <w:ind w:firstLine="567"/>
        <w:rPr>
          <w:i/>
          <w:lang w:val="ro-RO"/>
        </w:rPr>
      </w:pPr>
      <w:r w:rsidRPr="008C6A37">
        <w:rPr>
          <w:i/>
          <w:lang w:val="ro-RO"/>
        </w:rPr>
        <w:t>Os5.b Consolidarea capacităţii administrației publice</w:t>
      </w:r>
    </w:p>
    <w:p w14:paraId="4682DE8A" w14:textId="77777777" w:rsidR="00670FD4" w:rsidRPr="008C6A37" w:rsidRDefault="00670FD4" w:rsidP="00670FD4">
      <w:pPr>
        <w:ind w:firstLine="567"/>
        <w:rPr>
          <w:i/>
          <w:lang w:val="ro-RO"/>
        </w:rPr>
      </w:pPr>
      <w:r w:rsidRPr="008C6A37">
        <w:rPr>
          <w:lang w:val="ro-RO"/>
        </w:rPr>
        <w:t xml:space="preserve">Un sistem de management modern, eficient și responsabil trebuie să se bazeze pe rezultate și performanțe măsurabile ale administrației publice, pe îmbunătățirea competențelor funcționarilor publici și pe consolidarea transparenței managementului. Atingerea acestui obiectiv specific presupune formarea continuă a resursei umane din cadrul autorităților prin derularea, în mod regulat, de programe de asistență tehnică, ca singurul mod în care bunele practici şi competenţele se pot învăţa eficient, îmbunătăţi şi continua să existe la nivelul unei organizaţii publice. </w:t>
      </w:r>
    </w:p>
    <w:p w14:paraId="25A03F95" w14:textId="77777777" w:rsidR="00670FD4" w:rsidRPr="008C6A37" w:rsidRDefault="00670FD4" w:rsidP="00670FD4">
      <w:pPr>
        <w:ind w:firstLine="567"/>
        <w:rPr>
          <w:lang w:val="ro-RO"/>
        </w:rPr>
      </w:pPr>
      <w:r w:rsidRPr="008C6A37">
        <w:rPr>
          <w:i/>
          <w:lang w:val="ro-RO"/>
        </w:rPr>
        <w:t>Os5.c Întărirea aplicării normelor specifice sectoarelor economice din zona costieră</w:t>
      </w:r>
      <w:r w:rsidRPr="008C6A37">
        <w:rPr>
          <w:lang w:val="ro-RO"/>
        </w:rPr>
        <w:t xml:space="preserve"> </w:t>
      </w:r>
    </w:p>
    <w:p w14:paraId="0FB3FCBE" w14:textId="77777777" w:rsidR="00670FD4" w:rsidRPr="008C6A37" w:rsidRDefault="00670FD4" w:rsidP="00670FD4">
      <w:pPr>
        <w:ind w:firstLine="567"/>
        <w:rPr>
          <w:lang w:val="ro-RO"/>
        </w:rPr>
      </w:pPr>
      <w:r w:rsidRPr="008C6A37">
        <w:rPr>
          <w:lang w:val="ro-RO"/>
        </w:rPr>
        <w:t>Zona costieră este acoperită din punct de vedere legislativ de nenumărate prevederi şi norme de aplicare a acestora menite să prevină o administrare defectuoasă a acesteia. Cu toate acestea, problemele care apar au drept cauze, deseori, birocraţia, schimbările frecvente legislative şi administrative, modul dubitativ de interpretare a normelor și contradicțiile între diversele acte legislative. Prin atingerea acestui obiectiv se va asigura un sistem eficient de supraveghere și control al utilizării sustenabile resurselor zonei costiere.</w:t>
      </w:r>
    </w:p>
    <w:p w14:paraId="06F3AEB0" w14:textId="77777777" w:rsidR="00670FD4" w:rsidRPr="008C6A37" w:rsidRDefault="00670FD4" w:rsidP="00670FD4">
      <w:pPr>
        <w:ind w:firstLine="567"/>
        <w:rPr>
          <w:b/>
          <w:i/>
          <w:lang w:val="ro-RO"/>
        </w:rPr>
      </w:pPr>
      <w:r w:rsidRPr="008C6A37">
        <w:rPr>
          <w:b/>
          <w:i/>
          <w:lang w:val="ro-RO"/>
        </w:rPr>
        <w:t>O6. Consolidarea resursei umane și coeziunii sociale</w:t>
      </w:r>
    </w:p>
    <w:p w14:paraId="4D81491D" w14:textId="77777777" w:rsidR="00670FD4" w:rsidRPr="008C6A37" w:rsidRDefault="00670FD4" w:rsidP="00670FD4">
      <w:pPr>
        <w:ind w:firstLine="567"/>
        <w:rPr>
          <w:lang w:val="ro-RO"/>
        </w:rPr>
      </w:pPr>
      <w:r w:rsidRPr="008C6A37">
        <w:rPr>
          <w:lang w:val="ro-RO"/>
        </w:rPr>
        <w:t xml:space="preserve">Societățile care prețuiesc cunoștințele și aptitudinile, care reușesc să mobilizeze potențialul diferitelor grupuri sociale și să ofere beneficii ale dezvoltării tuturor membrilor lor, sunt societăți care se află pe calea dezvoltării durabile. Esențială pentru buna funcționare a sistemului de management a zonei costiere este includerea eficientă a publicului în procesele de luare a deciziilor și utilizarea tuturor cunoștințelor disponibile. Publicul trebuie să fie permanent informat, să dispună de cunoștințele necesare în vederea unei participări active și eficientă în procesul MIZC. </w:t>
      </w:r>
    </w:p>
    <w:p w14:paraId="73DEB9B2" w14:textId="77777777" w:rsidR="00670FD4" w:rsidRPr="008C6A37" w:rsidRDefault="00670FD4" w:rsidP="00670FD4">
      <w:pPr>
        <w:ind w:firstLine="567"/>
        <w:rPr>
          <w:lang w:val="ro-RO"/>
        </w:rPr>
      </w:pPr>
      <w:r w:rsidRPr="008C6A37">
        <w:rPr>
          <w:lang w:val="ro-RO"/>
        </w:rPr>
        <w:t>Obiectivele specifice definite pentru acest obiectiv general sunt:</w:t>
      </w:r>
    </w:p>
    <w:p w14:paraId="4286CB8A" w14:textId="77777777" w:rsidR="00670FD4" w:rsidRPr="008C6A37" w:rsidRDefault="00670FD4" w:rsidP="00670FD4">
      <w:pPr>
        <w:ind w:firstLine="567"/>
        <w:rPr>
          <w:i/>
          <w:lang w:val="ro-RO"/>
        </w:rPr>
      </w:pPr>
      <w:r w:rsidRPr="008C6A37">
        <w:rPr>
          <w:i/>
          <w:lang w:val="ro-RO"/>
        </w:rPr>
        <w:t>Os6.a Crearea unui proces real participativ în gestionarea integrată a zonei costiere</w:t>
      </w:r>
    </w:p>
    <w:p w14:paraId="483B39EF" w14:textId="77777777" w:rsidR="00670FD4" w:rsidRPr="008C6A37" w:rsidRDefault="00670FD4" w:rsidP="00670FD4">
      <w:pPr>
        <w:ind w:firstLine="567"/>
        <w:rPr>
          <w:i/>
          <w:lang w:val="ro-RO"/>
        </w:rPr>
      </w:pPr>
      <w:r w:rsidRPr="008C6A37">
        <w:rPr>
          <w:lang w:val="ro-RO"/>
        </w:rPr>
        <w:lastRenderedPageBreak/>
        <w:t>Comunitatea și comunicarea sunt elemente critice ale managementului zonei costiere, ținând cont de numeroșii actori implicați în procesele de decizie, cât și de vastitatea teritoriului, dar și a problemelor ce necesită rezolvare și cooperare, în acest sens. Prin acțiunile implementate în vederea atingerii acestui obiectiv specific va crește gradul de implicare și participare a tuturor factorilor interesați în procesul de gestionare a zonei costiere.</w:t>
      </w:r>
    </w:p>
    <w:p w14:paraId="232A66A2" w14:textId="77777777" w:rsidR="00670FD4" w:rsidRPr="008C6A37" w:rsidRDefault="00670FD4" w:rsidP="00670FD4">
      <w:pPr>
        <w:ind w:firstLine="567"/>
        <w:rPr>
          <w:i/>
          <w:lang w:val="ro-RO"/>
        </w:rPr>
      </w:pPr>
      <w:r w:rsidRPr="008C6A37">
        <w:rPr>
          <w:i/>
          <w:lang w:val="ro-RO"/>
        </w:rPr>
        <w:t>Os6.b Creșterea gradului de conștientizare cu privire la necesitatea de a păstra și îmbunătăți resursele zonei de coastă</w:t>
      </w:r>
    </w:p>
    <w:p w14:paraId="2CB02267" w14:textId="77777777" w:rsidR="00670FD4" w:rsidRPr="008C6A37" w:rsidRDefault="00670FD4" w:rsidP="00670FD4">
      <w:pPr>
        <w:ind w:firstLine="567"/>
        <w:rPr>
          <w:lang w:val="ro-RO"/>
        </w:rPr>
      </w:pPr>
      <w:r w:rsidRPr="008C6A37">
        <w:rPr>
          <w:lang w:val="ro-RO"/>
        </w:rPr>
        <w:t>Pe lângă dezvoltarea capacităților, este, de asemenea, necesară creșterea conștientizării cu privire la importanța conservării valorilor culturale, naturale și peisagistice ca o obligație față de trecut și viitor și o condiție prealabilă pentru dezvoltarea durabilă pe termen lung a societății. Importanța diseminării experiențelor privind implementarea de bune practici în dezvoltarea activităților economice sustenabile și stimularea antreprenoriatului local trebuie luată în considerare în cadrul campaniilor de creștere a gradului de conștientizare. Acțiunile care vor contribui la atingerea acestui obiectiv nu vor viza doar antreprenoriatul, ci se vor adresa și publicului larg, societății civile deoarece un mediu sănătos contribuie la bunăstarea întregii comunități. Creșterea gradului de conștientizare și îmbunătățire a cunoștințelor trebuie realizate la diferite niveluri și în moduri diferite – prin includerea amenajării teritoriului și a protecției mediului în programele de învățământ, prin organizarea de expoziții și ateliere de lucru, etc.</w:t>
      </w:r>
    </w:p>
    <w:p w14:paraId="7C24A32E" w14:textId="77777777" w:rsidR="00670FD4" w:rsidRPr="008C6A37" w:rsidRDefault="00670FD4" w:rsidP="00670FD4">
      <w:pPr>
        <w:ind w:firstLine="567"/>
        <w:rPr>
          <w:i/>
          <w:lang w:val="ro-RO"/>
        </w:rPr>
      </w:pPr>
      <w:r w:rsidRPr="008C6A37">
        <w:rPr>
          <w:i/>
          <w:lang w:val="ro-RO"/>
        </w:rPr>
        <w:t>Os6.c Implicarea cetățenilor în monitorizarea stării de sănătate a mediului costier (Citizen-science)</w:t>
      </w:r>
    </w:p>
    <w:p w14:paraId="24950CC8" w14:textId="77777777" w:rsidR="00670FD4" w:rsidRDefault="00670FD4" w:rsidP="00670FD4">
      <w:pPr>
        <w:ind w:firstLine="567"/>
        <w:rPr>
          <w:lang w:val="ro-RO"/>
        </w:rPr>
      </w:pPr>
      <w:r w:rsidRPr="008C6A37">
        <w:rPr>
          <w:lang w:val="ro-RO"/>
        </w:rPr>
        <w:t>Inițiativele Citizen Science (Știință prin cetățeni), care sprijină colaborarea dintre cercetători și publicul larg, nu sunt o obişnuinţă în România și, implicit, la litoralul românesc, însă constituie o practică consacrată în ţările europene odată cu publicarea în 2013 a Cartei Verzi a Ştiinţei pentru Cetăţeni. Pentru punerea în aplicare a acestor iniţiative, autorităţile din zona costieră trebuie să vadă avantajele pe care acest gen de iniţiative le aduce gestionării problemelor de mediu, prin participarea cetăţenilor instruiţi la luarea, în mod conştient, a deciziilor privind protecţia şi conservarea mediului, precum și la procesul de colectare de date și informații de mediu. Managementul oricărui teritoriu, mai ales al zonei costiere, o zonă vulnerabilă la presiunea crescândă asupra mediului şi sănătăţii umane, trebuie privit ca un parteneriat public-privat (cetăţeni), în care sunt preţuite serviciile reciproce oferite de fiecare parte.</w:t>
      </w:r>
    </w:p>
    <w:p w14:paraId="05180BE2" w14:textId="77777777" w:rsidR="00670FD4" w:rsidRPr="008C6A37" w:rsidRDefault="00670FD4" w:rsidP="00670FD4">
      <w:pPr>
        <w:ind w:firstLine="567"/>
        <w:rPr>
          <w:lang w:val="ro-RO"/>
        </w:rPr>
      </w:pPr>
    </w:p>
    <w:p w14:paraId="068C8B90" w14:textId="77777777" w:rsidR="00670FD4" w:rsidRPr="008C6A37" w:rsidRDefault="00670FD4" w:rsidP="00670FD4">
      <w:pPr>
        <w:pStyle w:val="Heading2"/>
        <w:numPr>
          <w:ilvl w:val="1"/>
          <w:numId w:val="48"/>
        </w:numPr>
      </w:pPr>
      <w:bookmarkStart w:id="26" w:name="_Toc150247016"/>
      <w:bookmarkStart w:id="27" w:name="_Toc171084812"/>
      <w:r w:rsidRPr="005D2CE5">
        <w:t>Program</w:t>
      </w:r>
      <w:r w:rsidRPr="00940876">
        <w:rPr>
          <w:sz w:val="28"/>
        </w:rPr>
        <w:t xml:space="preserve"> / Plan de Acțiune</w:t>
      </w:r>
      <w:bookmarkEnd w:id="26"/>
      <w:bookmarkEnd w:id="27"/>
      <w:r w:rsidRPr="00940876">
        <w:rPr>
          <w:sz w:val="28"/>
        </w:rPr>
        <w:t xml:space="preserve"> </w:t>
      </w:r>
    </w:p>
    <w:p w14:paraId="58D2B81A" w14:textId="77777777" w:rsidR="00670FD4" w:rsidRPr="008C6A37" w:rsidRDefault="00670FD4" w:rsidP="00670FD4">
      <w:pPr>
        <w:ind w:firstLine="567"/>
        <w:rPr>
          <w:lang w:val="ro-RO"/>
        </w:rPr>
      </w:pPr>
      <w:r w:rsidRPr="008C6A37">
        <w:rPr>
          <w:lang w:val="ro-RO"/>
        </w:rPr>
        <w:t>În conformitate cu viziunea, cadrul legislativ și instituțional, problemele și nevoile identificate, precum și obiectivele stabilite, a fost definit un set de direcții de acțiune, luând în considerare diferiți actori implicați în ceea ce privește implementarea. Direcțiile de acțiune care vor sprijini atingerea obiectivelor și implementarea strategiei, asigurând concordanța cu alte programe și planuri naționale sunt:</w:t>
      </w:r>
    </w:p>
    <w:p w14:paraId="26ED9E68" w14:textId="77777777" w:rsidR="00670FD4" w:rsidRPr="008C6A37" w:rsidRDefault="00670FD4" w:rsidP="00670FD4">
      <w:pPr>
        <w:numPr>
          <w:ilvl w:val="0"/>
          <w:numId w:val="3"/>
        </w:numPr>
        <w:ind w:firstLine="567"/>
        <w:rPr>
          <w:b/>
          <w:lang w:val="ro-RO"/>
        </w:rPr>
      </w:pPr>
      <w:bookmarkStart w:id="28" w:name="_heading=h.2s8eyo1" w:colFirst="0" w:colLast="0"/>
      <w:bookmarkEnd w:id="28"/>
      <w:r w:rsidRPr="008C6A37">
        <w:rPr>
          <w:b/>
          <w:lang w:val="ro-RO"/>
        </w:rPr>
        <w:lastRenderedPageBreak/>
        <w:t>Conservarea și valorificarea durabilă a patrimoniului natural și cultural</w:t>
      </w:r>
    </w:p>
    <w:p w14:paraId="04E2B0E9" w14:textId="77777777" w:rsidR="00670FD4" w:rsidRPr="008C6A37" w:rsidRDefault="00670FD4" w:rsidP="00670FD4">
      <w:pPr>
        <w:ind w:firstLine="567"/>
        <w:rPr>
          <w:lang w:val="ro-RO"/>
        </w:rPr>
      </w:pPr>
      <w:r w:rsidRPr="008C6A37">
        <w:rPr>
          <w:lang w:val="ro-RO"/>
        </w:rPr>
        <w:t>Acțiunile subsecvente acestei direcții de acțiune sunt:</w:t>
      </w:r>
    </w:p>
    <w:p w14:paraId="07A985CF" w14:textId="77777777" w:rsidR="00670FD4" w:rsidRPr="008C6A37" w:rsidRDefault="00670FD4" w:rsidP="00670FD4">
      <w:pPr>
        <w:ind w:firstLine="567"/>
        <w:rPr>
          <w:b/>
          <w:i/>
          <w:lang w:val="ro-RO"/>
        </w:rPr>
      </w:pPr>
      <w:r w:rsidRPr="008C6A37">
        <w:rPr>
          <w:b/>
          <w:i/>
          <w:lang w:val="ro-RO"/>
        </w:rPr>
        <w:t>A.1 Alcătuirea cadastrului monumentelor și siturilor arheologice</w:t>
      </w:r>
    </w:p>
    <w:p w14:paraId="0D7EFB4B" w14:textId="77777777" w:rsidR="00670FD4" w:rsidRPr="008C6A37" w:rsidRDefault="00670FD4" w:rsidP="00670FD4">
      <w:pPr>
        <w:ind w:firstLine="567"/>
        <w:rPr>
          <w:lang w:val="ro-RO"/>
        </w:rPr>
      </w:pPr>
      <w:r w:rsidRPr="008C6A37">
        <w:rPr>
          <w:lang w:val="ro-RO"/>
        </w:rPr>
        <w:t>Zona costieră prezintă un potenţial patrimonial cultural cu totul remarcabil, compus din 426 de monumente, foruri publice, memorial funerare şi situri arheologice (inclusiv cel situat pe platforma continentală românească a Mării Negre). Protecția bunurilor ce compun patrimoniul cultural trebuie impusă prin documentele de amenajare a teritoriului și urbanism, esențială fiind actualizarea PUG-urilor și preluarea informațiilor privitoare la existența și localizarea bunurilor de patrimoniu ca urmare a unor noi descoperiri sau cercetări. Prin implementarea acestei măsuri se vor realiza o bază de date geospațiale a monumentelor și siturilor arheologice, precum și un atlas al elementelor de patrimoniu construit din Lista Monumentelor Istorice (LMI) pentru zona costieră. De asemenea, se va identifica regimul de proprietate pentru monumentele și siturile din LMI de grupă valorică A (de importanță națională și internațională) din zona costieră.</w:t>
      </w:r>
    </w:p>
    <w:p w14:paraId="5B7B1C59" w14:textId="77777777" w:rsidR="00670FD4" w:rsidRPr="008C6A37" w:rsidRDefault="00670FD4" w:rsidP="00670FD4">
      <w:pPr>
        <w:ind w:firstLine="567"/>
        <w:rPr>
          <w:b/>
          <w:i/>
          <w:lang w:val="ro-RO"/>
        </w:rPr>
      </w:pPr>
      <w:r w:rsidRPr="008C6A37">
        <w:rPr>
          <w:b/>
          <w:i/>
          <w:lang w:val="ro-RO"/>
        </w:rPr>
        <w:t>A.2 Inițierea și implementarea programelor de dezvoltare de proiecte pentru protecția, conservarea și restaurarea patrimoniului cultural existent de interes național (monumente istorice, situri, imobile sau amenajări cu valoare arhitectural urbanistică, precum și peisajele din zona costieră)</w:t>
      </w:r>
    </w:p>
    <w:p w14:paraId="1CFB73B3" w14:textId="77777777" w:rsidR="00670FD4" w:rsidRPr="008C6A37" w:rsidRDefault="00670FD4" w:rsidP="00670FD4">
      <w:pPr>
        <w:ind w:firstLine="567"/>
        <w:rPr>
          <w:lang w:val="ro-RO"/>
        </w:rPr>
      </w:pPr>
      <w:r w:rsidRPr="008C6A37">
        <w:rPr>
          <w:lang w:val="ro-RO"/>
        </w:rPr>
        <w:t>Prezența numeroaselor și valoroaselor obiective arheologice, arhitecturale, memoriale, artistice conferă un potențial deosebit, din punct de vedere cultural și turistic, zonei costiere în general și a zonelor urbane, în special. Degradarea accelerată a patrimoniului cultural imobil din zona costieră poate fi limitată prin intervenții sistemice de calitate și impact în mediul cultural în scopul regenerării și reabilitării centrelor urbane cu valoare istorică, punerii în valoare și promovării prin campanii și evenimente dedicate a identității și patrimoniului cultural local și regional, material și imaterial. Valorificarea patrimoniului cultural existent trebuie să aibă în vedere păstrarea unui echilibru prudent între progres şi protejare, care să permită dezvoltarea economică, turistică şi socială în respectul protejării patrimoniului imobil și a peisajului cultural.</w:t>
      </w:r>
    </w:p>
    <w:p w14:paraId="75926D0C" w14:textId="77777777" w:rsidR="00670FD4" w:rsidRPr="008C6A37" w:rsidRDefault="00670FD4" w:rsidP="00670FD4">
      <w:pPr>
        <w:ind w:firstLine="567"/>
        <w:rPr>
          <w:b/>
          <w:i/>
          <w:lang w:val="ro-RO"/>
        </w:rPr>
      </w:pPr>
      <w:r w:rsidRPr="008C6A37">
        <w:rPr>
          <w:b/>
          <w:i/>
          <w:lang w:val="ro-RO"/>
        </w:rPr>
        <w:t>A.3 Realizarea unui program național de cercetare, inventariere și punere în valoare a patrimoniului arheologic subacvatic din zona costieră</w:t>
      </w:r>
    </w:p>
    <w:p w14:paraId="0D6E4918" w14:textId="77777777" w:rsidR="00670FD4" w:rsidRPr="008C6A37" w:rsidRDefault="00670FD4" w:rsidP="00670FD4">
      <w:pPr>
        <w:ind w:firstLine="567"/>
        <w:rPr>
          <w:lang w:val="ro-RO"/>
        </w:rPr>
      </w:pPr>
      <w:r w:rsidRPr="008C6A37">
        <w:rPr>
          <w:lang w:val="ro-RO"/>
        </w:rPr>
        <w:t xml:space="preserve">Convenția UNESCO privind protecția patrimoniului cultural subacvatic, Paris, 2001, adoptată în România prin Legea 99/2007, a stabilit un cadru legal cuprinzător pentru cercetarea, conservarea, protecția și gestionarea patrimoniului cultural subacvatic. Totuși, datele privind patrimoniul cultural subacvatic disponibile în prezent în România sunt departe de a fi complete, în lipsa unor anchete sistematice în zona maritimă. Implementarea acestei acțiuni este în concordanță cu obiectivele și acțiunile Planului de Amenajare a Spațiului Maritim. </w:t>
      </w:r>
    </w:p>
    <w:p w14:paraId="5AF6C834" w14:textId="77777777" w:rsidR="00670FD4" w:rsidRPr="008C6A37" w:rsidRDefault="00670FD4" w:rsidP="00670FD4">
      <w:pPr>
        <w:ind w:firstLine="567"/>
        <w:rPr>
          <w:b/>
          <w:i/>
          <w:lang w:val="ro-RO"/>
        </w:rPr>
      </w:pPr>
      <w:r w:rsidRPr="008C6A37">
        <w:rPr>
          <w:b/>
          <w:i/>
          <w:lang w:val="ro-RO"/>
        </w:rPr>
        <w:t>A.4 Inventarierea și evaluarea peisajului în zona costieră în vederea susținerii proceselor de elaborarea a activităților de planificare spațială a teritoriului, precum și a programelor de conservare / restaurare / reabilitare / valorificare a peisajului costier</w:t>
      </w:r>
    </w:p>
    <w:p w14:paraId="486B4C5B" w14:textId="77777777" w:rsidR="00670FD4" w:rsidRPr="008C6A37" w:rsidRDefault="00670FD4" w:rsidP="00670FD4">
      <w:pPr>
        <w:ind w:firstLine="567"/>
        <w:rPr>
          <w:lang w:val="ro-RO"/>
        </w:rPr>
      </w:pPr>
      <w:r w:rsidRPr="008C6A37">
        <w:rPr>
          <w:lang w:val="ro-RO"/>
        </w:rPr>
        <w:lastRenderedPageBreak/>
        <w:t>În ultimii ani, politicile UE privind peisajul costier au devenit mai bine definite, impunându-se necesitatea stabilirii unor indicatori pentru evaluarea și monitorizarea efectelor politicilor și planurilor în zona costieră. Însă peisajul reprezintă una dintre componentele dificil de măsurat folosind metode cantitative. Pentru a aborda diversele dimensiuni ale peisajului costier (a cărui complexitate este binecunoscută având în vedere interacțiunea uscat-mare), este nevoie de o implicare multidisciplinară, cu expertiză în ecologia peisajului, istoria peisajului, percepția peisajului, planificarea regională, evaluarea strategică a mediului și procedurile de evaluare a impactului asupra mediului costier și marin. Implementarea acțiunii propuse include:</w:t>
      </w:r>
    </w:p>
    <w:p w14:paraId="575D1440" w14:textId="77777777" w:rsidR="00670FD4" w:rsidRPr="008C6A37" w:rsidRDefault="00670FD4" w:rsidP="00670FD4">
      <w:pPr>
        <w:ind w:firstLine="567"/>
        <w:rPr>
          <w:lang w:val="ro-RO"/>
        </w:rPr>
      </w:pPr>
      <w:r w:rsidRPr="008C6A37">
        <w:rPr>
          <w:lang w:val="ro-RO"/>
        </w:rPr>
        <w:t>- elaborarea unei metodologii pentru inventarierea  și evaluarea peisajului costier;</w:t>
      </w:r>
    </w:p>
    <w:p w14:paraId="28DEC93F" w14:textId="77777777" w:rsidR="00670FD4" w:rsidRDefault="00670FD4" w:rsidP="00670FD4">
      <w:pPr>
        <w:ind w:firstLine="567"/>
        <w:rPr>
          <w:lang w:val="ro-RO"/>
        </w:rPr>
      </w:pPr>
      <w:r w:rsidRPr="008C6A37">
        <w:rPr>
          <w:lang w:val="ro-RO"/>
        </w:rPr>
        <w:t>- realizarea atlasului peisajului costier;</w:t>
      </w:r>
    </w:p>
    <w:p w14:paraId="05DB423E" w14:textId="77777777" w:rsidR="00670FD4" w:rsidRPr="008C6A37" w:rsidRDefault="00670FD4" w:rsidP="00670FD4">
      <w:pPr>
        <w:ind w:firstLine="567"/>
        <w:rPr>
          <w:lang w:val="ro-RO"/>
        </w:rPr>
      </w:pPr>
      <w:r>
        <w:rPr>
          <w:lang w:val="ro-RO"/>
        </w:rPr>
        <w:t>- realizarea unei metodologii/</w:t>
      </w:r>
      <w:r w:rsidRPr="008C6A37">
        <w:rPr>
          <w:lang w:val="ro-RO"/>
        </w:rPr>
        <w:t>ghid pentru programele de conservare/reabilitare/valorificare a peisajului costier;</w:t>
      </w:r>
    </w:p>
    <w:p w14:paraId="4788FB85" w14:textId="77777777" w:rsidR="00670FD4" w:rsidRPr="008C6A37" w:rsidRDefault="00670FD4" w:rsidP="00670FD4">
      <w:pPr>
        <w:ind w:firstLine="567"/>
        <w:rPr>
          <w:lang w:val="ro-RO"/>
        </w:rPr>
      </w:pPr>
      <w:r w:rsidRPr="008C6A37">
        <w:rPr>
          <w:lang w:val="ro-RO"/>
        </w:rPr>
        <w:t>- realizarea unor analize detaliate privind modul de utilizare a terenurilor, cu accent pe aspectele ecologice, istorice, economice și de percepție.</w:t>
      </w:r>
    </w:p>
    <w:p w14:paraId="6D260397" w14:textId="77777777" w:rsidR="00670FD4" w:rsidRPr="008C6A37" w:rsidRDefault="00670FD4" w:rsidP="00670FD4">
      <w:pPr>
        <w:ind w:firstLine="567"/>
        <w:rPr>
          <w:b/>
          <w:i/>
          <w:lang w:val="ro-RO"/>
        </w:rPr>
      </w:pPr>
      <w:r w:rsidRPr="008C6A37">
        <w:rPr>
          <w:b/>
          <w:i/>
          <w:lang w:val="ro-RO"/>
        </w:rPr>
        <w:t>A.5 Asigurarea conservării biodiversității în conformitate cu obligațiile prevăzute de legislația europeană</w:t>
      </w:r>
    </w:p>
    <w:p w14:paraId="6664B5BC" w14:textId="77777777" w:rsidR="00670FD4" w:rsidRPr="008C6A37" w:rsidRDefault="00670FD4" w:rsidP="00670FD4">
      <w:pPr>
        <w:ind w:firstLine="567"/>
        <w:rPr>
          <w:lang w:val="ro-RO"/>
        </w:rPr>
      </w:pPr>
      <w:r w:rsidRPr="008C6A37">
        <w:rPr>
          <w:lang w:val="ro-RO"/>
        </w:rPr>
        <w:t>Conservarea biodiversității reprezintă obiectivul major al implementării la nivel european a rețelei Natura 2000. Datorită importanței economice a zonei costiere, existenței ariilor protejate terestre și marine și a poziției geografice sunt necesare, în continuarea de măsuri de management adecvate dezvoltării durabile. Existența ariilor protejate în zona costiera trebuie conștientizată ca atare, iar planificarea activităților de orice natură în zonele protejate sau în vecinătatea acestora trebuie să aibă în vedere în mod expres principiul conservării biodiversității.</w:t>
      </w:r>
    </w:p>
    <w:p w14:paraId="409CCD21" w14:textId="77777777" w:rsidR="00670FD4" w:rsidRPr="008C6A37" w:rsidRDefault="00670FD4" w:rsidP="00670FD4">
      <w:pPr>
        <w:ind w:firstLine="567"/>
        <w:rPr>
          <w:b/>
          <w:i/>
          <w:lang w:val="ro-RO"/>
        </w:rPr>
      </w:pPr>
      <w:r w:rsidRPr="008C6A37">
        <w:rPr>
          <w:b/>
          <w:i/>
          <w:lang w:val="ro-RO"/>
        </w:rPr>
        <w:t>A.6 Dezvoltarea unor programe pentru restabilirea/refacerea și utilizarea sustenabilă a ecosistemelor costiere utilizând soluțiile bazate pe natură</w:t>
      </w:r>
    </w:p>
    <w:p w14:paraId="5A76510A" w14:textId="77777777" w:rsidR="00670FD4" w:rsidRPr="008C6A37" w:rsidRDefault="00670FD4" w:rsidP="00670FD4">
      <w:pPr>
        <w:ind w:firstLine="567"/>
        <w:rPr>
          <w:lang w:val="ro-RO"/>
        </w:rPr>
      </w:pPr>
      <w:r w:rsidRPr="008C6A37">
        <w:rPr>
          <w:lang w:val="ro-RO"/>
        </w:rPr>
        <w:t>Restabilirea/refacerea ecosistemelor naturale reprezintă unul dintre instrumentele de bază care ar putea stimula păstrarea integrității ariilor protejate sub toate aspectele și atingerea țintelor AICHI de conservare a biodiversității. Activitățile de refacere/restaurare promovează principiul conservării biodiversității, îmbunătățesc captarea și stocarea carbonului și accelerează reziliența ecosistemelor naturale. Cu toate acestea, lipsește un program care să combine conservarea și refacerea/restaurarea într-un cadru unificat, cu implicarea cetățenilor și a mediului economic.</w:t>
      </w:r>
    </w:p>
    <w:p w14:paraId="080FD59C" w14:textId="77777777" w:rsidR="00670FD4" w:rsidRPr="008C6A37" w:rsidRDefault="00670FD4" w:rsidP="00670FD4">
      <w:pPr>
        <w:ind w:firstLine="567"/>
        <w:rPr>
          <w:b/>
          <w:i/>
          <w:lang w:val="ro-RO"/>
        </w:rPr>
      </w:pPr>
      <w:r w:rsidRPr="008C6A37">
        <w:rPr>
          <w:b/>
          <w:i/>
          <w:lang w:val="ro-RO"/>
        </w:rPr>
        <w:t>A.7 Identificarea, catalogarea și monitorizarea serviciilor ecosistemice</w:t>
      </w:r>
    </w:p>
    <w:p w14:paraId="62828781" w14:textId="77777777" w:rsidR="00670FD4" w:rsidRPr="008C6A37" w:rsidRDefault="00670FD4" w:rsidP="00670FD4">
      <w:pPr>
        <w:ind w:firstLine="567"/>
        <w:rPr>
          <w:lang w:val="ro-RO"/>
        </w:rPr>
      </w:pPr>
      <w:r w:rsidRPr="008C6A37">
        <w:rPr>
          <w:lang w:val="ro-RO"/>
        </w:rPr>
        <w:t xml:space="preserve">Deoarece multe dintre bunurile și serviciile ecosistemice au fost dintotdeauna la dispoziția tuturor și, de regulă, puțin prețuite pe piață, valoarea lor reală nu a fost inclusă în estimările economice. Pe lângă valoarea resurselor naturale exploatate comercial, există o valoare intrinsecă a fiecărui serviciu ecosistemic, care se referă la funcţiile prin care ecosistemele contribuie la reglarea proceselor şi fenomenelor care susţin viaţa (epurarea apelor, fixarea nutrienților şi a carbonului, fotosinteza), la funcţiile de suport, precum producţia de </w:t>
      </w:r>
      <w:r w:rsidRPr="008C6A37">
        <w:rPr>
          <w:lang w:val="ro-RO"/>
        </w:rPr>
        <w:lastRenderedPageBreak/>
        <w:t>biomasă, de elemente esenţiale vieţii (ex. oxigen), formarea solurilor, etc., precum și la oportunităţile culturale şi estetice pe care le oferă (peisaje, experienţe spirituale, etc.). Implementarea acestei acțiuni este necesară în contextul ignorării, din necunoaștere și/sau neglijență, atât din partea autorităților, cât și a publicului, a importanței tuturor serviciilor ecosistemice pentru dezvoltarea durabilă a zonei costiere.</w:t>
      </w:r>
    </w:p>
    <w:p w14:paraId="449544CB" w14:textId="77777777" w:rsidR="00670FD4" w:rsidRPr="008C6A37" w:rsidRDefault="00670FD4" w:rsidP="00670FD4">
      <w:pPr>
        <w:ind w:firstLine="567"/>
        <w:rPr>
          <w:b/>
          <w:i/>
          <w:lang w:val="ro-RO"/>
        </w:rPr>
      </w:pPr>
      <w:r w:rsidRPr="008C6A37">
        <w:rPr>
          <w:b/>
          <w:i/>
          <w:lang w:val="ro-RO"/>
        </w:rPr>
        <w:t>A.8 Stabilirea instrumentelor pentru valorizarea monetară și non-monetară a serviciilor ecosistemice în concordanță cu obiectivele de protecție și conservare a speciilor și habitatelor</w:t>
      </w:r>
    </w:p>
    <w:p w14:paraId="2D7CECEC" w14:textId="77777777" w:rsidR="00670FD4" w:rsidRPr="008C6A37" w:rsidRDefault="00670FD4" w:rsidP="00670FD4">
      <w:pPr>
        <w:ind w:firstLine="567"/>
        <w:rPr>
          <w:lang w:val="ro-RO"/>
        </w:rPr>
      </w:pPr>
      <w:r w:rsidRPr="008C6A37">
        <w:rPr>
          <w:lang w:val="ro-RO"/>
        </w:rPr>
        <w:t>Valorizarea monetară și non-monetară a serviciilor ecosistemice contribuie la o utilizare îmbunătățită a resurselor naturale, în special prin creșterea gradului de informare și cunoaștere a factorilor de decizie asupra costului total al exploatării sistemelor ecologice și asupra beneficiilor potențiale pe care sistemele ecologice naturale le furnizează. Prin urmare, prin implementarea acestei activități se urmărește stabilirea mecanismelor monetare și non-monetare a serviciilor ecosistemice și integrarea costurilor de conservare și refacere a capitalului natural în realizarea politicilor și strategiilor sectoriale. Această abordare  va conduce la o responsabilitate mai mare faţă de natură, precum și față de bunăstarea generațiilor viitoare.</w:t>
      </w:r>
    </w:p>
    <w:p w14:paraId="2C99F706" w14:textId="77777777" w:rsidR="00670FD4" w:rsidRPr="008C6A37" w:rsidRDefault="00670FD4" w:rsidP="00670FD4">
      <w:pPr>
        <w:ind w:firstLine="567"/>
        <w:rPr>
          <w:b/>
          <w:i/>
          <w:lang w:val="ro-RO"/>
        </w:rPr>
      </w:pPr>
      <w:r w:rsidRPr="008C6A37">
        <w:rPr>
          <w:b/>
          <w:i/>
          <w:lang w:val="ro-RO"/>
        </w:rPr>
        <w:t>A.9 Elaborarea instrumentelor de reglementare pentru direcționarea investițiilor către fondul destinat proiectelor de reconstrucție ecologică și renaturare</w:t>
      </w:r>
    </w:p>
    <w:p w14:paraId="29A65A20" w14:textId="77777777" w:rsidR="00670FD4" w:rsidRPr="008C6A37" w:rsidRDefault="00670FD4" w:rsidP="00670FD4">
      <w:pPr>
        <w:ind w:firstLine="567"/>
        <w:rPr>
          <w:lang w:val="ro-RO"/>
        </w:rPr>
      </w:pPr>
      <w:r w:rsidRPr="008C6A37">
        <w:rPr>
          <w:lang w:val="ro-RO"/>
        </w:rPr>
        <w:t xml:space="preserve">Prin implementarea acestei acțiuni se urmărește integrarea costurilor de conservare și de refacere a capitalului natural în realizarea politicilor și strategiilor sectoriale, pentru creșterea responsabilității faţă de natură și asigurarea bunăstării generațiilor viitoare.  </w:t>
      </w:r>
    </w:p>
    <w:p w14:paraId="6DDC5943" w14:textId="77777777" w:rsidR="00670FD4" w:rsidRPr="008C6A37" w:rsidRDefault="00670FD4" w:rsidP="00670FD4">
      <w:pPr>
        <w:ind w:firstLine="567"/>
        <w:rPr>
          <w:b/>
          <w:i/>
          <w:lang w:val="ro-RO"/>
        </w:rPr>
      </w:pPr>
      <w:r w:rsidRPr="008C6A37">
        <w:rPr>
          <w:b/>
          <w:i/>
          <w:lang w:val="ro-RO"/>
        </w:rPr>
        <w:t>A.10 Managementul speciilor invazive prin programe de monitorizare a vectorilor și a posibilelor căi de pătrundere, precum și prin măsuri de prevenire a răspândirii acestora (detectare rapidă, inclusiv prin metode ADN)</w:t>
      </w:r>
    </w:p>
    <w:p w14:paraId="39593ECD" w14:textId="77777777" w:rsidR="00670FD4" w:rsidRPr="008C6A37" w:rsidRDefault="00670FD4" w:rsidP="00670FD4">
      <w:pPr>
        <w:ind w:firstLine="567"/>
        <w:rPr>
          <w:lang w:val="ro-RO"/>
        </w:rPr>
      </w:pPr>
      <w:r w:rsidRPr="008C6A37">
        <w:rPr>
          <w:lang w:val="ro-RO"/>
        </w:rPr>
        <w:t>Speciile invazive alohtone reprezintă la ora actuală unul din principalele motive ale alterării profunde a habitatelor naturale, fie că este vorba de mediul terestru sau acvatic (dulcicol și marin), cu consecințe negative, inclusiv de natură socio-economică. Prin implementarea acestei acțiuni se urmărește reducerea la minimum și, dacă este posibil, eliminarea introducerii și stabilirii speciilor invazive terestre, dulcicole sau marine și refacerea/restaurarea ecosistemelor naturale.</w:t>
      </w:r>
    </w:p>
    <w:p w14:paraId="2FCB01D6" w14:textId="77777777" w:rsidR="00670FD4" w:rsidRPr="008C6A37" w:rsidRDefault="00670FD4" w:rsidP="00670FD4">
      <w:pPr>
        <w:numPr>
          <w:ilvl w:val="0"/>
          <w:numId w:val="3"/>
        </w:numPr>
        <w:ind w:firstLine="567"/>
        <w:rPr>
          <w:b/>
          <w:lang w:val="ro-RO"/>
        </w:rPr>
      </w:pPr>
      <w:bookmarkStart w:id="29" w:name="_heading=h.17dp8vu" w:colFirst="0" w:colLast="0"/>
      <w:bookmarkEnd w:id="29"/>
      <w:r w:rsidRPr="008C6A37">
        <w:rPr>
          <w:b/>
          <w:lang w:val="ro-RO"/>
        </w:rPr>
        <w:t>Prevenirea și limitarea/stoparea poluării</w:t>
      </w:r>
    </w:p>
    <w:p w14:paraId="1A122D89" w14:textId="77777777" w:rsidR="00670FD4" w:rsidRPr="008C6A37" w:rsidRDefault="00670FD4" w:rsidP="00670FD4">
      <w:pPr>
        <w:ind w:firstLine="567"/>
        <w:rPr>
          <w:lang w:val="ro-RO"/>
        </w:rPr>
      </w:pPr>
      <w:r w:rsidRPr="008C6A37">
        <w:rPr>
          <w:lang w:val="ro-RO"/>
        </w:rPr>
        <w:t>Această direcție cuprinde pe de o parte acțiuni, de natură legislativă, tehnică (îmbunătățirea infrastructurii) și de cercetare, inclusiv monitorizare, în scopul reducerii poluării și creșterii cunoașterii efectelor asupra componentelor ecosistemului costier, precum și acțiuni ce vizează remedierea/refacerea siturilor poluate.</w:t>
      </w:r>
    </w:p>
    <w:p w14:paraId="46699C7D" w14:textId="77777777" w:rsidR="00670FD4" w:rsidRPr="008C6A37" w:rsidRDefault="00670FD4" w:rsidP="00670FD4">
      <w:pPr>
        <w:ind w:firstLine="567"/>
        <w:rPr>
          <w:b/>
          <w:i/>
          <w:lang w:val="ro-RO"/>
        </w:rPr>
      </w:pPr>
      <w:r w:rsidRPr="008C6A37">
        <w:rPr>
          <w:b/>
          <w:i/>
          <w:lang w:val="ro-RO"/>
        </w:rPr>
        <w:t xml:space="preserve">B.1 Inițierea și implementarea programelor pentru îndepărtarea deșeurilor marine, din coloana de apă și de pe fundul mării  </w:t>
      </w:r>
    </w:p>
    <w:p w14:paraId="5CA53855" w14:textId="77777777" w:rsidR="00670FD4" w:rsidRPr="008C6A37" w:rsidRDefault="00670FD4" w:rsidP="00670FD4">
      <w:pPr>
        <w:ind w:firstLine="567"/>
        <w:rPr>
          <w:lang w:val="ro-RO"/>
        </w:rPr>
      </w:pPr>
      <w:r w:rsidRPr="008C6A37">
        <w:rPr>
          <w:lang w:val="ro-RO"/>
        </w:rPr>
        <w:t xml:space="preserve">Această acțiune este asociată cu respectarea cerințelor Directivei Cadru privind Strategia pentru Mediul Marin, implementarea eficientă a acestei acțiuni conducând la atingerea, nu doar </w:t>
      </w:r>
      <w:r w:rsidRPr="008C6A37">
        <w:rPr>
          <w:lang w:val="ro-RO"/>
        </w:rPr>
        <w:lastRenderedPageBreak/>
        <w:t>a obiectivelor prezentei strategii, ci și a Directivei Cadru privind Strategia pentru Mediul Marin (referitoare la Descriptorul 10 – Deșeuri marine). Implementarea acestei acțiuni este în concordanță cu Planul de măsuri pentru atingerea stării ecologice bune a Mediului Marin</w:t>
      </w:r>
      <w:r>
        <w:rPr>
          <w:lang w:val="ro-RO"/>
        </w:rPr>
        <w:t>.</w:t>
      </w:r>
    </w:p>
    <w:p w14:paraId="496EF550" w14:textId="77777777" w:rsidR="00670FD4" w:rsidRPr="008C6A37" w:rsidRDefault="00670FD4" w:rsidP="00670FD4">
      <w:pPr>
        <w:ind w:firstLine="567"/>
        <w:rPr>
          <w:b/>
          <w:i/>
          <w:lang w:val="ro-RO"/>
        </w:rPr>
      </w:pPr>
      <w:r w:rsidRPr="008C6A37">
        <w:rPr>
          <w:b/>
          <w:i/>
          <w:lang w:val="ro-RO"/>
        </w:rPr>
        <w:t>B.</w:t>
      </w:r>
      <w:r>
        <w:rPr>
          <w:b/>
          <w:i/>
          <w:lang w:val="ro-RO"/>
        </w:rPr>
        <w:t>2</w:t>
      </w:r>
      <w:r w:rsidRPr="008C6A37">
        <w:rPr>
          <w:b/>
          <w:i/>
          <w:lang w:val="ro-RO"/>
        </w:rPr>
        <w:t xml:space="preserve"> Îmbunătățirea capacității de monitorizare a </w:t>
      </w:r>
      <w:r>
        <w:rPr>
          <w:b/>
          <w:i/>
          <w:lang w:val="ro-RO"/>
        </w:rPr>
        <w:t>calității aerului</w:t>
      </w:r>
      <w:r w:rsidRPr="008C6A37">
        <w:rPr>
          <w:b/>
          <w:i/>
          <w:lang w:val="ro-RO"/>
        </w:rPr>
        <w:t>, precum și a depunerilor atmosferice</w:t>
      </w:r>
    </w:p>
    <w:p w14:paraId="40C5CF23" w14:textId="77777777" w:rsidR="00670FD4" w:rsidRPr="008C6A37" w:rsidRDefault="00670FD4" w:rsidP="00670FD4">
      <w:pPr>
        <w:ind w:firstLine="567"/>
        <w:rPr>
          <w:lang w:val="ro-RO"/>
        </w:rPr>
      </w:pPr>
      <w:r w:rsidRPr="008C6A37">
        <w:rPr>
          <w:lang w:val="ro-RO"/>
        </w:rPr>
        <w:t xml:space="preserve">Implementarea acestei acțiuni va contribui </w:t>
      </w:r>
      <w:r>
        <w:rPr>
          <w:lang w:val="ro-RO"/>
        </w:rPr>
        <w:t>atât</w:t>
      </w:r>
      <w:r w:rsidRPr="008C6A37">
        <w:rPr>
          <w:lang w:val="ro-RO"/>
        </w:rPr>
        <w:t xml:space="preserve"> la </w:t>
      </w:r>
      <w:r>
        <w:rPr>
          <w:lang w:val="ro-RO"/>
        </w:rPr>
        <w:t>creșterea capabilităților</w:t>
      </w:r>
      <w:r w:rsidRPr="008C6A37">
        <w:rPr>
          <w:lang w:val="ro-RO"/>
        </w:rPr>
        <w:t xml:space="preserve"> de monitorizare a calității aerului, cu precădere în zona nordică a zonei costiere (</w:t>
      </w:r>
      <w:r>
        <w:rPr>
          <w:lang w:val="ro-RO"/>
        </w:rPr>
        <w:t>în contextul politic și socio-economic actual, ce presupune, printre altele, intensificarea transportului naval pe brațele Dunării, creșterea semnificativă a numărului ambarcațiunilor de agrement și nu numai, în Delta Dunării, etc.</w:t>
      </w:r>
      <w:r w:rsidRPr="008C6A37">
        <w:rPr>
          <w:lang w:val="ro-RO"/>
        </w:rPr>
        <w:t>)</w:t>
      </w:r>
      <w:r>
        <w:rPr>
          <w:lang w:val="ro-RO"/>
        </w:rPr>
        <w:t xml:space="preserve">. Această acțiune vizează și dezvoltarea unui program de </w:t>
      </w:r>
      <w:r w:rsidRPr="008C6A37">
        <w:rPr>
          <w:lang w:val="ro-RO"/>
        </w:rPr>
        <w:t>monitorizare</w:t>
      </w:r>
      <w:r>
        <w:rPr>
          <w:lang w:val="ro-RO"/>
        </w:rPr>
        <w:t xml:space="preserve"> </w:t>
      </w:r>
      <w:r w:rsidRPr="008C6A37">
        <w:rPr>
          <w:lang w:val="ro-RO"/>
        </w:rPr>
        <w:t xml:space="preserve">a depunerilor atmosferice în mare, în apele de suprafață, pe soluri, care în prezent este </w:t>
      </w:r>
      <w:r>
        <w:rPr>
          <w:lang w:val="ro-RO"/>
        </w:rPr>
        <w:t xml:space="preserve">aproape inexistentă, în contextul în care </w:t>
      </w:r>
      <w:r w:rsidRPr="008C6A37">
        <w:rPr>
          <w:lang w:val="ro-RO"/>
        </w:rPr>
        <w:t xml:space="preserve">introducerea de poluanți în mediu, pe această cale, este estimată a fi </w:t>
      </w:r>
      <w:r>
        <w:rPr>
          <w:lang w:val="ro-RO"/>
        </w:rPr>
        <w:t xml:space="preserve">foarte </w:t>
      </w:r>
      <w:r w:rsidRPr="008C6A37">
        <w:rPr>
          <w:lang w:val="ro-RO"/>
        </w:rPr>
        <w:t>semnificativă (în special pentru mediul marin).</w:t>
      </w:r>
    </w:p>
    <w:p w14:paraId="7FA839B8" w14:textId="77777777" w:rsidR="00670FD4" w:rsidRPr="008C6A37" w:rsidRDefault="00670FD4" w:rsidP="00670FD4">
      <w:pPr>
        <w:ind w:firstLine="567"/>
        <w:rPr>
          <w:b/>
          <w:i/>
          <w:lang w:val="ro-RO"/>
        </w:rPr>
      </w:pPr>
      <w:r w:rsidRPr="008C6A37">
        <w:rPr>
          <w:b/>
          <w:i/>
          <w:lang w:val="ro-RO"/>
        </w:rPr>
        <w:t>B.</w:t>
      </w:r>
      <w:r>
        <w:rPr>
          <w:b/>
          <w:i/>
          <w:lang w:val="ro-RO"/>
        </w:rPr>
        <w:t>3</w:t>
      </w:r>
      <w:r w:rsidRPr="008C6A37">
        <w:rPr>
          <w:b/>
          <w:i/>
          <w:lang w:val="ro-RO"/>
        </w:rPr>
        <w:t xml:space="preserve"> Extinderea și modernizarea infrastructurii de canalizare și epurare în partea nordică a zonei costiere, aferentă Deltei Dunării</w:t>
      </w:r>
    </w:p>
    <w:p w14:paraId="73BB3709" w14:textId="77777777" w:rsidR="00670FD4" w:rsidRPr="008C6A37" w:rsidRDefault="00670FD4" w:rsidP="00670FD4">
      <w:pPr>
        <w:ind w:firstLine="567"/>
        <w:rPr>
          <w:lang w:val="ro-RO"/>
        </w:rPr>
      </w:pPr>
      <w:r w:rsidRPr="008C6A37">
        <w:rPr>
          <w:lang w:val="ro-RO"/>
        </w:rPr>
        <w:t>În partea nordică a zonei costiere, localităţile din RBDD nu au sisteme de canalizare centralizate care să colecteze apele uzate la nivelul întregii localităţi, iar staţiile de epurare existente realizează epurarea mecanică și biologică a apelor menajere la un nivel și eficiență insuficiente. Astfel apare evidentă necesitatea stringentă a implementării acestei acțiuni, care este în deplină concordanță cu obiectivele și acțiunile prevăzute în mai multe strategii și planuri / programe (naționale și locale), precum: Strategia integrată de dezvoltare durabilă a Deltei Dunării 2016-2030; Strategia de dezvoltare teritorială a României 2035 (SDTR); Strategia Națională pentru Dezvoltarea Durabilă a României 2030 (SNDDR); Planul național de management actualizat (2021) aferent porțiunii naționale a bazinului hidrografic internațional al fluviului Dunărea, Planul de management actualizat al fluviului Dunărea, Deltei Dunării, spațiului hidrografic Dobrogea și apelor costiere, etc.</w:t>
      </w:r>
    </w:p>
    <w:p w14:paraId="703B4363" w14:textId="77777777" w:rsidR="00670FD4" w:rsidRPr="008C6A37" w:rsidRDefault="00670FD4" w:rsidP="00670FD4">
      <w:pPr>
        <w:ind w:firstLine="567"/>
        <w:rPr>
          <w:b/>
          <w:i/>
          <w:lang w:val="ro-RO"/>
        </w:rPr>
      </w:pPr>
      <w:r w:rsidRPr="008C6A37">
        <w:rPr>
          <w:b/>
          <w:i/>
          <w:lang w:val="ro-RO"/>
        </w:rPr>
        <w:t>B.</w:t>
      </w:r>
      <w:r>
        <w:rPr>
          <w:b/>
          <w:i/>
          <w:lang w:val="ro-RO"/>
        </w:rPr>
        <w:t>4</w:t>
      </w:r>
      <w:r w:rsidRPr="008C6A37">
        <w:rPr>
          <w:b/>
          <w:i/>
          <w:lang w:val="ro-RO"/>
        </w:rPr>
        <w:t xml:space="preserve"> Dezvoltarea unui program pentru studierea principalelor surse, căi de transport și impactului contaminanților emergenți asupra faunei și omului, precum și dezvoltarea  unui program de monitorizare a acestora</w:t>
      </w:r>
    </w:p>
    <w:p w14:paraId="2C951531" w14:textId="77777777" w:rsidR="00670FD4" w:rsidRPr="008C6A37" w:rsidRDefault="00670FD4" w:rsidP="00670FD4">
      <w:pPr>
        <w:ind w:firstLine="567"/>
        <w:rPr>
          <w:lang w:val="ro-RO"/>
        </w:rPr>
      </w:pPr>
      <w:r w:rsidRPr="008C6A37">
        <w:rPr>
          <w:lang w:val="ro-RO"/>
        </w:rPr>
        <w:t xml:space="preserve">Studierea contaminanților emergenți (surse, căi de transport, efecte, etc.) se află într-o fază incipientă în România, deși în ultimii ani tot mai multe organizații de cercetare și universități au abordat această temă. Această acțiune, deși vizează strict cercetarea, poate contribui la dezvoltarea durabilă a zonei costiere, deoarece odată cu creșterea gradului de cunoaștere a efectelor negative ale contaminanților emergenți asupra stării și funcționării ecosistemelor acvatice, a serviciilor oferite de acestea și, nu în ultimul rând, asupra sănătății omului se creează cadrul necesar pentru elaborarea măsurilor de prevenire, limitare/stopare a poluării </w:t>
      </w:r>
      <w:r>
        <w:rPr>
          <w:lang w:val="ro-RO"/>
        </w:rPr>
        <w:t xml:space="preserve">posibil a fi </w:t>
      </w:r>
      <w:r w:rsidRPr="008C6A37">
        <w:rPr>
          <w:lang w:val="ro-RO"/>
        </w:rPr>
        <w:t>generate de aceste clase de compuși chimici.</w:t>
      </w:r>
    </w:p>
    <w:p w14:paraId="6E5AC5C0" w14:textId="77777777" w:rsidR="00670FD4" w:rsidRPr="008C6A37" w:rsidRDefault="00670FD4" w:rsidP="00670FD4">
      <w:pPr>
        <w:ind w:firstLine="567"/>
        <w:rPr>
          <w:b/>
          <w:i/>
          <w:lang w:val="ro-RO"/>
        </w:rPr>
      </w:pPr>
      <w:r w:rsidRPr="008C6A37">
        <w:rPr>
          <w:b/>
          <w:i/>
          <w:lang w:val="ro-RO"/>
        </w:rPr>
        <w:t>B.</w:t>
      </w:r>
      <w:r>
        <w:rPr>
          <w:b/>
          <w:i/>
          <w:lang w:val="ro-RO"/>
        </w:rPr>
        <w:t>5</w:t>
      </w:r>
      <w:r w:rsidRPr="008C6A37">
        <w:rPr>
          <w:b/>
          <w:i/>
          <w:lang w:val="ro-RO"/>
        </w:rPr>
        <w:t xml:space="preserve"> </w:t>
      </w:r>
      <w:r>
        <w:rPr>
          <w:b/>
          <w:i/>
          <w:lang w:val="ro-RO"/>
        </w:rPr>
        <w:t>Gestionarea</w:t>
      </w:r>
      <w:r w:rsidRPr="008C6A37">
        <w:rPr>
          <w:b/>
          <w:i/>
          <w:lang w:val="ro-RO"/>
        </w:rPr>
        <w:t xml:space="preserve"> siturilor contaminate și potențial contaminate din zona costieră </w:t>
      </w:r>
    </w:p>
    <w:p w14:paraId="2B61457F" w14:textId="77777777" w:rsidR="00670FD4" w:rsidRPr="008C6A37" w:rsidRDefault="00670FD4" w:rsidP="00670FD4">
      <w:pPr>
        <w:ind w:firstLine="567"/>
        <w:rPr>
          <w:lang w:val="ro-RO"/>
        </w:rPr>
      </w:pPr>
      <w:r w:rsidRPr="008C6A37">
        <w:rPr>
          <w:lang w:val="ro-RO"/>
        </w:rPr>
        <w:t xml:space="preserve">Acțiunea propusă este în concordanță cu obiectivele Strategiei naționale și Planului național  pentru gestionarea siturilor contaminate din România (din 19 august 2015). Prin implementarea acestei acțiuni se va realiza o actualizare a siturilor contaminate și potențial </w:t>
      </w:r>
      <w:r w:rsidRPr="008C6A37">
        <w:rPr>
          <w:lang w:val="ro-RO"/>
        </w:rPr>
        <w:lastRenderedPageBreak/>
        <w:t xml:space="preserve">contaminate din zona costieră, ultima actualizare în România datând din 2013. Metodologiile de remediere și monitorizare post remediere ale acestor situri, precum și criteriile de prioritizare sunt clare și sunt prevăzute în legislația în vigoare (Legea nr. 74 din 25 aprilie 2019 privind gestionarea siturilor potențial contaminate și a celor contaminate, Ordinul nr. 267/346/2021 privind aprobarea Metodologiei de remediere a siturilor contaminate), dar prin implementarea acestei acțiuni se urmărește dezvoltarea de tehnologii noi, inovative, sustenabile pentru remedierea acestor situri, precum și creșterea capacității de monitorizare post remediere prin folosirea de tehnici noi, moderne și cost-eficiente. </w:t>
      </w:r>
    </w:p>
    <w:p w14:paraId="4DB3DE98" w14:textId="77777777" w:rsidR="00670FD4" w:rsidRPr="008C6A37" w:rsidRDefault="00670FD4" w:rsidP="00670FD4">
      <w:pPr>
        <w:ind w:firstLine="567"/>
        <w:rPr>
          <w:b/>
          <w:i/>
          <w:lang w:val="ro-RO"/>
        </w:rPr>
      </w:pPr>
      <w:r w:rsidRPr="008C6A37">
        <w:rPr>
          <w:b/>
          <w:i/>
          <w:lang w:val="ro-RO"/>
        </w:rPr>
        <w:t>B.</w:t>
      </w:r>
      <w:r>
        <w:rPr>
          <w:b/>
          <w:i/>
          <w:lang w:val="ro-RO"/>
        </w:rPr>
        <w:t xml:space="preserve">6 </w:t>
      </w:r>
      <w:r w:rsidRPr="008C6A37">
        <w:rPr>
          <w:b/>
          <w:i/>
          <w:lang w:val="ro-RO"/>
        </w:rPr>
        <w:t>Dezvoltarea infrastructurii verzi în zona carierelor active de calcare și șisturi verzi (zona Tașaul-Luminița)</w:t>
      </w:r>
    </w:p>
    <w:p w14:paraId="086F55AC" w14:textId="77777777" w:rsidR="00670FD4" w:rsidRPr="008C6A37" w:rsidRDefault="00670FD4" w:rsidP="00670FD4">
      <w:pPr>
        <w:ind w:firstLine="567"/>
        <w:rPr>
          <w:lang w:val="ro-RO"/>
        </w:rPr>
      </w:pPr>
      <w:r w:rsidRPr="008C6A37">
        <w:rPr>
          <w:lang w:val="ro-RO"/>
        </w:rPr>
        <w:t xml:space="preserve">În zona Tașaul-Luminița sunt active în prezent două licențe de concesiune pentru exploatarea calcarului industrial și de construcții și un permis de exploatare a acestuia. Exploatarea calcarelor și șisturilor verzi este o activitate cu un puternic impact negativ atât asupra biodiversității, peisajului, calității aerului, apelor de suprafață (lacurile Tașaul și Corbu), solului, cât și asupra sănătății umane. Măsurile luate de către operatorii economici în vederea minimizării impactului negativ nu sunt suficiente, astfel încât se impune implementarea acestei acțiuni în vederea reducerii poluării atmosferice și, indirect, a apelor de suprafață și solului, precum și a creșterii gradului de protecție a biodiversității ținând cont de faptul că această activitate se desfășoară în situl Natura 2000 ROSPA 0060 Lacurile Tașaul – Corbu. </w:t>
      </w:r>
    </w:p>
    <w:p w14:paraId="323662E7" w14:textId="77777777" w:rsidR="00670FD4" w:rsidRPr="008C6A37" w:rsidRDefault="00670FD4" w:rsidP="00670FD4">
      <w:pPr>
        <w:ind w:firstLine="567"/>
        <w:rPr>
          <w:b/>
          <w:i/>
          <w:lang w:val="ro-RO"/>
        </w:rPr>
      </w:pPr>
      <w:r w:rsidRPr="008C6A37">
        <w:rPr>
          <w:b/>
          <w:i/>
          <w:lang w:val="ro-RO"/>
        </w:rPr>
        <w:t>B.</w:t>
      </w:r>
      <w:r>
        <w:rPr>
          <w:b/>
          <w:i/>
          <w:lang w:val="ro-RO"/>
        </w:rPr>
        <w:t>7</w:t>
      </w:r>
      <w:r w:rsidRPr="008C6A37">
        <w:rPr>
          <w:b/>
          <w:i/>
          <w:lang w:val="ro-RO"/>
        </w:rPr>
        <w:t xml:space="preserve"> Restaurarea ecologică a lacurilor urbane în scopul valorificării potențialului lor natural și turistic (lacurile Tăbăcărie, Costinești, Belona, Neptun, etc.)</w:t>
      </w:r>
    </w:p>
    <w:p w14:paraId="6B7D1354" w14:textId="77777777" w:rsidR="00670FD4" w:rsidRPr="008C6A37" w:rsidRDefault="00670FD4" w:rsidP="00670FD4">
      <w:pPr>
        <w:ind w:firstLine="567"/>
        <w:rPr>
          <w:lang w:val="ro-RO"/>
        </w:rPr>
      </w:pPr>
      <w:r w:rsidRPr="008C6A37">
        <w:rPr>
          <w:lang w:val="ro-RO"/>
        </w:rPr>
        <w:t xml:space="preserve">Lacurile urbane din zona costieră sunt ecosisteme supuse unor presiuni antropice semnificative și continue. Restaurare lor ecologică a fost în permanență un subiect fierbinte de dezbatere, în special în rândul societății civile. Totuși, de-a lungul timpul, autoritățile locale și cele centrale competente au fost relativ indiferente, măsurile și acțiunile vizând restaurarea acestor lacuri au fost destul de sporadice, de cele mai multe ori limitându-se doar la campanii de ecologizare. Prin implementarea acestei acțiuni, într-o serie de lacuri urbane din zona costieră se vor identifica, testa și aplica soluții ecologice reducerea/stoparea aportului de poluanți, materie organică și deșeuri în lacurile urbane, precum și pentru restaurarea acestora. </w:t>
      </w:r>
    </w:p>
    <w:p w14:paraId="385B6E6F" w14:textId="77777777" w:rsidR="00670FD4" w:rsidRPr="008C6A37" w:rsidRDefault="00670FD4" w:rsidP="00670FD4">
      <w:pPr>
        <w:ind w:firstLine="567"/>
        <w:rPr>
          <w:b/>
          <w:i/>
          <w:lang w:val="ro-RO"/>
        </w:rPr>
      </w:pPr>
      <w:r w:rsidRPr="008C6A37">
        <w:rPr>
          <w:b/>
          <w:i/>
          <w:lang w:val="ro-RO"/>
        </w:rPr>
        <w:t>B.</w:t>
      </w:r>
      <w:r>
        <w:rPr>
          <w:b/>
          <w:i/>
          <w:lang w:val="ro-RO"/>
        </w:rPr>
        <w:t>8</w:t>
      </w:r>
      <w:r w:rsidRPr="008C6A37">
        <w:rPr>
          <w:b/>
          <w:i/>
          <w:lang w:val="ro-RO"/>
        </w:rPr>
        <w:t xml:space="preserve"> Inițierea și implementarea de programe pentru îmbunătățirea infrastructurii de gestionare a deșeurilor </w:t>
      </w:r>
    </w:p>
    <w:p w14:paraId="26A867FA" w14:textId="77777777" w:rsidR="00670FD4" w:rsidRPr="008C6A37" w:rsidRDefault="00670FD4" w:rsidP="00670FD4">
      <w:pPr>
        <w:ind w:firstLine="567"/>
        <w:rPr>
          <w:lang w:val="ro-RO"/>
        </w:rPr>
      </w:pPr>
      <w:r w:rsidRPr="008C6A37">
        <w:rPr>
          <w:lang w:val="ro-RO"/>
        </w:rPr>
        <w:t>În ciuda existenței a numeroase reglementări legislative, strategii și planuri de management a deșeurilor la nivel național (Strategia Națională privind Gestionarea Deșeurilor, Planul Național privind gestionarea deșeurilor) și local (Planurile județene de gestionare a deșeurilor - Constanța și Tulcea), problema introducerii deșeurilor în mediu încă persistă în zona costieră.</w:t>
      </w:r>
    </w:p>
    <w:p w14:paraId="25A99885" w14:textId="77777777" w:rsidR="00670FD4" w:rsidRPr="008C6A37" w:rsidRDefault="00670FD4" w:rsidP="00670FD4">
      <w:pPr>
        <w:ind w:firstLine="567"/>
        <w:rPr>
          <w:lang w:val="ro-RO"/>
        </w:rPr>
      </w:pPr>
      <w:r w:rsidRPr="008C6A37">
        <w:rPr>
          <w:lang w:val="ro-RO"/>
        </w:rPr>
        <w:t>Acțiunea propusă este în concordanță cu acțiunile și obiectivele Planului Național de Gestionare a Deșeurilor și, în mod specific, cu cele ale Planurilor Județene de Gestionare a Deșeurilor (Constanța și Tulcea). Această acțiune este de tip tehnic, vizând îmbunătățirea infrastructurii de colectare, depozitare și tratare a deșeurilor în zona costieră.</w:t>
      </w:r>
    </w:p>
    <w:p w14:paraId="764CF0B8" w14:textId="77777777" w:rsidR="00670FD4" w:rsidRPr="008C6A37" w:rsidRDefault="00670FD4" w:rsidP="00670FD4">
      <w:pPr>
        <w:numPr>
          <w:ilvl w:val="0"/>
          <w:numId w:val="3"/>
        </w:numPr>
        <w:ind w:firstLine="567"/>
        <w:rPr>
          <w:b/>
          <w:lang w:val="ro-RO"/>
        </w:rPr>
      </w:pPr>
      <w:r w:rsidRPr="008C6A37">
        <w:rPr>
          <w:b/>
          <w:lang w:val="ro-RO"/>
        </w:rPr>
        <w:lastRenderedPageBreak/>
        <w:t>Prevenirea, controlul și remedierea impacturilor generate de hazardele naturale și antropice</w:t>
      </w:r>
    </w:p>
    <w:p w14:paraId="00BBAAD9" w14:textId="77777777" w:rsidR="00670FD4" w:rsidRPr="008C6A37" w:rsidRDefault="00670FD4" w:rsidP="00670FD4">
      <w:pPr>
        <w:ind w:firstLine="567"/>
        <w:rPr>
          <w:lang w:val="ro-RO"/>
        </w:rPr>
      </w:pPr>
      <w:r w:rsidRPr="008C6A37">
        <w:rPr>
          <w:lang w:val="ro-RO"/>
        </w:rPr>
        <w:t>Această direcție de acțiune are în vedere pe de o parte îmbunătățirea sistemelor de monitorizare a efectelor hazardelor naturale și, pe de altă parte, creșterea capacității de evaluarea a vulnerabilității zonei costiere la fenomenele extreme și a potențialelor riscuri induse de către acestea, în scopul întăririi măsurilor de prevenire, atenuare, adaptare și remediere. În cadrul acestei direcții de acțiune sunt propuse două acțiuni:</w:t>
      </w:r>
    </w:p>
    <w:p w14:paraId="3A95FECE" w14:textId="77777777" w:rsidR="00670FD4" w:rsidRPr="008C6A37" w:rsidRDefault="00670FD4" w:rsidP="00670FD4">
      <w:pPr>
        <w:ind w:firstLine="567"/>
        <w:rPr>
          <w:b/>
          <w:i/>
          <w:lang w:val="ro-RO"/>
        </w:rPr>
      </w:pPr>
      <w:r w:rsidRPr="008C6A37">
        <w:rPr>
          <w:b/>
          <w:i/>
          <w:lang w:val="ro-RO"/>
        </w:rPr>
        <w:t xml:space="preserve">C.1 Realizarea și aplicarea de soluții moderne, simple și cost-eficiente pentru monitorizarea efectelor hazardelor naturale </w:t>
      </w:r>
    </w:p>
    <w:p w14:paraId="275CF29D" w14:textId="77777777" w:rsidR="00670FD4" w:rsidRPr="008C6A37" w:rsidRDefault="00670FD4" w:rsidP="00670FD4">
      <w:pPr>
        <w:ind w:firstLine="567"/>
        <w:rPr>
          <w:lang w:val="ro-RO"/>
        </w:rPr>
      </w:pPr>
      <w:r w:rsidRPr="008C6A37">
        <w:rPr>
          <w:lang w:val="ro-RO"/>
        </w:rPr>
        <w:t>Prin implementarea acestei acțiuni se urmărește dezvoltarea unor instrumente complexe, ușor de utilizat și disponibile oricui, de monitorizare continuă și automată a dinamicii liniei țărmului care să permită decizii informate și bazate pe date în cazul unor intervenții legate de combaterea eroziunii costiere și nu numai. De asemenea, implementarea acțiunii va contribui la dezvoltarea unor instrumente de monitorizare și mecanisme de management al sedimentelor atât în interiorul Deltei Dunării, cât și pe întreg țărmul românesc al Mării Negre.</w:t>
      </w:r>
    </w:p>
    <w:p w14:paraId="33D444CE" w14:textId="77777777" w:rsidR="00670FD4" w:rsidRPr="008C6A37" w:rsidRDefault="00670FD4" w:rsidP="00670FD4">
      <w:pPr>
        <w:ind w:firstLine="567"/>
        <w:rPr>
          <w:b/>
          <w:i/>
          <w:lang w:val="ro-RO"/>
        </w:rPr>
      </w:pPr>
      <w:r w:rsidRPr="008C6A37">
        <w:rPr>
          <w:b/>
          <w:i/>
          <w:lang w:val="ro-RO"/>
        </w:rPr>
        <w:t>C.2 Realizarea unei evaluări detaliate a vulnerabilității zonei de coastă la fenomene extreme, identificarea și analizarea riscurilor potențiale și stabilirea de măsuri prioritare de prevenire, atenuare, adaptare și remediere</w:t>
      </w:r>
    </w:p>
    <w:p w14:paraId="71606F85" w14:textId="77777777" w:rsidR="00670FD4" w:rsidRPr="008C6A37" w:rsidRDefault="00670FD4" w:rsidP="00670FD4">
      <w:pPr>
        <w:ind w:firstLine="567"/>
        <w:rPr>
          <w:lang w:val="ro-RO"/>
        </w:rPr>
      </w:pPr>
      <w:r w:rsidRPr="008C6A37">
        <w:rPr>
          <w:lang w:val="ro-RO"/>
        </w:rPr>
        <w:t xml:space="preserve">Problemele care rezultă din abordarea și gestionarea inadecvate a hazardelor naturale din zona costieră devin adesea vizibile numai după ce ating anumite proporții cumulative sau în cazul unor dezastre naturale (inundații, secetă, furtuni extreme, etc). Implementarea acestei măsuri este necesară în scopul minimizării daunelor pe care le provoacă hazardele naturale asupra ecosistemelor, infrastructurii și sănătății umane. Acțiunea se aliniază obiectivelor și acțiunilor din Strategia națională privind reducerea efectelor secetei, prevenirea și combaterea degradării terenurilor și deșertificării, pe termen scurt, mediu și lung; Strategia Națională a Riscului de Inundații pe termen mediu și lung, Planul de management al riscului la inundații A.B.A Dobrogea Litoral; Planul național management al riscurilor de dezastre; Planul național de management actualizat aferent porțiunii din bazinul hidrografic internațional al fluviului Dunărea care este cuprinsă în teritoriul României, Planului de management actualizat al fluviului Dunărea, Deltei Dunării, spațiului hidrografic Dobrogea și apelor costiere și Strategiei Naționale pentru Dezvoltarea Durabilă a României 2030 (SNDDR).  </w:t>
      </w:r>
    </w:p>
    <w:p w14:paraId="1BA3359C" w14:textId="77777777" w:rsidR="00670FD4" w:rsidRPr="008C6A37" w:rsidRDefault="00670FD4" w:rsidP="00670FD4">
      <w:pPr>
        <w:numPr>
          <w:ilvl w:val="0"/>
          <w:numId w:val="3"/>
        </w:numPr>
        <w:ind w:firstLine="567"/>
        <w:rPr>
          <w:b/>
          <w:lang w:val="ro-RO"/>
        </w:rPr>
      </w:pPr>
      <w:bookmarkStart w:id="30" w:name="_heading=h.3rdcrjn" w:colFirst="0" w:colLast="0"/>
      <w:bookmarkEnd w:id="30"/>
      <w:r w:rsidRPr="008C6A37">
        <w:rPr>
          <w:b/>
          <w:lang w:val="ro-RO"/>
        </w:rPr>
        <w:t>Dezvoltarea economică sustenabilă a zonei costiere</w:t>
      </w:r>
    </w:p>
    <w:p w14:paraId="5F4C518D" w14:textId="77777777" w:rsidR="00670FD4" w:rsidRPr="008C6A37" w:rsidRDefault="00670FD4" w:rsidP="00670FD4">
      <w:pPr>
        <w:ind w:firstLine="567"/>
        <w:rPr>
          <w:lang w:val="ro-RO"/>
        </w:rPr>
      </w:pPr>
      <w:r w:rsidRPr="008C6A37">
        <w:rPr>
          <w:lang w:val="ro-RO"/>
        </w:rPr>
        <w:t xml:space="preserve">În cadrul acestei direcții sunt propuse acțiuni ce contribuie la dezvoltarea economică a zonei prin valorificarea sustenabilă a resurselor sale naturale costiere, precum și sprijinirea sectoarelor economiei verzi / albastre.   </w:t>
      </w:r>
    </w:p>
    <w:p w14:paraId="0DE16AB0" w14:textId="77777777" w:rsidR="00670FD4" w:rsidRPr="008C6A37" w:rsidRDefault="00670FD4" w:rsidP="00670FD4">
      <w:pPr>
        <w:ind w:firstLine="567"/>
        <w:rPr>
          <w:b/>
          <w:i/>
          <w:lang w:val="ro-RO"/>
        </w:rPr>
      </w:pPr>
      <w:r w:rsidRPr="008C6A37">
        <w:rPr>
          <w:b/>
          <w:i/>
          <w:lang w:val="ro-RO"/>
        </w:rPr>
        <w:t>D.1 Consolidarea infrastructurii antreprenoriale locale</w:t>
      </w:r>
    </w:p>
    <w:p w14:paraId="1BC69AF6" w14:textId="77777777" w:rsidR="00670FD4" w:rsidRPr="008C6A37" w:rsidRDefault="00670FD4" w:rsidP="00670FD4">
      <w:pPr>
        <w:ind w:firstLine="567"/>
        <w:rPr>
          <w:lang w:val="ro-RO"/>
        </w:rPr>
      </w:pPr>
      <w:r w:rsidRPr="008C6A37">
        <w:rPr>
          <w:lang w:val="ro-RO"/>
        </w:rPr>
        <w:t>Acțiunea propusă se adresează antreprenorilor locali și urmărește consolidarea capacității acestora de a propune, iniția și implementa proiecte inovative, verzi / albastre, care să contribuie la dezvoltarea durabilă a zonei costiere.</w:t>
      </w:r>
    </w:p>
    <w:p w14:paraId="2D338B9C" w14:textId="77777777" w:rsidR="00670FD4" w:rsidRPr="008C6A37" w:rsidRDefault="00670FD4" w:rsidP="00670FD4">
      <w:pPr>
        <w:ind w:firstLine="567"/>
        <w:rPr>
          <w:b/>
          <w:i/>
          <w:lang w:val="ro-RO"/>
        </w:rPr>
      </w:pPr>
      <w:r w:rsidRPr="008C6A37">
        <w:rPr>
          <w:b/>
          <w:i/>
          <w:lang w:val="ro-RO"/>
        </w:rPr>
        <w:lastRenderedPageBreak/>
        <w:t>D.2 Program național de stimulare a întreprinderilor care obțin eticheta ecologică pentru activitatea de cazare turistică</w:t>
      </w:r>
    </w:p>
    <w:p w14:paraId="2D7FBB03" w14:textId="77777777" w:rsidR="00670FD4" w:rsidRPr="008C6A37" w:rsidRDefault="00670FD4" w:rsidP="00670FD4">
      <w:pPr>
        <w:ind w:firstLine="567"/>
        <w:rPr>
          <w:lang w:val="ro-RO"/>
        </w:rPr>
      </w:pPr>
      <w:r w:rsidRPr="008C6A37">
        <w:rPr>
          <w:lang w:val="ro-RO"/>
        </w:rPr>
        <w:t>Acțiunea propusă se adresează antreprenorilor locali deținători de structuri de primire turistică având funcțiuni de cazare turistică și care sunt conștienți de importanța oferirii de servicii turistice mai prietenoase cu mediul, contribuind astfel și la  dezvoltarea durabilă a zonei costiere.</w:t>
      </w:r>
    </w:p>
    <w:p w14:paraId="183625AE" w14:textId="77777777" w:rsidR="00670FD4" w:rsidRPr="008C6A37" w:rsidRDefault="00670FD4" w:rsidP="00670FD4">
      <w:pPr>
        <w:ind w:firstLine="567"/>
        <w:rPr>
          <w:lang w:val="ro-RO"/>
        </w:rPr>
      </w:pPr>
      <w:r w:rsidRPr="008C6A37">
        <w:rPr>
          <w:lang w:val="ro-RO"/>
        </w:rPr>
        <w:t>Eticheta ecologică (Ecolabel) este eticheta voluntară oficială a Uniunii Europene pentru excelență privind mediul, care îndrumă consumatorii către produse și servicii durabile, printre care și serviciile de cazare turistică. Întreprinderile din turism primesc această distincție în baza investițiilor realizate, astfel încât să îndeplinească toate criteriile și care să ducă la economisirea apei și energiei, reducerea deșeurilor generate și de ameliorare a mediului, aliniindu-se astfel obiectivelor Strategiei Naționale a României pentru Dezvoltarea Turismului 2023-2035 și Strategiei Naționale pentru Dezvoltarea Durabilă a României 2030 (SNDDR).</w:t>
      </w:r>
    </w:p>
    <w:p w14:paraId="7050318A" w14:textId="77777777" w:rsidR="00670FD4" w:rsidRPr="008C6A37" w:rsidRDefault="00670FD4" w:rsidP="00670FD4">
      <w:pPr>
        <w:ind w:firstLine="567"/>
        <w:rPr>
          <w:b/>
          <w:i/>
          <w:lang w:val="ro-RO"/>
        </w:rPr>
      </w:pPr>
      <w:r w:rsidRPr="008C6A37">
        <w:rPr>
          <w:b/>
          <w:i/>
          <w:lang w:val="ro-RO"/>
        </w:rPr>
        <w:t>D.3 Program de stimulare a operatorilor de plaje și de porturi de agrement care reușesc să obțină distincția Blue Flag</w:t>
      </w:r>
    </w:p>
    <w:p w14:paraId="4F897737" w14:textId="77777777" w:rsidR="00670FD4" w:rsidRPr="008C6A37" w:rsidRDefault="00670FD4" w:rsidP="00670FD4">
      <w:pPr>
        <w:ind w:firstLine="567"/>
        <w:rPr>
          <w:lang w:val="ro-RO"/>
        </w:rPr>
      </w:pPr>
      <w:r w:rsidRPr="008C6A37">
        <w:rPr>
          <w:lang w:val="ro-RO"/>
        </w:rPr>
        <w:t>Acțiunea propusă se adresează antreprenorilor locali care au obținut prin licitație publică dreptul de exploatare a unor zone de plaje, pe o perioadă de timp, conform contractului, precum și administratorilor de porturi de agrement.</w:t>
      </w:r>
    </w:p>
    <w:p w14:paraId="67AF4B06" w14:textId="77777777" w:rsidR="00670FD4" w:rsidRPr="008C6A37" w:rsidRDefault="00670FD4" w:rsidP="00670FD4">
      <w:pPr>
        <w:ind w:firstLine="567"/>
        <w:rPr>
          <w:lang w:val="ro-RO"/>
        </w:rPr>
      </w:pPr>
      <w:r w:rsidRPr="008C6A37">
        <w:rPr>
          <w:lang w:val="ro-RO"/>
        </w:rPr>
        <w:t>„Blue Flag” se numără printre cele mai recunoscute etichete ecologice voluntare din lume, acordate plajelor, porturilor turistice și navelor de agrement turistic. Printre avantajele programului se numără: deţinerea unui simbol ecologic (etichetă ecologică), vizibil şi recunoscut la nivel internaţional; posibilitatea utilizării acestui simbol pentru promovare la nivel local, naţional şi internaţional a plajei; atragerea turiștilor străini care caută, cu predilecție, aceste plaje, „Blue Flag”. La nivelul anului 2023, la litoralul românesc sunt doar 6 astfel de plaje și nici un port de agrement, dar prin implementarea acțiunii se urmărește creșterea numărului lor.</w:t>
      </w:r>
    </w:p>
    <w:p w14:paraId="4ADE2169" w14:textId="77777777" w:rsidR="00670FD4" w:rsidRPr="008C6A37" w:rsidRDefault="00670FD4" w:rsidP="00670FD4">
      <w:pPr>
        <w:ind w:firstLine="567"/>
        <w:rPr>
          <w:b/>
          <w:i/>
          <w:lang w:val="ro-RO"/>
        </w:rPr>
      </w:pPr>
      <w:r w:rsidRPr="008C6A37">
        <w:rPr>
          <w:b/>
          <w:i/>
          <w:lang w:val="ro-RO"/>
        </w:rPr>
        <w:t xml:space="preserve">D.4 Inițierea și implementarea unui program de dezvoltare a turismului subacvatic </w:t>
      </w:r>
    </w:p>
    <w:p w14:paraId="46B49921" w14:textId="77777777" w:rsidR="00670FD4" w:rsidRPr="008C6A37" w:rsidRDefault="00670FD4" w:rsidP="00670FD4">
      <w:pPr>
        <w:ind w:firstLine="567"/>
        <w:rPr>
          <w:lang w:val="ro-RO"/>
        </w:rPr>
      </w:pPr>
      <w:r w:rsidRPr="008C6A37">
        <w:rPr>
          <w:lang w:val="ro-RO"/>
        </w:rPr>
        <w:t>Protejarea și conservarea patrimoniului cultural subacvatic reprezintă o prioritate pentru managementul zonei costiere. Promovarea și dezvoltarea turismului subacvatic în zona costieră românească (cu precădere în sudul zonei costiere), pe lângă o diversificare a ofertei turistice, poate asigura și o creștere a gradului de protecției patrimoniului cultural subacvatic, precum și a celui natural (habitate marine) în condițiile unei reglementări optime a cadrului legislativ referitor la acest tip de activitate turistică. Această acțiune este în concordanță și cu obiectivele Planului național de amenajare spațială maritimă, care promovează această utilizare multiplă a spațiului maritim (turism - patrimoniu cultural subacvatic).</w:t>
      </w:r>
    </w:p>
    <w:p w14:paraId="1963549E" w14:textId="77777777" w:rsidR="00670FD4" w:rsidRPr="008C6A37" w:rsidRDefault="00670FD4" w:rsidP="00670FD4">
      <w:pPr>
        <w:ind w:firstLine="567"/>
        <w:rPr>
          <w:b/>
          <w:i/>
          <w:lang w:val="ro-RO"/>
        </w:rPr>
      </w:pPr>
      <w:r w:rsidRPr="008C6A37">
        <w:rPr>
          <w:b/>
          <w:i/>
          <w:lang w:val="ro-RO"/>
        </w:rPr>
        <w:t>D.5 Identificarea măsurilor pentru reabilitarea stocurilor de pești cu valoare comercială, încurajarea  și susținerea implementării procedurilor/tehnicilor și tehnologiilor de pescuit sustenabil prin acordarea de stimulente</w:t>
      </w:r>
    </w:p>
    <w:p w14:paraId="12B1EBC5" w14:textId="77777777" w:rsidR="00670FD4" w:rsidRPr="008C6A37" w:rsidRDefault="00670FD4" w:rsidP="00670FD4">
      <w:pPr>
        <w:ind w:firstLine="567"/>
        <w:rPr>
          <w:lang w:val="ro-RO"/>
        </w:rPr>
      </w:pPr>
      <w:r w:rsidRPr="008C6A37">
        <w:rPr>
          <w:lang w:val="ro-RO"/>
        </w:rPr>
        <w:t xml:space="preserve">Identificarea căilor și măsurilor, precum și elaborarea suportului legislativ, pentru reabilitarea/refacerea stocurilor de pești cu valoare ecologică și economică, dintre care unele </w:t>
      </w:r>
      <w:r w:rsidRPr="008C6A37">
        <w:rPr>
          <w:lang w:val="ro-RO"/>
        </w:rPr>
        <w:lastRenderedPageBreak/>
        <w:t>aflate în prezent într-o stare de conservare precară (sturionii, calcanul, scrumbia, etc.), este o prioritate de nivel regional. Această acțiune este în corelare cu Strategia Națională de Pescuit și Acvacultura 2020-2027, care recomandă dirijarea fondurilor alocate și liniile de acţiuni/măsuri de intervenţie a statului.</w:t>
      </w:r>
    </w:p>
    <w:p w14:paraId="4EAEAB26" w14:textId="77777777" w:rsidR="00670FD4" w:rsidRPr="008C6A37" w:rsidRDefault="00670FD4" w:rsidP="00670FD4">
      <w:pPr>
        <w:ind w:firstLine="567"/>
        <w:rPr>
          <w:b/>
          <w:i/>
          <w:lang w:val="ro-RO"/>
        </w:rPr>
      </w:pPr>
      <w:r w:rsidRPr="008C6A37">
        <w:rPr>
          <w:b/>
          <w:i/>
          <w:lang w:val="ro-RO"/>
        </w:rPr>
        <w:t>D.6 Realizarea programelor de dezvoltarea a acvaculturii costiere (marine, terestre) prietenoase cu mediul</w:t>
      </w:r>
    </w:p>
    <w:p w14:paraId="1DE8AEB1" w14:textId="77777777" w:rsidR="00670FD4" w:rsidRPr="008C6A37" w:rsidRDefault="00670FD4" w:rsidP="00670FD4">
      <w:pPr>
        <w:ind w:firstLine="567"/>
        <w:rPr>
          <w:lang w:val="ro-RO"/>
        </w:rPr>
      </w:pPr>
      <w:r w:rsidRPr="008C6A37">
        <w:rPr>
          <w:lang w:val="ro-RO"/>
        </w:rPr>
        <w:t xml:space="preserve">Implementarea acestei acțiuni va conduce la o planificare adecvată a activităților și locațiilor pentru acvacultură în raport cu alte utilizări ale spațiului maritim aferent zonei costiere, precum și la îmbunătățirea sistemului de trasabilitate în vederea asigurării calității produselor obținute. </w:t>
      </w:r>
    </w:p>
    <w:p w14:paraId="028286A2" w14:textId="77777777" w:rsidR="00670FD4" w:rsidRPr="008C6A37" w:rsidRDefault="00670FD4" w:rsidP="00670FD4">
      <w:pPr>
        <w:ind w:firstLine="567"/>
        <w:rPr>
          <w:b/>
          <w:i/>
          <w:lang w:val="ro-RO"/>
        </w:rPr>
      </w:pPr>
      <w:r w:rsidRPr="008C6A37">
        <w:rPr>
          <w:b/>
          <w:i/>
          <w:lang w:val="ro-RO"/>
        </w:rPr>
        <w:t>D.7 Dezvoltarea infrastructurii pescărești și utilizarea de mijloace de pescuit (ambarcațiuni, echipamente și unelte) prietenoase cu mediul pentru evitarea deteriorării substratului marin și diminuarea presiunii asupra mediului</w:t>
      </w:r>
    </w:p>
    <w:p w14:paraId="6473AF85" w14:textId="77777777" w:rsidR="00670FD4" w:rsidRPr="008C6A37" w:rsidRDefault="00670FD4" w:rsidP="00670FD4">
      <w:pPr>
        <w:ind w:firstLine="567"/>
        <w:rPr>
          <w:lang w:val="ro-RO"/>
        </w:rPr>
      </w:pPr>
      <w:r w:rsidRPr="008C6A37">
        <w:rPr>
          <w:lang w:val="ro-RO"/>
        </w:rPr>
        <w:t>Implementarea acestei acțiuni, aliniate obiectivelor și măsurilor propuse în Strategia Națională de Pescuit și Acvacultura a României 2020 – 2027 constă în:</w:t>
      </w:r>
    </w:p>
    <w:p w14:paraId="452163C6" w14:textId="77777777" w:rsidR="00670FD4" w:rsidRPr="008C6A37" w:rsidRDefault="00670FD4" w:rsidP="00670FD4">
      <w:pPr>
        <w:ind w:firstLine="567"/>
        <w:rPr>
          <w:lang w:val="ro-RO"/>
        </w:rPr>
      </w:pPr>
      <w:r w:rsidRPr="008C6A37">
        <w:rPr>
          <w:lang w:val="ro-RO"/>
        </w:rPr>
        <w:t>- elaborarea și implementarea programelor pentru modernizarea ambarcaţiunilor de pescuit, dotarea cu echipamente de navigaţie şi plase de pescuit specializate, diferenţiat pe specii de peşte;</w:t>
      </w:r>
    </w:p>
    <w:p w14:paraId="2CFD8756" w14:textId="77777777" w:rsidR="00670FD4" w:rsidRPr="008C6A37" w:rsidRDefault="00670FD4" w:rsidP="00670FD4">
      <w:pPr>
        <w:ind w:firstLine="567"/>
        <w:rPr>
          <w:lang w:val="ro-RO"/>
        </w:rPr>
      </w:pPr>
      <w:r w:rsidRPr="008C6A37">
        <w:rPr>
          <w:lang w:val="ro-RO"/>
        </w:rPr>
        <w:t>- elaborarea și implementarea programelor privind modernizarea uneltelor de pescuit, respectiv achiziţia de noi unelte, schimbarea motoarelor  ambarcaţiunilor;</w:t>
      </w:r>
    </w:p>
    <w:p w14:paraId="153DB102" w14:textId="77777777" w:rsidR="00670FD4" w:rsidRPr="008C6A37" w:rsidRDefault="00670FD4" w:rsidP="00670FD4">
      <w:pPr>
        <w:ind w:firstLine="567"/>
        <w:rPr>
          <w:lang w:val="ro-RO"/>
        </w:rPr>
      </w:pPr>
      <w:r w:rsidRPr="008C6A37">
        <w:rPr>
          <w:lang w:val="ro-RO"/>
        </w:rPr>
        <w:t>- îmbunătățirea bazei logistice prin retehnologizare şi modernizarea infrastructurii, achiziționarea de echipamente moderne și soft-uri specializate pentru standardizarea metodelor de pescuit și procesarea datelor de producție.</w:t>
      </w:r>
    </w:p>
    <w:p w14:paraId="7ABC4721" w14:textId="77777777" w:rsidR="00670FD4" w:rsidRPr="008C6A37" w:rsidRDefault="00670FD4" w:rsidP="00670FD4">
      <w:pPr>
        <w:ind w:firstLine="567"/>
        <w:rPr>
          <w:b/>
          <w:i/>
          <w:lang w:val="ro-RO"/>
        </w:rPr>
      </w:pPr>
      <w:r w:rsidRPr="008C6A37">
        <w:rPr>
          <w:b/>
          <w:i/>
          <w:lang w:val="ro-RO"/>
        </w:rPr>
        <w:t>D.8 Realizarea de programe  / proiecte pentru reabilitarea activităților tradiționale și valorificarea resursei stuficole din Delta Dunării</w:t>
      </w:r>
    </w:p>
    <w:p w14:paraId="2401C00A" w14:textId="77777777" w:rsidR="00670FD4" w:rsidRPr="008C6A37" w:rsidRDefault="00670FD4" w:rsidP="00670FD4">
      <w:pPr>
        <w:ind w:firstLine="567"/>
        <w:rPr>
          <w:lang w:val="ro-RO"/>
        </w:rPr>
      </w:pPr>
      <w:r w:rsidRPr="008C6A37">
        <w:rPr>
          <w:lang w:val="ro-RO"/>
        </w:rPr>
        <w:t xml:space="preserve">Stuful reprezintă o resursă foarte importantă a Deltei Dunării, cu potențial ridicat de valorificare atât în scop comercial, cât și gospodăresc. Implementarea acțiunii propuse va asigura promovarea  unor metode variate de valorificare a resursei stuficole, atât ca biomasă, cât și ca material de construcție tradițional. De asemenea, implementarea acestei măsuri va avea efecte benefice asupra habitatelor naturale din Delta Dunării, prin prevenirea fenomenului de “îmbătrânire“ a stufăriilor. </w:t>
      </w:r>
    </w:p>
    <w:p w14:paraId="72310DA1" w14:textId="77777777" w:rsidR="00670FD4" w:rsidRPr="008C6A37" w:rsidRDefault="00670FD4" w:rsidP="00670FD4">
      <w:pPr>
        <w:ind w:firstLine="567"/>
        <w:rPr>
          <w:b/>
          <w:i/>
          <w:lang w:val="ro-RO"/>
        </w:rPr>
      </w:pPr>
      <w:r w:rsidRPr="008C6A37">
        <w:rPr>
          <w:b/>
          <w:i/>
          <w:lang w:val="ro-RO"/>
        </w:rPr>
        <w:t>D.9 Implementarea de programe de conștientizare și susținere a producătorilor agricoli privind beneficiile aplicării în  practică a noilor politici agricole</w:t>
      </w:r>
    </w:p>
    <w:p w14:paraId="5EE4DD10" w14:textId="77777777" w:rsidR="00670FD4" w:rsidRPr="008C6A37" w:rsidRDefault="00670FD4" w:rsidP="00670FD4">
      <w:pPr>
        <w:ind w:firstLine="567"/>
        <w:rPr>
          <w:lang w:val="ro-RO"/>
        </w:rPr>
      </w:pPr>
      <w:r w:rsidRPr="008C6A37">
        <w:rPr>
          <w:lang w:val="ro-RO"/>
        </w:rPr>
        <w:t>Implementarea acestei acțiuni va duce la eficientizarea producției agricole, obținerea unor produse de calitate care să poată fi valorificate pe piețele locale, în special pe perioada sezonului estival, contribuind astfel la reducerea amprentei de carbon și la încadrarea agriculturii în standardele de sustenabilitate impuse de această strategie.</w:t>
      </w:r>
    </w:p>
    <w:p w14:paraId="0D018728" w14:textId="77777777" w:rsidR="00670FD4" w:rsidRPr="008C6A37" w:rsidRDefault="00670FD4" w:rsidP="00670FD4">
      <w:pPr>
        <w:ind w:firstLine="567"/>
        <w:rPr>
          <w:b/>
          <w:i/>
          <w:lang w:val="ro-RO"/>
        </w:rPr>
      </w:pPr>
      <w:r w:rsidRPr="008C6A37">
        <w:rPr>
          <w:b/>
          <w:i/>
          <w:lang w:val="ro-RO"/>
        </w:rPr>
        <w:t>D.10 Implementarea proiectelor de transport fluvial verde în Delta Dunării</w:t>
      </w:r>
    </w:p>
    <w:p w14:paraId="0EAAC2EE" w14:textId="77777777" w:rsidR="00670FD4" w:rsidRPr="008C6A37" w:rsidRDefault="00670FD4" w:rsidP="00670FD4">
      <w:pPr>
        <w:ind w:firstLine="567"/>
        <w:rPr>
          <w:lang w:val="ro-RO"/>
        </w:rPr>
      </w:pPr>
      <w:r w:rsidRPr="008C6A37">
        <w:rPr>
          <w:lang w:val="ro-RO"/>
        </w:rPr>
        <w:lastRenderedPageBreak/>
        <w:t>Transportul fluvial, principala formă de transport în Delta Dunării, determină o presiune semnificativă asupra ecosistemului deltaic, în mare parte ca urmare a unei flote de ambarcațiuni învechită, uzată folosită pentru transportul de persoane, marfă, precum și în activități de agrement. În vederea reducerii poluării atmosferice, a apelor de suprafață (scurgeri de combustibil) și fonice apare necesară orientarea spre un transport verde, bazat pe surse neconvenționale de energie. Implementarea acțiunii va include dezvoltarea unor proiecte pilot pentru testarea unor soluțiii de transport bazat pe surse neconvenționale, precum și identificarea unor mecanisme financiare de stimulare a“transportului verde”.</w:t>
      </w:r>
    </w:p>
    <w:p w14:paraId="4804DD2E" w14:textId="77777777" w:rsidR="00670FD4" w:rsidRPr="008C6A37" w:rsidRDefault="00670FD4" w:rsidP="00670FD4">
      <w:pPr>
        <w:ind w:firstLine="567"/>
        <w:rPr>
          <w:b/>
          <w:i/>
          <w:lang w:val="ro-RO"/>
        </w:rPr>
      </w:pPr>
      <w:r w:rsidRPr="008C6A37">
        <w:rPr>
          <w:b/>
          <w:i/>
          <w:lang w:val="ro-RO"/>
        </w:rPr>
        <w:t>D.11 Evaluarea potențialului de valorificare a resurselor energetice regenerabile din zonă: energia eoliană, “inshore” și „offshore”, energia valurilor, fotovoltaică, etc.</w:t>
      </w:r>
    </w:p>
    <w:p w14:paraId="7DA61ACE" w14:textId="77777777" w:rsidR="00670FD4" w:rsidRPr="008C6A37" w:rsidRDefault="00670FD4" w:rsidP="00670FD4">
      <w:pPr>
        <w:ind w:firstLine="567"/>
        <w:rPr>
          <w:lang w:val="ro-RO"/>
        </w:rPr>
      </w:pPr>
      <w:r w:rsidRPr="008C6A37">
        <w:rPr>
          <w:lang w:val="ro-RO"/>
        </w:rPr>
        <w:t xml:space="preserve">Implementarea acestei acțiuni vine în sprijinul îndeplinirii obiectivelor Planului Național Integrat în domeniul Energiei și Schimbărilor Climatice (PNIESC) 2021-2030 și Strategiei Naționale pentru Dezvoltarea Durabilă a României 2030 (SNDDR). Implementarea acestei acțiuni are ca scop susținerea și promovarea producerii de energie din surse alternative, regenerabile și nepoluante. </w:t>
      </w:r>
    </w:p>
    <w:p w14:paraId="685F3CA8" w14:textId="77777777" w:rsidR="00670FD4" w:rsidRPr="008C6A37" w:rsidRDefault="00670FD4" w:rsidP="00670FD4">
      <w:pPr>
        <w:ind w:firstLine="567"/>
        <w:rPr>
          <w:b/>
          <w:i/>
          <w:lang w:val="ro-RO"/>
        </w:rPr>
      </w:pPr>
      <w:r w:rsidRPr="008C6A37">
        <w:rPr>
          <w:b/>
          <w:i/>
          <w:lang w:val="ro-RO"/>
        </w:rPr>
        <w:t>D.12 Susținerea și dezvoltarea de noi instrumente (centre de excelență, proiecte pilot, servicii de extensie oferite de către universități, etc) pentru transferul cunoștințelor  din cercetare spre business în sectoarele Blue Economy (ex. acvacultura IMTA - Integrated multitrophic aquaculture - în sistem circular; diversificarea resurselor alimentare din surse marine sau agricole prin utilizarea biotehnologiilor, etc.)</w:t>
      </w:r>
    </w:p>
    <w:p w14:paraId="28A6E18F" w14:textId="77777777" w:rsidR="00670FD4" w:rsidRPr="008C6A37" w:rsidRDefault="00670FD4" w:rsidP="00670FD4">
      <w:pPr>
        <w:ind w:firstLine="567"/>
        <w:rPr>
          <w:lang w:val="ro-RO"/>
        </w:rPr>
      </w:pPr>
      <w:r w:rsidRPr="008C6A37">
        <w:rPr>
          <w:lang w:val="ro-RO"/>
        </w:rPr>
        <w:t>Implementarea acestei acțiuni presupune:</w:t>
      </w:r>
    </w:p>
    <w:p w14:paraId="2527ED56" w14:textId="77777777" w:rsidR="00670FD4" w:rsidRPr="008C6A37" w:rsidRDefault="00670FD4" w:rsidP="00670FD4">
      <w:pPr>
        <w:ind w:firstLine="567"/>
        <w:rPr>
          <w:lang w:val="ro-RO"/>
        </w:rPr>
      </w:pPr>
      <w:r w:rsidRPr="008C6A37">
        <w:rPr>
          <w:lang w:val="ro-RO"/>
        </w:rPr>
        <w:t>-</w:t>
      </w:r>
      <w:r w:rsidRPr="008C6A37">
        <w:rPr>
          <w:lang w:val="ro-RO"/>
        </w:rPr>
        <w:tab/>
        <w:t>intensificarea finanțării inovării, în special prin implementarea platformelor de parteneriate între autorități locale, mediu de afaceri, universități și institute de cercetare, precum și a unor hub-uri/platforme naṭionale de inovare orientate pe Creșterea Albastră;</w:t>
      </w:r>
    </w:p>
    <w:p w14:paraId="07C8D38A" w14:textId="77777777" w:rsidR="00670FD4" w:rsidRPr="008C6A37" w:rsidRDefault="00670FD4" w:rsidP="00670FD4">
      <w:pPr>
        <w:ind w:firstLine="567"/>
        <w:rPr>
          <w:lang w:val="ro-RO"/>
        </w:rPr>
      </w:pPr>
      <w:r w:rsidRPr="008C6A37">
        <w:rPr>
          <w:lang w:val="ro-RO"/>
        </w:rPr>
        <w:t>-</w:t>
      </w:r>
      <w:r w:rsidRPr="008C6A37">
        <w:rPr>
          <w:lang w:val="ro-RO"/>
        </w:rPr>
        <w:tab/>
        <w:t>dezvoltarea instrumentelor/programelor de finanțare și valorificarea rezultatelor cercetării prin transfer tehnologic.</w:t>
      </w:r>
    </w:p>
    <w:p w14:paraId="3E67F9B3" w14:textId="77777777" w:rsidR="00670FD4" w:rsidRPr="008C6A37" w:rsidRDefault="00670FD4" w:rsidP="00670FD4">
      <w:pPr>
        <w:ind w:firstLine="567"/>
        <w:rPr>
          <w:lang w:val="ro-RO"/>
        </w:rPr>
      </w:pPr>
      <w:r w:rsidRPr="008C6A37">
        <w:rPr>
          <w:b/>
          <w:i/>
          <w:lang w:val="ro-RO"/>
        </w:rPr>
        <w:t>D.13 Dezvoltarea programelor/proiectelor privind porturile “verzi” de la litoralul românesc al Mării Negre</w:t>
      </w:r>
    </w:p>
    <w:p w14:paraId="35E31415" w14:textId="77777777" w:rsidR="00670FD4" w:rsidRPr="008C6A37" w:rsidRDefault="00670FD4" w:rsidP="00670FD4">
      <w:pPr>
        <w:ind w:firstLine="567"/>
        <w:rPr>
          <w:lang w:val="ro-RO"/>
        </w:rPr>
      </w:pPr>
      <w:bookmarkStart w:id="31" w:name="_Hlk150376985"/>
      <w:r w:rsidRPr="008C6A37">
        <w:rPr>
          <w:lang w:val="ro-RO"/>
        </w:rPr>
        <w:t xml:space="preserve">Transportul maritim și activitățile portuare, două sectoare economice foarte importante pentru dezvoltarea zonei costiere, contribuie major la emisiile de poluanți atmosferici și, implicit la poluarea apelor costiere și a solului. Implementarea acestei acțiuni presupune dezvoltarea infrastructurii verzi în porturile maritime (perdele forestiere, instalații portuare ce folosesc energie alternativă, instalații de tratare și reciclare a deșeurilor de la nave sau rezulate din activități portuare, etc.) și este </w:t>
      </w:r>
      <w:r>
        <w:rPr>
          <w:lang w:val="ro-RO"/>
        </w:rPr>
        <w:t>î</w:t>
      </w:r>
      <w:r w:rsidRPr="008C6A37">
        <w:rPr>
          <w:lang w:val="ro-RO"/>
        </w:rPr>
        <w:t>n concordanță cu măsurile prevăzute în noul Master Plan al portului Constanța.</w:t>
      </w:r>
      <w:bookmarkEnd w:id="31"/>
    </w:p>
    <w:p w14:paraId="63862B1D" w14:textId="77777777" w:rsidR="00670FD4" w:rsidRPr="008C6A37" w:rsidRDefault="00670FD4" w:rsidP="00670FD4">
      <w:pPr>
        <w:numPr>
          <w:ilvl w:val="0"/>
          <w:numId w:val="3"/>
        </w:numPr>
        <w:ind w:firstLine="567"/>
        <w:rPr>
          <w:b/>
          <w:lang w:val="ro-RO"/>
        </w:rPr>
      </w:pPr>
      <w:bookmarkStart w:id="32" w:name="_heading=h.26in1rg" w:colFirst="0" w:colLast="0"/>
      <w:bookmarkEnd w:id="32"/>
      <w:r w:rsidRPr="008C6A37">
        <w:rPr>
          <w:b/>
          <w:lang w:val="ro-RO"/>
        </w:rPr>
        <w:t>Optimizarea cadrului instituțional și procedural al planificării spațiale în zona costieră</w:t>
      </w:r>
    </w:p>
    <w:p w14:paraId="2D30EE4C" w14:textId="77777777" w:rsidR="00670FD4" w:rsidRPr="008C6A37" w:rsidRDefault="00670FD4" w:rsidP="00670FD4">
      <w:pPr>
        <w:ind w:firstLine="567"/>
        <w:rPr>
          <w:lang w:val="ro-RO"/>
        </w:rPr>
      </w:pPr>
      <w:r w:rsidRPr="008C6A37">
        <w:rPr>
          <w:lang w:val="ro-RO"/>
        </w:rPr>
        <w:t xml:space="preserve">Această direcție de acțiune urmărește creșterea capacității administrațiilor publice locale de a gestiona procesele de planificare spațială în zona costieră prin implementarea în mod adecvat a prevederilor strategiei și a planului integrat de management al zonei costiere în </w:t>
      </w:r>
      <w:r w:rsidRPr="008C6A37">
        <w:rPr>
          <w:lang w:val="ro-RO"/>
        </w:rPr>
        <w:lastRenderedPageBreak/>
        <w:t>documentațiile de amenajarea teritoriului și urbanism. Direcția urmărește de asemenea o îmbunătățire a coordonării multi-nivel (nivel internațional, național, județean, local) în procesele de inițiere, elaborare, avizare și aprobare a documentațiilor de planificare spațială. În cadrul acestei direcții de acțiune sunt incluse următoarele acțiuni:</w:t>
      </w:r>
    </w:p>
    <w:p w14:paraId="4932AFA0" w14:textId="77777777" w:rsidR="00670FD4" w:rsidRPr="008C6A37" w:rsidRDefault="00670FD4" w:rsidP="00670FD4">
      <w:pPr>
        <w:ind w:firstLine="567"/>
        <w:rPr>
          <w:b/>
          <w:i/>
          <w:lang w:val="ro-RO"/>
        </w:rPr>
      </w:pPr>
      <w:r w:rsidRPr="008C6A37">
        <w:rPr>
          <w:b/>
          <w:i/>
          <w:lang w:val="ro-RO"/>
        </w:rPr>
        <w:t>E.1 Crearea unui cadru coerent, integrat și sinergic de planificare spațială specific pentru teritoriul transfrontalier și regional</w:t>
      </w:r>
    </w:p>
    <w:p w14:paraId="38887B0C" w14:textId="77777777" w:rsidR="00670FD4" w:rsidRPr="008C6A37" w:rsidRDefault="00670FD4" w:rsidP="00670FD4">
      <w:pPr>
        <w:ind w:firstLine="567"/>
        <w:rPr>
          <w:lang w:val="ro-RO"/>
        </w:rPr>
      </w:pPr>
      <w:r w:rsidRPr="008C6A37">
        <w:rPr>
          <w:lang w:val="ro-RO"/>
        </w:rPr>
        <w:t>Implementarea acestei acțiuni presupune:</w:t>
      </w:r>
    </w:p>
    <w:p w14:paraId="66E540BE" w14:textId="77777777" w:rsidR="00670FD4" w:rsidRPr="008C6A37" w:rsidRDefault="00670FD4" w:rsidP="00670FD4">
      <w:pPr>
        <w:ind w:firstLine="567"/>
        <w:rPr>
          <w:lang w:val="ro-RO"/>
        </w:rPr>
      </w:pPr>
      <w:r w:rsidRPr="008C6A37">
        <w:rPr>
          <w:lang w:val="ro-RO"/>
        </w:rPr>
        <w:t>-  elaborarea/actualizarea metodologiei de elaborare a planurilor de amenajare a teritoriului zonal transfrontalier și interjudețean;</w:t>
      </w:r>
    </w:p>
    <w:p w14:paraId="03F19A82" w14:textId="77777777" w:rsidR="00670FD4" w:rsidRPr="008C6A37" w:rsidRDefault="00670FD4" w:rsidP="00670FD4">
      <w:pPr>
        <w:ind w:firstLine="567"/>
        <w:rPr>
          <w:lang w:val="ro-RO"/>
        </w:rPr>
      </w:pPr>
      <w:r w:rsidRPr="008C6A37">
        <w:rPr>
          <w:lang w:val="ro-RO"/>
        </w:rPr>
        <w:t>- elaborarea de strategii și planuri de dezvoltare spațială în zonele transfrontaliere și în zona costieră a Mării Negre.</w:t>
      </w:r>
    </w:p>
    <w:p w14:paraId="66C12CC4" w14:textId="77777777" w:rsidR="00670FD4" w:rsidRPr="008C6A37" w:rsidRDefault="00670FD4" w:rsidP="00670FD4">
      <w:pPr>
        <w:ind w:firstLine="567"/>
        <w:rPr>
          <w:b/>
          <w:i/>
          <w:lang w:val="ro-RO"/>
        </w:rPr>
      </w:pPr>
      <w:r w:rsidRPr="008C6A37">
        <w:rPr>
          <w:b/>
          <w:i/>
          <w:lang w:val="ro-RO"/>
        </w:rPr>
        <w:t>E.2 Crearea unui cadru coerent și integrat de planificare strategică și planificare spațială la nivel zonal și local, specific zonei costiere</w:t>
      </w:r>
    </w:p>
    <w:p w14:paraId="1BDF363E" w14:textId="77777777" w:rsidR="00670FD4" w:rsidRPr="008C6A37" w:rsidRDefault="00670FD4" w:rsidP="00670FD4">
      <w:pPr>
        <w:ind w:firstLine="567"/>
        <w:rPr>
          <w:lang w:val="ro-RO"/>
        </w:rPr>
      </w:pPr>
      <w:r w:rsidRPr="008C6A37">
        <w:rPr>
          <w:lang w:val="ro-RO"/>
        </w:rPr>
        <w:t>Implementarea acestei acțiuni presupune:</w:t>
      </w:r>
    </w:p>
    <w:p w14:paraId="5D30B699" w14:textId="77777777" w:rsidR="00670FD4" w:rsidRPr="008C6A37" w:rsidRDefault="00670FD4" w:rsidP="00670FD4">
      <w:pPr>
        <w:ind w:firstLine="567"/>
        <w:rPr>
          <w:lang w:val="ro-RO"/>
        </w:rPr>
      </w:pPr>
      <w:r w:rsidRPr="008C6A37">
        <w:rPr>
          <w:lang w:val="ro-RO"/>
        </w:rPr>
        <w:t>- elaborarea / actualizarea metodologiei de elaborare a planurilor de amenajare a teritoriului zonal metropolitan / intercomunitar. Această subacțiune se va realiza în corelare cu prevederile viitorului Cod al Amenajării Teritoriului, Urbanismului și Construcțiilor (CATUC);</w:t>
      </w:r>
    </w:p>
    <w:p w14:paraId="30D9EFC3" w14:textId="77777777" w:rsidR="00670FD4" w:rsidRPr="008C6A37" w:rsidRDefault="00670FD4" w:rsidP="00670FD4">
      <w:pPr>
        <w:ind w:firstLine="567"/>
        <w:rPr>
          <w:i/>
          <w:lang w:val="ro-RO"/>
        </w:rPr>
      </w:pPr>
      <w:r w:rsidRPr="008C6A37">
        <w:rPr>
          <w:lang w:val="ro-RO"/>
        </w:rPr>
        <w:t>- elaborarea unui regulament-cadru de urbanism pentru toată zona costieră. Regulamentul cadru va viza cele 19 unități administrativ-teritoriale de bază din zona costieră, se va corela cu Regulamentul general de urbanism (RGU, aprobat prin HG 525 / 1996), cu Regulamentul cadru de urbanism pentru RBDD (aprobat prin HG 1516 / 2008) și va ține cont de specificitățile zonei costiere. Acest regulament cadru va sta la baza elaborării regulamentelor locale de urbanism (RLU) și va ghida elaborarea acestora</w:t>
      </w:r>
      <w:r w:rsidRPr="008C6A37">
        <w:rPr>
          <w:i/>
          <w:lang w:val="ro-RO"/>
        </w:rPr>
        <w:t>;</w:t>
      </w:r>
    </w:p>
    <w:p w14:paraId="33CFE00F" w14:textId="77777777" w:rsidR="00670FD4" w:rsidRPr="008C6A37" w:rsidRDefault="00670FD4" w:rsidP="00670FD4">
      <w:pPr>
        <w:ind w:firstLine="567"/>
        <w:rPr>
          <w:lang w:val="ro-RO"/>
        </w:rPr>
      </w:pPr>
      <w:r w:rsidRPr="008C6A37">
        <w:rPr>
          <w:lang w:val="ro-RO"/>
        </w:rPr>
        <w:t>- elaborarea/modificarea documentațiilor de planificare spațială pentru zonele metropolitane, periurbane și rurale din zona costieră (planuri zonale metropolitane, periurbane, intercomunale, planuri urbanistice generale pentru municipii, orașe și comune);</w:t>
      </w:r>
    </w:p>
    <w:p w14:paraId="48D37F95" w14:textId="77777777" w:rsidR="00670FD4" w:rsidRPr="008C6A37" w:rsidRDefault="00670FD4" w:rsidP="00670FD4">
      <w:pPr>
        <w:ind w:firstLine="567"/>
        <w:rPr>
          <w:i/>
          <w:lang w:val="ro-RO"/>
        </w:rPr>
      </w:pPr>
      <w:r w:rsidRPr="008C6A37">
        <w:rPr>
          <w:lang w:val="ro-RO"/>
        </w:rPr>
        <w:t>- modificarea PUZ existente și elaborarea de noi planuri urbanistice zonale pentru zonele critice / sensibile (zona dintre linia apei și linia țărmului, zone istorice, statiuni, zona lacurilor); aceste documentații vor trebui inițiate de autoritățile locale, cu sprijinul consiliilor județene și al ministerului de resort (după caz), pentru acele zone limitrofe țărmului identificate ca fiind vulnerabile, supuse unor presiuni antropice deosebite sau care cuprind valori de patrimoniu, peisaj etc deosebite</w:t>
      </w:r>
      <w:r w:rsidRPr="008C6A37">
        <w:rPr>
          <w:i/>
          <w:lang w:val="ro-RO"/>
        </w:rPr>
        <w:t>.</w:t>
      </w:r>
    </w:p>
    <w:p w14:paraId="74D252B0" w14:textId="77777777" w:rsidR="00670FD4" w:rsidRPr="008C6A37" w:rsidRDefault="00670FD4" w:rsidP="00670FD4">
      <w:pPr>
        <w:ind w:firstLine="567"/>
        <w:rPr>
          <w:b/>
          <w:i/>
          <w:lang w:val="ro-RO"/>
        </w:rPr>
      </w:pPr>
      <w:r w:rsidRPr="008C6A37">
        <w:rPr>
          <w:b/>
          <w:i/>
          <w:lang w:val="ro-RO"/>
        </w:rPr>
        <w:t>E.3 Crearea unui mecanism eficient de implementare, monitorizare și verificare a instrumentelor de planificare spațială în zona costieră</w:t>
      </w:r>
    </w:p>
    <w:p w14:paraId="43BB28CB" w14:textId="77777777" w:rsidR="00670FD4" w:rsidRPr="008C6A37" w:rsidRDefault="00670FD4" w:rsidP="00670FD4">
      <w:pPr>
        <w:ind w:firstLine="567"/>
        <w:rPr>
          <w:lang w:val="ro-RO"/>
        </w:rPr>
      </w:pPr>
      <w:r w:rsidRPr="008C6A37">
        <w:rPr>
          <w:lang w:val="ro-RO"/>
        </w:rPr>
        <w:t xml:space="preserve"> Implementarea acestei acțiuni presupune:</w:t>
      </w:r>
    </w:p>
    <w:p w14:paraId="7E18BB26" w14:textId="77777777" w:rsidR="00670FD4" w:rsidRPr="008C6A37" w:rsidRDefault="00670FD4" w:rsidP="00670FD4">
      <w:pPr>
        <w:ind w:firstLine="567"/>
        <w:rPr>
          <w:lang w:val="ro-RO"/>
        </w:rPr>
      </w:pPr>
      <w:r w:rsidRPr="008C6A37">
        <w:rPr>
          <w:lang w:val="ro-RO"/>
        </w:rPr>
        <w:t>-</w:t>
      </w:r>
      <w:r w:rsidRPr="008C6A37">
        <w:rPr>
          <w:lang w:val="ro-RO"/>
        </w:rPr>
        <w:tab/>
        <w:t>revizuirea procedurilor de avizare / aprobare a documentațiilor de amenajarea teritoriului și urbanism;</w:t>
      </w:r>
    </w:p>
    <w:p w14:paraId="15D0A4FB" w14:textId="77777777" w:rsidR="00670FD4" w:rsidRPr="008C6A37" w:rsidRDefault="00670FD4" w:rsidP="00670FD4">
      <w:pPr>
        <w:ind w:firstLine="567"/>
        <w:rPr>
          <w:lang w:val="ro-RO"/>
        </w:rPr>
      </w:pPr>
      <w:r w:rsidRPr="008C6A37">
        <w:rPr>
          <w:lang w:val="ro-RO"/>
        </w:rPr>
        <w:lastRenderedPageBreak/>
        <w:t>-</w:t>
      </w:r>
      <w:r w:rsidRPr="008C6A37">
        <w:rPr>
          <w:lang w:val="ro-RO"/>
        </w:rPr>
        <w:tab/>
        <w:t>crearea unui sistem de informare și comunicare eficient între administrațiile locale din zona costieră, în domeniul planificării spațiale;</w:t>
      </w:r>
    </w:p>
    <w:p w14:paraId="0055F48C" w14:textId="77777777" w:rsidR="00670FD4" w:rsidRPr="008C6A37" w:rsidRDefault="00670FD4" w:rsidP="00670FD4">
      <w:pPr>
        <w:ind w:firstLine="567"/>
        <w:rPr>
          <w:lang w:val="ro-RO"/>
        </w:rPr>
      </w:pPr>
      <w:r w:rsidRPr="008C6A37">
        <w:rPr>
          <w:lang w:val="ro-RO"/>
        </w:rPr>
        <w:t>-</w:t>
      </w:r>
      <w:r w:rsidRPr="008C6A37">
        <w:rPr>
          <w:lang w:val="ro-RO"/>
        </w:rPr>
        <w:tab/>
        <w:t>crearea unei platforme cu acces public, de comunicare și dezbatere privind starea și evoluția zonei costiere, găzduită pe site-ul MMAP și administrată de către Secretariatul Tehnic-Administrativ al zonei costiere.</w:t>
      </w:r>
    </w:p>
    <w:p w14:paraId="7C935DA5" w14:textId="77777777" w:rsidR="00670FD4" w:rsidRPr="008C6A37" w:rsidRDefault="00670FD4" w:rsidP="00670FD4">
      <w:pPr>
        <w:numPr>
          <w:ilvl w:val="0"/>
          <w:numId w:val="3"/>
        </w:numPr>
        <w:ind w:firstLine="567"/>
        <w:rPr>
          <w:b/>
          <w:lang w:val="ro-RO"/>
        </w:rPr>
      </w:pPr>
      <w:r w:rsidRPr="008C6A37">
        <w:rPr>
          <w:b/>
          <w:lang w:val="ro-RO"/>
        </w:rPr>
        <w:t>Consolidarea sistemului de management integrat al zonei costiere</w:t>
      </w:r>
    </w:p>
    <w:p w14:paraId="3C7C8B63" w14:textId="77777777" w:rsidR="00670FD4" w:rsidRPr="008C6A37" w:rsidRDefault="00670FD4" w:rsidP="00670FD4">
      <w:pPr>
        <w:ind w:firstLine="567"/>
        <w:rPr>
          <w:lang w:val="ro-RO"/>
        </w:rPr>
      </w:pPr>
      <w:r w:rsidRPr="008C6A37">
        <w:rPr>
          <w:lang w:val="ro-RO"/>
        </w:rPr>
        <w:t>Implementarea cu succes a Strategiei Naționale privind managementul integrat al zonei costiere impune implementarea, cu prioritate, a unor acțiuni ce vizează modificarea cadrului instituțional și a celui legislativ care să conducă la consolidarea sistemului de management al zonei costiere. Acțiunile subsecvente acestei direcții de acțiune sunt:</w:t>
      </w:r>
    </w:p>
    <w:p w14:paraId="10FC345A" w14:textId="77777777" w:rsidR="00670FD4" w:rsidRPr="008C6A37" w:rsidRDefault="00670FD4" w:rsidP="00670FD4">
      <w:pPr>
        <w:ind w:firstLine="567"/>
        <w:rPr>
          <w:b/>
          <w:i/>
          <w:lang w:val="ro-RO"/>
        </w:rPr>
      </w:pPr>
      <w:r w:rsidRPr="008C6A37">
        <w:rPr>
          <w:b/>
          <w:i/>
          <w:lang w:val="ro-RO"/>
        </w:rPr>
        <w:t>F.1 Reorganizarea Comitetului Național al Zonei Costiere</w:t>
      </w:r>
    </w:p>
    <w:p w14:paraId="36711CF0" w14:textId="77777777" w:rsidR="00670FD4" w:rsidRPr="008C6A37" w:rsidRDefault="00670FD4" w:rsidP="00670FD4">
      <w:pPr>
        <w:ind w:firstLine="567"/>
        <w:rPr>
          <w:lang w:val="ro-RO"/>
        </w:rPr>
      </w:pPr>
      <w:r w:rsidRPr="008C6A37">
        <w:rPr>
          <w:lang w:val="ro-RO"/>
        </w:rPr>
        <w:t xml:space="preserve">Necesitatea implementării acestei acțiuni este descrisă în secțiunea 3.6 a prezentului document. </w:t>
      </w:r>
    </w:p>
    <w:p w14:paraId="2C6FFE87" w14:textId="77777777" w:rsidR="00670FD4" w:rsidRPr="008C6A37" w:rsidRDefault="00670FD4" w:rsidP="00670FD4">
      <w:pPr>
        <w:ind w:firstLine="567"/>
        <w:rPr>
          <w:lang w:val="ro-RO"/>
        </w:rPr>
      </w:pPr>
      <w:r w:rsidRPr="008C6A37">
        <w:rPr>
          <w:lang w:val="ro-RO"/>
        </w:rPr>
        <w:t xml:space="preserve">Implementarea, cu prioritate, a acestei acțiuni presupune o revizuire a OUG 202 / 2002 cu privire la organizarea și componența CNZC, precum și a actelor normative subsecvente pentru funcționarea acestuia, în scopul creșterii autorități CNZC, prin asigurarea conducerii acestui comitet de către Cancelaria Primului ministru, precum și pentru a se asigura o mai bună reprezentativitate (includerea reprezentanților mediului de afaceri) și o consolidare a rolului CNZC în procesul MIZC. </w:t>
      </w:r>
    </w:p>
    <w:p w14:paraId="5F8444A0" w14:textId="77777777" w:rsidR="00670FD4" w:rsidRPr="008C6A37" w:rsidRDefault="00670FD4" w:rsidP="00670FD4">
      <w:pPr>
        <w:ind w:firstLine="567"/>
        <w:rPr>
          <w:lang w:val="ro-RO"/>
        </w:rPr>
      </w:pPr>
      <w:r w:rsidRPr="008C6A37">
        <w:rPr>
          <w:lang w:val="ro-RO"/>
        </w:rPr>
        <w:t>De asemenea, implementarea acestei acțiuni va determina și o reorganizare la nivelul MMAP, instituția responsabilă pentru elaborarea și implementarea procesului MIZC, în sensul constituirii unei departament / compartiment (Secretariatul tehnic administrativ al zonei costiere) ce va sprijini buna funcționare a CNZC.</w:t>
      </w:r>
    </w:p>
    <w:p w14:paraId="7049A82E" w14:textId="77777777" w:rsidR="00670FD4" w:rsidRPr="008C6A37" w:rsidRDefault="00670FD4" w:rsidP="00670FD4">
      <w:pPr>
        <w:ind w:firstLine="567"/>
        <w:rPr>
          <w:b/>
          <w:i/>
          <w:lang w:val="ro-RO"/>
        </w:rPr>
      </w:pPr>
      <w:r w:rsidRPr="008C6A37">
        <w:rPr>
          <w:b/>
          <w:i/>
          <w:lang w:val="ro-RO"/>
        </w:rPr>
        <w:t xml:space="preserve">F.2 Înființarea și asigurarea funcționalității Observatorului Zonei Costiere </w:t>
      </w:r>
    </w:p>
    <w:p w14:paraId="54C5E8CB" w14:textId="77777777" w:rsidR="00670FD4" w:rsidRPr="008C6A37" w:rsidRDefault="00670FD4" w:rsidP="00670FD4">
      <w:pPr>
        <w:ind w:firstLine="567"/>
        <w:rPr>
          <w:lang w:val="ro-RO"/>
        </w:rPr>
      </w:pPr>
      <w:r w:rsidRPr="008C6A37">
        <w:rPr>
          <w:lang w:val="ro-RO"/>
        </w:rPr>
        <w:t>Implementarea cu prioritate a acestei acțiuni rezidă din faptul că în prezent colectarea datelor și informațiilor este destul de anevoioasă, nu toate organizațiile cu atribuții în managementul integrat al zonei costiere arătându-și disponibilitatea de a furniza date, în special în lipsa unor reglementări clare referitoare la managementul datelor și informațiilor. De altfel, o condiție esențială pentru un management eficient al zonei costiere este asigurarea disponibilității tuturor datelor și informațiilor necesare. Prin implementarea acestei acțiuni, respectiv prin dezvoltarea Observatorului Zonei Costiere, se va asigura creșterea gradului de colectare a datelor și informațiilor, precum și a disponibilității acestora, evident în condiții bine reglementate. Funcționarea optimă a Observatorului Zonei Costiere va fi asigurată de către STA -ZC, ce va funcționa în cadrul MMAP.</w:t>
      </w:r>
    </w:p>
    <w:p w14:paraId="478085CB" w14:textId="77777777" w:rsidR="00670FD4" w:rsidRPr="008C6A37" w:rsidRDefault="00670FD4" w:rsidP="00670FD4">
      <w:pPr>
        <w:ind w:firstLine="567"/>
        <w:rPr>
          <w:b/>
          <w:i/>
          <w:lang w:val="ro-RO"/>
        </w:rPr>
      </w:pPr>
      <w:r w:rsidRPr="008C6A37">
        <w:rPr>
          <w:b/>
          <w:i/>
          <w:lang w:val="ro-RO"/>
        </w:rPr>
        <w:t xml:space="preserve">F.3 Elaborarea și implementarea Planului de comunicare al Strategiei naționale pentru managementul integrat a zonei costiere </w:t>
      </w:r>
    </w:p>
    <w:p w14:paraId="2899929E" w14:textId="77777777" w:rsidR="00670FD4" w:rsidRPr="008C6A37" w:rsidRDefault="00670FD4" w:rsidP="00670FD4">
      <w:pPr>
        <w:ind w:firstLine="567"/>
        <w:rPr>
          <w:lang w:val="ro-RO"/>
        </w:rPr>
      </w:pPr>
      <w:r w:rsidRPr="008C6A37">
        <w:rPr>
          <w:lang w:val="ro-RO"/>
        </w:rPr>
        <w:t xml:space="preserve">Necesitatea elaborării și implementării unui Plan de comunicare al Strategiei </w:t>
      </w:r>
      <w:r>
        <w:rPr>
          <w:lang w:val="ro-RO"/>
        </w:rPr>
        <w:t>N</w:t>
      </w:r>
      <w:r w:rsidRPr="008C6A37">
        <w:rPr>
          <w:lang w:val="ro-RO"/>
        </w:rPr>
        <w:t>aționale privind g</w:t>
      </w:r>
      <w:r>
        <w:rPr>
          <w:lang w:val="ro-RO"/>
        </w:rPr>
        <w:t>ospodărirea</w:t>
      </w:r>
      <w:r w:rsidRPr="008C6A37">
        <w:rPr>
          <w:lang w:val="ro-RO"/>
        </w:rPr>
        <w:t xml:space="preserve"> integrată al zonei costiere derivă din două dintre principiile fundamentale pe care este fundamentată această strategie, și anume:</w:t>
      </w:r>
    </w:p>
    <w:p w14:paraId="269A7105" w14:textId="77777777" w:rsidR="00670FD4" w:rsidRPr="008C6A37" w:rsidRDefault="00670FD4" w:rsidP="00670FD4">
      <w:pPr>
        <w:ind w:firstLine="567"/>
        <w:rPr>
          <w:lang w:val="ro-RO"/>
        </w:rPr>
      </w:pPr>
      <w:r w:rsidRPr="008C6A37">
        <w:rPr>
          <w:lang w:val="ro-RO"/>
        </w:rPr>
        <w:lastRenderedPageBreak/>
        <w:t>- principiul participării care se referă la procesele consultative ce implică autorități ale administrației publice centrale și/sau locale, organizații neguvernamentale, parteneri sociali, asociaţii profesionale, reprezentanţi ai sectorului privat;</w:t>
      </w:r>
    </w:p>
    <w:p w14:paraId="0DEE9A72" w14:textId="77777777" w:rsidR="00670FD4" w:rsidRPr="008C6A37" w:rsidRDefault="00670FD4" w:rsidP="00670FD4">
      <w:pPr>
        <w:ind w:firstLine="567"/>
        <w:rPr>
          <w:lang w:val="ro-RO"/>
        </w:rPr>
      </w:pPr>
      <w:r w:rsidRPr="008C6A37">
        <w:rPr>
          <w:lang w:val="ro-RO"/>
        </w:rPr>
        <w:t>- principiul transparenței.</w:t>
      </w:r>
    </w:p>
    <w:p w14:paraId="15A7C1C9" w14:textId="77777777" w:rsidR="00670FD4" w:rsidRPr="008C6A37" w:rsidRDefault="00670FD4" w:rsidP="00670FD4">
      <w:pPr>
        <w:ind w:firstLine="567"/>
        <w:rPr>
          <w:b/>
          <w:i/>
          <w:lang w:val="ro-RO"/>
        </w:rPr>
      </w:pPr>
      <w:r w:rsidRPr="008C6A37">
        <w:rPr>
          <w:b/>
          <w:i/>
          <w:lang w:val="ro-RO"/>
        </w:rPr>
        <w:t>F.4 Promovarea și implementarea unui instrument de tip citizen-science în vederea implicării directe a cetățenilor, pe bază de voluntariat, în acțiuni de monitorizare a stării și proceselor din zona costieră</w:t>
      </w:r>
    </w:p>
    <w:p w14:paraId="5FC2029A" w14:textId="77777777" w:rsidR="00670FD4" w:rsidRPr="008C6A37" w:rsidRDefault="00670FD4" w:rsidP="00670FD4">
      <w:pPr>
        <w:ind w:firstLine="567"/>
        <w:rPr>
          <w:lang w:val="ro-RO"/>
        </w:rPr>
      </w:pPr>
      <w:r w:rsidRPr="008C6A37">
        <w:rPr>
          <w:lang w:val="ro-RO"/>
        </w:rPr>
        <w:t>Implementarea acestei acțiuni oferă plus valoare instrumentelor de colectare a datelor de către instituțiile responsabile cu managementul zonei costiere, generând date și informații relevante pentru luarea deciziilor și pentru îmbunătățirea gestionării zonei costiere. În același timp, cresc și oportunitățile de a interacționa cu publicul pentru a spori gradul de conștientizare, interes și sprijin în procesul de management costier.</w:t>
      </w:r>
    </w:p>
    <w:p w14:paraId="30EAABD5" w14:textId="77777777" w:rsidR="00670FD4" w:rsidRPr="008C6A37" w:rsidRDefault="00670FD4" w:rsidP="00670FD4">
      <w:pPr>
        <w:ind w:firstLine="567"/>
        <w:rPr>
          <w:b/>
          <w:i/>
          <w:lang w:val="ro-RO"/>
        </w:rPr>
      </w:pPr>
      <w:r w:rsidRPr="008C6A37">
        <w:rPr>
          <w:b/>
          <w:i/>
          <w:lang w:val="ro-RO"/>
        </w:rPr>
        <w:t>F.5 Revizuirea delimitării zonei costiere prevăzută în OUG 202/2002, precum și a limitelor de restricție temporară stabilite prin actele normative subsecvente Legea 597/ 31.10. 2001, Hotărârea Guvernului nr. 546/07.04.2004 și Hotărârea Guvernului nr. 749/14.05.2004</w:t>
      </w:r>
    </w:p>
    <w:p w14:paraId="35CED4B5" w14:textId="77777777" w:rsidR="00670FD4" w:rsidRPr="008C6A37" w:rsidRDefault="00670FD4" w:rsidP="00670FD4">
      <w:pPr>
        <w:ind w:firstLine="567"/>
        <w:rPr>
          <w:lang w:val="ro-RO"/>
        </w:rPr>
      </w:pPr>
      <w:r w:rsidRPr="008C6A37">
        <w:rPr>
          <w:b/>
          <w:i/>
          <w:lang w:val="ro-RO"/>
        </w:rPr>
        <w:t xml:space="preserve"> </w:t>
      </w:r>
      <w:r w:rsidRPr="008C6A37">
        <w:rPr>
          <w:lang w:val="ro-RO"/>
        </w:rPr>
        <w:t>Având în vedere definirea zonei costiere ca spațiul geografic care cuprinde spațiul maritim în limita a 12 mile marine și teritoriul UAT-urilor limitrofe zonei costiere, inclusiv UAT Techirghiol, se impune revizuirea corespunzătoare a modului de delimitare a zonei costiere din OUG 202/2002. În același timp, pentru protejarea și gestionarea durabilă a zonei costiere astfel delimitată, se impune definirea unor spații/zone costiere critice. Aceste spații sensibile și cu risc potențial ridicat din punctul de vedere al mediul, cât și din punct de vedere economic și social, sunt  apele din zona de coastă, precum și teritoriile adiacente acestora, situate în spațiul geografic al zonei costiere în care orice nouă utilizare a terenurilor sau orice extindere a utilizărilor existente, fac obiectul avizării de către structurile MMAP stabilite prin reglementări legale primare și în conformitate cu metodologia aprobată prin reglementările subsecvente. Delimitarea acestor spații costiere critice este în sarcina UAT-urilor  și se realizează prin documentațiile de urbanism.</w:t>
      </w:r>
    </w:p>
    <w:p w14:paraId="5AC304C9" w14:textId="77777777" w:rsidR="00670FD4" w:rsidRPr="008C6A37" w:rsidRDefault="00670FD4" w:rsidP="00670FD4">
      <w:pPr>
        <w:ind w:firstLine="567"/>
        <w:rPr>
          <w:lang w:val="ro-RO"/>
        </w:rPr>
      </w:pPr>
      <w:r w:rsidRPr="008C6A37">
        <w:rPr>
          <w:lang w:val="ro-RO"/>
        </w:rPr>
        <w:t>Implementarea acestei acțiuni presupune:</w:t>
      </w:r>
    </w:p>
    <w:p w14:paraId="069B757B" w14:textId="77777777" w:rsidR="00670FD4" w:rsidRPr="008C6A37" w:rsidRDefault="00670FD4" w:rsidP="00670FD4">
      <w:pPr>
        <w:ind w:firstLine="567"/>
        <w:rPr>
          <w:lang w:val="ro-RO"/>
        </w:rPr>
      </w:pPr>
      <w:r w:rsidRPr="008C6A37">
        <w:rPr>
          <w:lang w:val="ro-RO"/>
        </w:rPr>
        <w:t>-</w:t>
      </w:r>
      <w:r w:rsidRPr="008C6A37">
        <w:rPr>
          <w:lang w:val="ro-RO"/>
        </w:rPr>
        <w:tab/>
        <w:t>elaborarea unui studiu centralizat pentru toată zona costieră pentru stabilirea spațiilor critice din zona costieră;</w:t>
      </w:r>
    </w:p>
    <w:p w14:paraId="14F696B9" w14:textId="77777777" w:rsidR="00670FD4" w:rsidRPr="008C6A37" w:rsidRDefault="00670FD4" w:rsidP="00670FD4">
      <w:pPr>
        <w:ind w:firstLine="567"/>
        <w:rPr>
          <w:lang w:val="ro-RO"/>
        </w:rPr>
      </w:pPr>
      <w:r w:rsidRPr="008C6A37">
        <w:rPr>
          <w:lang w:val="ro-RO"/>
        </w:rPr>
        <w:t>-</w:t>
      </w:r>
      <w:r w:rsidRPr="008C6A37">
        <w:rPr>
          <w:lang w:val="ro-RO"/>
        </w:rPr>
        <w:tab/>
        <w:t xml:space="preserve">stabilirea criteriilor de delimitare a spațiilor sensibile / critice / vulnerable din zona costieră (posibile criterii: distanța față de linia țărmului, prezența unor arii naturale protejate, prezența unor elemente de patrimoniu construit de tip A, presiuni antropice deosebite (trafic auto / pietonal intens, densitate ridicată a construcțiilor, presiuni imobiliare etc.), riscuri ridicate, fie naturale (eroziune, inundație etc.), fie antropice (explozii, incendii etc.), valori peisagistice deosebite (identificate prin „planurile de peisaj” sau în cadrul atlasului unităților de peisaj din zona costieră); </w:t>
      </w:r>
    </w:p>
    <w:p w14:paraId="53010309" w14:textId="77777777" w:rsidR="00670FD4" w:rsidRPr="008C6A37" w:rsidRDefault="00670FD4" w:rsidP="00670FD4">
      <w:pPr>
        <w:ind w:firstLine="567"/>
        <w:rPr>
          <w:lang w:val="ro-RO"/>
        </w:rPr>
      </w:pPr>
      <w:r w:rsidRPr="008C6A37">
        <w:rPr>
          <w:lang w:val="ro-RO"/>
        </w:rPr>
        <w:t>-</w:t>
      </w:r>
      <w:r w:rsidRPr="008C6A37">
        <w:rPr>
          <w:lang w:val="ro-RO"/>
        </w:rPr>
        <w:tab/>
        <w:t>elaborarea și aprobarea proiectelor de revizuire a OUG 202/2002, precum și a actelor normative subsecvente Legea 597/31.10.2001, Hotărârea Guvernului  nr. 546/07.04.2004 și Hotărârea Guvernului nr. 749/14.05.2004.</w:t>
      </w:r>
    </w:p>
    <w:p w14:paraId="68DE4337" w14:textId="77777777" w:rsidR="00670FD4" w:rsidRPr="008C6A37" w:rsidRDefault="00670FD4" w:rsidP="00670FD4">
      <w:pPr>
        <w:ind w:firstLine="567"/>
        <w:rPr>
          <w:b/>
          <w:i/>
          <w:lang w:val="ro-RO"/>
        </w:rPr>
      </w:pPr>
      <w:r w:rsidRPr="008C6A37">
        <w:rPr>
          <w:b/>
          <w:i/>
          <w:lang w:val="ro-RO"/>
        </w:rPr>
        <w:lastRenderedPageBreak/>
        <w:t>F.6 Programe pentru furnizarea de Asistență Tehnică pentru îmbunătățirea / consolidarea capacității administrative  a actorilor instituționali implicați în implementarea managementului integrat al zonei costiere</w:t>
      </w:r>
    </w:p>
    <w:p w14:paraId="31C571BE" w14:textId="77777777" w:rsidR="00670FD4" w:rsidRPr="008C6A37" w:rsidRDefault="00670FD4" w:rsidP="00670FD4">
      <w:pPr>
        <w:ind w:firstLine="567"/>
        <w:rPr>
          <w:lang w:val="ro-RO"/>
        </w:rPr>
      </w:pPr>
      <w:r w:rsidRPr="008C6A37">
        <w:rPr>
          <w:lang w:val="ro-RO"/>
        </w:rPr>
        <w:t>Implementarea acestei acțiuni contribuie la consolidarea capacității profesionale și creșterea motivației și interesului personalului administrativ al organizațiilor implicate în managementul integrat al zonei costiere.</w:t>
      </w:r>
    </w:p>
    <w:p w14:paraId="7EA95AEA" w14:textId="77777777" w:rsidR="00670FD4" w:rsidRPr="008C6A37" w:rsidRDefault="00670FD4" w:rsidP="00670FD4">
      <w:pPr>
        <w:ind w:firstLine="567"/>
        <w:rPr>
          <w:b/>
          <w:i/>
          <w:lang w:val="ro-RO"/>
        </w:rPr>
      </w:pPr>
      <w:r w:rsidRPr="008C6A37">
        <w:rPr>
          <w:b/>
          <w:i/>
          <w:lang w:val="ro-RO"/>
        </w:rPr>
        <w:t>F.7 Dezvoltarea unui sistem eficient de supraveghere și control a utilizării resurselor zonei costiere</w:t>
      </w:r>
    </w:p>
    <w:p w14:paraId="4211BB7E" w14:textId="77777777" w:rsidR="00670FD4" w:rsidRPr="008C6A37" w:rsidRDefault="00670FD4" w:rsidP="00670FD4">
      <w:pPr>
        <w:ind w:firstLine="567"/>
        <w:rPr>
          <w:lang w:val="ro-RO"/>
        </w:rPr>
      </w:pPr>
      <w:r w:rsidRPr="008C6A37">
        <w:rPr>
          <w:lang w:val="ro-RO"/>
        </w:rPr>
        <w:t>Exploatarea resurselor zonei costiere este relativ bine reglementată, prin diverse acte normative sectoriale, în scopul asigurării sustenabilității. Totuși sunt destul de des semnalate situații în care reglementările în vigoare nu sunt respectate datorită, pe de o parte sancțiunilor mult prea mici, iar pe de altă parte capacității (umane și tehnice) reduse a organismelor de control și supraveghere, a unei eficiențe scăzute, dar și a lipsei de interes și motivație a personalului de control din organizațiilor responsabile. Astfel, prin implementarea acestei acțiuni se urmărește creșterea/întărirea capacității de control și supraveghere, și mai ales a eficienței acestor acțiuni în vederea exploatării sustenabile a resurselor zonei costiere.</w:t>
      </w:r>
    </w:p>
    <w:p w14:paraId="3D52AD9C" w14:textId="77777777" w:rsidR="00670FD4" w:rsidRPr="008C6A37" w:rsidRDefault="00670FD4" w:rsidP="00670FD4">
      <w:pPr>
        <w:ind w:firstLine="567"/>
        <w:rPr>
          <w:lang w:val="ro-RO"/>
        </w:rPr>
      </w:pPr>
    </w:p>
    <w:p w14:paraId="27DB1589" w14:textId="77777777" w:rsidR="00670FD4" w:rsidRPr="008C6A37" w:rsidRDefault="00670FD4" w:rsidP="00670FD4">
      <w:pPr>
        <w:ind w:firstLine="567"/>
        <w:rPr>
          <w:lang w:val="ro-RO"/>
        </w:rPr>
      </w:pPr>
      <w:r w:rsidRPr="008C6A37">
        <w:rPr>
          <w:lang w:val="ro-RO"/>
        </w:rPr>
        <w:t xml:space="preserve">Planul de acțiune al </w:t>
      </w:r>
      <w:r>
        <w:rPr>
          <w:lang w:val="ro-RO"/>
        </w:rPr>
        <w:t>S</w:t>
      </w:r>
      <w:r w:rsidRPr="008C6A37">
        <w:rPr>
          <w:lang w:val="ro-RO"/>
        </w:rPr>
        <w:t xml:space="preserve">trategiei </w:t>
      </w:r>
      <w:r>
        <w:rPr>
          <w:lang w:val="ro-RO"/>
        </w:rPr>
        <w:t xml:space="preserve">Naționale </w:t>
      </w:r>
      <w:r w:rsidRPr="008C6A37">
        <w:rPr>
          <w:lang w:val="ro-RO"/>
        </w:rPr>
        <w:t xml:space="preserve">privind </w:t>
      </w:r>
      <w:r>
        <w:rPr>
          <w:lang w:val="ro-RO"/>
        </w:rPr>
        <w:t xml:space="preserve">gospodărirea </w:t>
      </w:r>
      <w:r w:rsidRPr="008C6A37">
        <w:rPr>
          <w:lang w:val="ro-RO"/>
        </w:rPr>
        <w:t>integrată a  zonei costiere este prezentat în Anexa 1, defalcat pe acțiuni, instituții responsabile, perioade de implementare, rezultate așteptate și indicatori de monitorizare și etapele evaluării.</w:t>
      </w:r>
    </w:p>
    <w:p w14:paraId="1AD5F6C6" w14:textId="77777777" w:rsidR="00670FD4" w:rsidRDefault="00670FD4" w:rsidP="00670FD4">
      <w:pPr>
        <w:ind w:firstLine="567"/>
        <w:rPr>
          <w:lang w:val="ro-RO"/>
        </w:rPr>
      </w:pPr>
      <w:r w:rsidRPr="008C6A37">
        <w:rPr>
          <w:lang w:val="ro-RO"/>
        </w:rPr>
        <w:t xml:space="preserve">În Anexa 2 a strategiei sunt prezentate acțiunile enumerate și descrise succint anterior, defalcate pe faze (subactiuni), precum și obiectivele specifice vizate de către fiecare dintre aceste acțiuni.  </w:t>
      </w:r>
    </w:p>
    <w:p w14:paraId="1D68C0C8" w14:textId="77777777" w:rsidR="00670FD4" w:rsidRPr="00A92A31" w:rsidRDefault="00670FD4" w:rsidP="00670FD4">
      <w:pPr>
        <w:spacing w:before="0"/>
        <w:ind w:firstLine="0"/>
        <w:rPr>
          <w:sz w:val="28"/>
          <w:lang w:val="ro-RO"/>
        </w:rPr>
      </w:pPr>
    </w:p>
    <w:p w14:paraId="56B86AA2" w14:textId="77777777" w:rsidR="00670FD4" w:rsidRPr="005D2CE5" w:rsidRDefault="00670FD4" w:rsidP="00670FD4">
      <w:pPr>
        <w:pStyle w:val="Heading2"/>
        <w:numPr>
          <w:ilvl w:val="1"/>
          <w:numId w:val="48"/>
        </w:numPr>
      </w:pPr>
      <w:bookmarkStart w:id="33" w:name="_Toc150247017"/>
      <w:bookmarkStart w:id="34" w:name="_Toc171084813"/>
      <w:r w:rsidRPr="005D2CE5">
        <w:t>Rezultatele așteptate</w:t>
      </w:r>
      <w:bookmarkEnd w:id="33"/>
      <w:bookmarkEnd w:id="34"/>
      <w:r w:rsidRPr="005D2CE5">
        <w:t xml:space="preserve"> </w:t>
      </w:r>
    </w:p>
    <w:p w14:paraId="7BDFA89B" w14:textId="77777777" w:rsidR="00670FD4" w:rsidRPr="008C6A37" w:rsidRDefault="00670FD4" w:rsidP="00670FD4">
      <w:pPr>
        <w:ind w:firstLine="567"/>
        <w:rPr>
          <w:lang w:val="ro-RO"/>
        </w:rPr>
      </w:pPr>
      <w:r w:rsidRPr="008C6A37">
        <w:rPr>
          <w:lang w:val="ro-RO"/>
        </w:rPr>
        <w:t xml:space="preserve">Implementarea Strategiei Naționale privind </w:t>
      </w:r>
      <w:r>
        <w:rPr>
          <w:lang w:val="ro-RO"/>
        </w:rPr>
        <w:t>gospodărirea</w:t>
      </w:r>
      <w:r w:rsidRPr="008C6A37">
        <w:rPr>
          <w:lang w:val="ro-RO"/>
        </w:rPr>
        <w:t xml:space="preserve"> integrată a zonei costiere va conduce la obținerea unor rezultate concrete la nivel economic, social, de mediu și cultural în concordanță cu obiectivele de dezvoltare durabilă a României.  </w:t>
      </w:r>
    </w:p>
    <w:p w14:paraId="4E5447C1" w14:textId="77777777" w:rsidR="00670FD4" w:rsidRPr="008C6A37" w:rsidRDefault="00670FD4" w:rsidP="00670FD4">
      <w:pPr>
        <w:ind w:firstLine="567"/>
        <w:rPr>
          <w:lang w:val="ro-RO"/>
        </w:rPr>
      </w:pPr>
      <w:r w:rsidRPr="008C6A37">
        <w:rPr>
          <w:lang w:val="ro-RO"/>
        </w:rPr>
        <w:t xml:space="preserve">În Anexa 1 a prezentei strategii sunt redate rezultatele așteptate în urma implementării fiecărei acțiuni din Planul de Acțiune. Marea majoritate a rezultatelor așteptate pot fi cuantificate, dar există, totuși, o serie de acțiuni al căror rezultat este necuantificabil / este unitar (de exemplu: </w:t>
      </w:r>
      <w:r w:rsidRPr="008C6A37">
        <w:rPr>
          <w:i/>
          <w:lang w:val="ro-RO"/>
        </w:rPr>
        <w:t>Realizarea unui program național de monitorizare a poluanților emergenți în mediul marin</w:t>
      </w:r>
      <w:r w:rsidRPr="008C6A37">
        <w:rPr>
          <w:lang w:val="ro-RO"/>
        </w:rPr>
        <w:t xml:space="preserve">, </w:t>
      </w:r>
      <w:r w:rsidRPr="008C6A37">
        <w:rPr>
          <w:i/>
          <w:lang w:val="ro-RO"/>
        </w:rPr>
        <w:t>Realizarea Registrului Poluanților Emergenți</w:t>
      </w:r>
      <w:r w:rsidRPr="008C6A37">
        <w:rPr>
          <w:lang w:val="ro-RO"/>
        </w:rPr>
        <w:t xml:space="preserve"> - acțiunea B.5, </w:t>
      </w:r>
      <w:r w:rsidRPr="008C6A37">
        <w:rPr>
          <w:i/>
          <w:lang w:val="ro-RO"/>
        </w:rPr>
        <w:t>Realizarea regulamentului-cadru zona litorală</w:t>
      </w:r>
      <w:r w:rsidRPr="008C6A37">
        <w:rPr>
          <w:lang w:val="ro-RO"/>
        </w:rPr>
        <w:t xml:space="preserve"> - acțiunea E.2, Comitet Național al Zonei Costiere funcțional - acțiunea F.1, </w:t>
      </w:r>
      <w:r w:rsidRPr="008C6A37">
        <w:rPr>
          <w:i/>
          <w:lang w:val="ro-RO"/>
        </w:rPr>
        <w:t>Observatorul Zonei Costiere funcțional</w:t>
      </w:r>
      <w:r w:rsidRPr="008C6A37">
        <w:rPr>
          <w:lang w:val="ro-RO"/>
        </w:rPr>
        <w:t xml:space="preserve"> - acțiunea F.2, </w:t>
      </w:r>
      <w:r w:rsidRPr="008C6A37">
        <w:rPr>
          <w:i/>
          <w:lang w:val="ro-RO"/>
        </w:rPr>
        <w:t>Plan de comunicare al Strategiei naționale pentru managementul integrat a zonei costiere</w:t>
      </w:r>
      <w:r w:rsidRPr="008C6A37">
        <w:rPr>
          <w:lang w:val="ro-RO"/>
        </w:rPr>
        <w:t xml:space="preserve"> - acțiunea F.3).</w:t>
      </w:r>
    </w:p>
    <w:p w14:paraId="1251A449" w14:textId="77777777" w:rsidR="00670FD4" w:rsidRPr="00A92A31" w:rsidRDefault="00670FD4" w:rsidP="00670FD4">
      <w:pPr>
        <w:spacing w:before="0"/>
        <w:ind w:firstLine="0"/>
        <w:rPr>
          <w:b/>
          <w:sz w:val="28"/>
          <w:lang w:val="ro-RO"/>
        </w:rPr>
      </w:pPr>
    </w:p>
    <w:p w14:paraId="611850F2" w14:textId="77777777" w:rsidR="00670FD4" w:rsidRPr="005D2CE5" w:rsidRDefault="00670FD4" w:rsidP="00670FD4">
      <w:pPr>
        <w:pStyle w:val="Heading2"/>
        <w:numPr>
          <w:ilvl w:val="1"/>
          <w:numId w:val="48"/>
        </w:numPr>
      </w:pPr>
      <w:bookmarkStart w:id="35" w:name="_Toc150247018"/>
      <w:bookmarkStart w:id="36" w:name="_Toc171084814"/>
      <w:r w:rsidRPr="005D2CE5">
        <w:lastRenderedPageBreak/>
        <w:t>Indicatori</w:t>
      </w:r>
      <w:bookmarkEnd w:id="35"/>
      <w:bookmarkEnd w:id="36"/>
    </w:p>
    <w:p w14:paraId="7CE6383D" w14:textId="77777777" w:rsidR="00670FD4" w:rsidRPr="008C6A37" w:rsidRDefault="00670FD4" w:rsidP="00670FD4">
      <w:pPr>
        <w:ind w:firstLine="567"/>
        <w:rPr>
          <w:lang w:val="ro-RO"/>
        </w:rPr>
      </w:pPr>
      <w:r w:rsidRPr="008C6A37">
        <w:rPr>
          <w:lang w:val="ro-RO"/>
        </w:rPr>
        <w:t xml:space="preserve">În vederea monitorizării implementării Strategiei Naționale privind </w:t>
      </w:r>
      <w:r>
        <w:rPr>
          <w:lang w:val="ro-RO"/>
        </w:rPr>
        <w:t>gospodărirea</w:t>
      </w:r>
      <w:r w:rsidRPr="008C6A37">
        <w:rPr>
          <w:lang w:val="ro-RO"/>
        </w:rPr>
        <w:t xml:space="preserve"> integrată a zonei costiere au fost stabiliți o serie de </w:t>
      </w:r>
      <w:r w:rsidRPr="008C6A37">
        <w:rPr>
          <w:b/>
          <w:lang w:val="ro-RO"/>
        </w:rPr>
        <w:t>indicatori de monitorizare</w:t>
      </w:r>
      <w:r w:rsidRPr="008C6A37">
        <w:rPr>
          <w:lang w:val="ro-RO"/>
        </w:rPr>
        <w:t xml:space="preserve"> pentru fiecare dintre obiectivele generale ale strategiei (Anexa 3). Corespunzător fiecărui indicator, au fost stabiliți unul sau mai mulți parametrii de monitorizare, prin agregarea cărora se determină cantitativ indicatorul respectiv. </w:t>
      </w:r>
    </w:p>
    <w:p w14:paraId="270884AE" w14:textId="77777777" w:rsidR="00670FD4" w:rsidRPr="008C6A37" w:rsidRDefault="00670FD4" w:rsidP="00670FD4">
      <w:pPr>
        <w:ind w:firstLine="567"/>
        <w:rPr>
          <w:lang w:val="ro-RO"/>
        </w:rPr>
      </w:pPr>
      <w:r w:rsidRPr="008C6A37">
        <w:rPr>
          <w:lang w:val="ro-RO"/>
        </w:rPr>
        <w:t>Indicatorii și parametrii propuși în prezenta strategie pentru monitorizarea procesului de management integrat a zonei costiere sunt, în mare parte, cei existenți și raportați în prezent, dezvoltați de către Grupul de Experți ICZM ai UE (EU ICZM Expert Group), în diverse proiecte europene, precum DEDUCE, PEGASO, etc.). Acestora li s-au adăugat și unii indicatori stabiliți în concordanță cu obiectivele și acțiunile prezentei strategii. În total, vor fi monitorizați 33 de indicatori și 97 de parametrii.</w:t>
      </w:r>
    </w:p>
    <w:p w14:paraId="0CD6DF41" w14:textId="77777777" w:rsidR="00670FD4" w:rsidRPr="008C6A37" w:rsidRDefault="00670FD4" w:rsidP="00670FD4">
      <w:pPr>
        <w:ind w:firstLine="567"/>
        <w:rPr>
          <w:lang w:val="ro-RO"/>
        </w:rPr>
      </w:pPr>
      <w:r w:rsidRPr="008C6A37">
        <w:rPr>
          <w:lang w:val="ro-RO"/>
        </w:rPr>
        <w:t>Referitor la metodologia de calculare și raportare a indicatorilor, proiectul european DEDUCE a propus un cadru metodologic comun, la nivel european, de calculare și raportare a indicatorilor, instrument care se va aplica și în cazul prezentei strategii.</w:t>
      </w:r>
    </w:p>
    <w:p w14:paraId="2A3F8480" w14:textId="77777777" w:rsidR="00670FD4" w:rsidRPr="008C6A37" w:rsidRDefault="00670FD4" w:rsidP="00670FD4">
      <w:pPr>
        <w:ind w:firstLine="567"/>
        <w:rPr>
          <w:lang w:val="ro-RO"/>
        </w:rPr>
      </w:pPr>
      <w:r w:rsidRPr="008C6A37">
        <w:rPr>
          <w:lang w:val="ro-RO"/>
        </w:rPr>
        <w:t>Acest cadru metodologic constă din următoarele trei componente / formate:</w:t>
      </w:r>
    </w:p>
    <w:p w14:paraId="61CAEBB4" w14:textId="77777777" w:rsidR="00670FD4" w:rsidRPr="008C6A37" w:rsidRDefault="00670FD4" w:rsidP="00670FD4">
      <w:pPr>
        <w:ind w:firstLine="567"/>
        <w:rPr>
          <w:lang w:val="ro-RO"/>
        </w:rPr>
      </w:pPr>
      <w:r w:rsidRPr="008C6A37">
        <w:rPr>
          <w:lang w:val="ro-RO"/>
        </w:rPr>
        <w:t>-</w:t>
      </w:r>
      <w:r w:rsidRPr="008C6A37">
        <w:rPr>
          <w:lang w:val="ro-RO"/>
        </w:rPr>
        <w:tab/>
        <w:t>Formatul standard al indicatorului (SIF) – definește și descrie metodologia de calcul a fiecărui indicator. SIF este conceput pentru a obține o înțelegere comună a scopului și definițiilor parametrilor asociați fiecărui indicator monitorizat. Acesta stabilește o metodologie comună pentru calcularea și prezentarea datelor și pentru analiza ulterioară a tendințelor.</w:t>
      </w:r>
    </w:p>
    <w:p w14:paraId="40C143FD" w14:textId="77777777" w:rsidR="00670FD4" w:rsidRPr="008C6A37" w:rsidRDefault="00670FD4" w:rsidP="00670FD4">
      <w:pPr>
        <w:ind w:firstLine="567"/>
        <w:rPr>
          <w:lang w:val="ro-RO"/>
        </w:rPr>
      </w:pPr>
      <w:r w:rsidRPr="008C6A37">
        <w:rPr>
          <w:lang w:val="ro-RO"/>
        </w:rPr>
        <w:t>-</w:t>
      </w:r>
      <w:r w:rsidRPr="008C6A37">
        <w:rPr>
          <w:lang w:val="ro-RO"/>
        </w:rPr>
        <w:tab/>
        <w:t>Fișa de raportare (RS) – prezintă rezultatul calculului indicatorului respectiv (fie ca date sau produse de date – grafice, hărți, etc) și evaluarea valorilor obținute și a procesului de producere a datelor;</w:t>
      </w:r>
    </w:p>
    <w:p w14:paraId="515A1474" w14:textId="77777777" w:rsidR="00670FD4" w:rsidRPr="008C6A37" w:rsidRDefault="00670FD4" w:rsidP="00670FD4">
      <w:pPr>
        <w:ind w:firstLine="567"/>
        <w:rPr>
          <w:lang w:val="ro-RO"/>
        </w:rPr>
      </w:pPr>
      <w:r w:rsidRPr="008C6A37">
        <w:rPr>
          <w:lang w:val="ro-RO"/>
        </w:rPr>
        <w:t>-</w:t>
      </w:r>
      <w:r w:rsidRPr="008C6A37">
        <w:rPr>
          <w:lang w:val="ro-RO"/>
        </w:rPr>
        <w:tab/>
        <w:t>Fișa indicatorului (IFS) ce sumarizează și diseminează principalele informații obținute pentru fiecare indicator. Componentele sale principale sunt graficele, hărțile și analizele comparative. Conține însă și o evaluare a valorilor obținute și a procesului de producere a datelor. IFS prezintă o analiză a rezultatelor agregării parametrilor măsurați în cadrul fiecărui indicator. Această componentă reprezintă, de asemenea, un pas către integrarea informațiilor la diferite niveluri și scări și obținerea coerenței în înțelegerea proceselor variate care au loc la nivel local.</w:t>
      </w:r>
    </w:p>
    <w:p w14:paraId="07CF944A" w14:textId="77777777" w:rsidR="00670FD4" w:rsidRPr="008C6A37" w:rsidRDefault="00670FD4" w:rsidP="00670FD4">
      <w:pPr>
        <w:ind w:firstLine="567"/>
        <w:rPr>
          <w:lang w:val="ro-RO"/>
        </w:rPr>
      </w:pPr>
      <w:r w:rsidRPr="008C6A37">
        <w:rPr>
          <w:lang w:val="ro-RO"/>
        </w:rPr>
        <w:t>Implementarea fiecărei acțiuni cuprinse în Planul de acțiune al Strategiei, respectiv atingerea rezultatului / rezultatelor așteptat/e, este monitorizată prin măsurarea unuia sau mai multor indicatori, după caz, așa cum este redat în Anexa 1.</w:t>
      </w:r>
    </w:p>
    <w:p w14:paraId="41788ECF" w14:textId="77777777" w:rsidR="00670FD4" w:rsidRPr="00A92A31" w:rsidRDefault="00670FD4" w:rsidP="00670FD4">
      <w:pPr>
        <w:spacing w:before="0"/>
        <w:ind w:firstLine="0"/>
        <w:rPr>
          <w:b/>
          <w:sz w:val="28"/>
          <w:lang w:val="ro-RO"/>
        </w:rPr>
      </w:pPr>
    </w:p>
    <w:p w14:paraId="490B7051" w14:textId="77777777" w:rsidR="00670FD4" w:rsidRPr="005D2CE5" w:rsidRDefault="00670FD4" w:rsidP="00670FD4">
      <w:pPr>
        <w:pStyle w:val="Heading2"/>
        <w:numPr>
          <w:ilvl w:val="1"/>
          <w:numId w:val="48"/>
        </w:numPr>
      </w:pPr>
      <w:bookmarkStart w:id="37" w:name="_Toc150247019"/>
      <w:bookmarkStart w:id="38" w:name="_Toc171084815"/>
      <w:r w:rsidRPr="005D2CE5">
        <w:t>Procedurile de monitorizare și evaluare</w:t>
      </w:r>
      <w:bookmarkEnd w:id="37"/>
      <w:bookmarkEnd w:id="38"/>
    </w:p>
    <w:p w14:paraId="56E0BA73" w14:textId="77777777" w:rsidR="00670FD4" w:rsidRPr="008C6A37" w:rsidRDefault="00670FD4" w:rsidP="00670FD4">
      <w:pPr>
        <w:ind w:firstLine="567"/>
        <w:rPr>
          <w:lang w:val="ro-RO"/>
        </w:rPr>
      </w:pPr>
      <w:r w:rsidRPr="008C6A37">
        <w:rPr>
          <w:lang w:val="ro-RO"/>
        </w:rPr>
        <w:t xml:space="preserve">Monitorizarea și evaluarea implementării strategiei naționale privind </w:t>
      </w:r>
      <w:r>
        <w:rPr>
          <w:lang w:val="ro-RO"/>
        </w:rPr>
        <w:t xml:space="preserve">gospodărirea </w:t>
      </w:r>
      <w:r w:rsidRPr="008C6A37">
        <w:rPr>
          <w:lang w:val="ro-RO"/>
        </w:rPr>
        <w:t>integrată a zonei costiere se realizează în conformitate cu prevederile H.G 379 / 2022.</w:t>
      </w:r>
    </w:p>
    <w:p w14:paraId="065DC49E" w14:textId="77777777" w:rsidR="00670FD4" w:rsidRPr="008C6A37" w:rsidRDefault="00670FD4" w:rsidP="00670FD4">
      <w:pPr>
        <w:ind w:firstLine="567"/>
        <w:rPr>
          <w:lang w:val="ro-RO"/>
        </w:rPr>
      </w:pPr>
      <w:r w:rsidRPr="008C6A37">
        <w:rPr>
          <w:lang w:val="ro-RO"/>
        </w:rPr>
        <w:lastRenderedPageBreak/>
        <w:t>În procesul de implementare a strategiei naționale privind g</w:t>
      </w:r>
      <w:r>
        <w:rPr>
          <w:lang w:val="ro-RO"/>
        </w:rPr>
        <w:t>ospodărirea</w:t>
      </w:r>
      <w:r w:rsidRPr="008C6A37">
        <w:rPr>
          <w:lang w:val="ro-RO"/>
        </w:rPr>
        <w:t xml:space="preserve"> integrată a zonei costiere au loc schimbări, fie planificate / așteptate, fie neprevăzute, care sunt înregistrate printr-o monitorizare eficientă. Succesul în implementarea strategiei este astfel măsurat din două motive:</w:t>
      </w:r>
    </w:p>
    <w:p w14:paraId="564C9805" w14:textId="77777777" w:rsidR="00670FD4" w:rsidRPr="008C6A37" w:rsidRDefault="00670FD4" w:rsidP="00670FD4">
      <w:pPr>
        <w:ind w:firstLine="567"/>
        <w:rPr>
          <w:lang w:val="ro-RO"/>
        </w:rPr>
      </w:pPr>
      <w:r w:rsidRPr="008C6A37">
        <w:rPr>
          <w:lang w:val="ro-RO"/>
        </w:rPr>
        <w:t>-</w:t>
      </w:r>
      <w:r w:rsidRPr="008C6A37">
        <w:rPr>
          <w:lang w:val="ro-RO"/>
        </w:rPr>
        <w:tab/>
        <w:t>pentru a evalua progresul în implementarea acțiunilor stabilite și în atingerea obiectivelor;</w:t>
      </w:r>
    </w:p>
    <w:p w14:paraId="5370E19D" w14:textId="77777777" w:rsidR="00670FD4" w:rsidRPr="008C6A37" w:rsidRDefault="00670FD4" w:rsidP="00670FD4">
      <w:pPr>
        <w:ind w:firstLine="567"/>
        <w:rPr>
          <w:lang w:val="ro-RO"/>
        </w:rPr>
      </w:pPr>
      <w:r w:rsidRPr="008C6A37">
        <w:rPr>
          <w:lang w:val="ro-RO"/>
        </w:rPr>
        <w:t>-</w:t>
      </w:r>
      <w:r w:rsidRPr="008C6A37">
        <w:rPr>
          <w:lang w:val="ro-RO"/>
        </w:rPr>
        <w:tab/>
        <w:t xml:space="preserve">pentru a permite comparabilitatea stării și a tendințelor, atât în context național, cât și internațional. </w:t>
      </w:r>
    </w:p>
    <w:p w14:paraId="2C8C3028" w14:textId="77777777" w:rsidR="00670FD4" w:rsidRPr="008C6A37" w:rsidRDefault="00670FD4" w:rsidP="00670FD4">
      <w:pPr>
        <w:ind w:firstLine="567"/>
        <w:rPr>
          <w:lang w:val="ro-RO"/>
        </w:rPr>
      </w:pPr>
      <w:r w:rsidRPr="008C6A37">
        <w:rPr>
          <w:lang w:val="ro-RO"/>
        </w:rPr>
        <w:t>Pe baza evaluării progresului realizat este posibil să se efectueze ajustări periodice ale obiectivelor, măsurilor și acțiunilor, în concordanță cu caracterul adaptiv al procesului  de management a zonei costiere.</w:t>
      </w:r>
    </w:p>
    <w:p w14:paraId="19204C7E" w14:textId="77777777" w:rsidR="00670FD4" w:rsidRPr="008C6A37" w:rsidRDefault="00670FD4" w:rsidP="00670FD4">
      <w:pPr>
        <w:ind w:firstLine="567"/>
        <w:rPr>
          <w:lang w:val="ro-RO"/>
        </w:rPr>
      </w:pPr>
      <w:r w:rsidRPr="008C6A37">
        <w:rPr>
          <w:lang w:val="ro-RO"/>
        </w:rPr>
        <w:t>Monitorizarea este privită ca un proces de colectare și analiză sistematică și continuă a informațiilor privind implementarea acțiunilor stabilite în Planul de acțiune, precum și atingerea obiectivelor identificate și a rezultatelor așteptate. Procesul de monitorizare presupune următoarele etape: identificarea indicatorilor utilizaţi; verificarea respectării termenelor; verificarea respectării costurilor implementării; descrierea / evaluarea gradului de îndeplinire a acțiunilor cuprinse în planul de acţiune; elaborarea unor concluzii cu privire la stadiul de implementare (raport de monitorizare); recomandări, acțiuni corective și furnizarea unor justificări (motivaţii).</w:t>
      </w:r>
    </w:p>
    <w:p w14:paraId="07234F13" w14:textId="77777777" w:rsidR="00670FD4" w:rsidRPr="008C6A37" w:rsidRDefault="00670FD4" w:rsidP="00670FD4">
      <w:pPr>
        <w:ind w:firstLine="567"/>
        <w:rPr>
          <w:lang w:val="ro-RO"/>
        </w:rPr>
      </w:pPr>
      <w:r w:rsidRPr="008C6A37">
        <w:rPr>
          <w:lang w:val="ro-RO"/>
        </w:rPr>
        <w:t>În prezent, în România nu există o bază de date integrată sau un inventar național integrat privind zona costieră, iar raportările pe care România, ca stat membru al UE și ca parte a Convenției Mării Negre împotriva Poluării, are obligația să le transmită Comisiei Europene (Agenției Europene de Mediu), respectiv Comisiei Mării Negre, sunt realizate prin intermediul punctelor focale naționale din cadrul Comisiei Mării Negre (respectiv biodiversitate, monitoringul și evaluarea poluării, poluare din surse provenite de pe uscat și managementul integrat al zonei costiere). Acestea, împreună cu reprezentanții autorității publice centrale în domeniul mediului care au asemenea responsabilități, raportează o serie de indicatori cheie referitori la zona românească de coastă (INCDM, 2022).</w:t>
      </w:r>
    </w:p>
    <w:p w14:paraId="709D4273" w14:textId="77777777" w:rsidR="00670FD4" w:rsidRPr="008C6A37" w:rsidRDefault="00670FD4" w:rsidP="00670FD4">
      <w:pPr>
        <w:ind w:firstLine="567"/>
        <w:rPr>
          <w:lang w:val="ro-RO"/>
        </w:rPr>
      </w:pPr>
      <w:r w:rsidRPr="008C6A37">
        <w:rPr>
          <w:lang w:val="ro-RO"/>
        </w:rPr>
        <w:t xml:space="preserve">În scopul acoperirii acestui neajuns, a fost propusă ca acțiune prioritară (acțiunea F.2), înființarea unui Observator al Zonei Costiere, în cadrul Ministerului Mediului, Apelor și Pădurilor. Acesta va funcționa ca o bază de date integrată, administrată de către STA-ZC, unde vor fi disponibile toate datele și informațiile colectate de către organizațiile responsabile cu monitorizarea stării și proceselor din zona costieră. Aceste date și informații vor fi utilizate atât în elaborarea de studii tehnice ce fundamentează deciziile CNZC, cât și pentru procesul de monitorizare, evaluare și raportare. </w:t>
      </w:r>
    </w:p>
    <w:p w14:paraId="5C0B189B" w14:textId="77777777" w:rsidR="00670FD4" w:rsidRPr="008C6A37" w:rsidRDefault="00670FD4" w:rsidP="00670FD4">
      <w:pPr>
        <w:ind w:firstLine="567"/>
        <w:rPr>
          <w:lang w:val="ro-RO"/>
        </w:rPr>
      </w:pPr>
      <w:r w:rsidRPr="008C6A37">
        <w:rPr>
          <w:lang w:val="ro-RO"/>
        </w:rPr>
        <w:t xml:space="preserve">Datele și informațiile colectate de către entitățile responsabile, în cadrul propriilor programe de monitoring, vor fi submise către Observatorul Zonei Costiere. Indicatorii de monitorizare sunt calculații folosind aceste date / informații colectate de către organizațiile responsabile, iar pe baza lor Grupul de Lucru pentru monitorizare, evaluare și raportare, din cadrul CNZC, va evalua gradul de realizare al acțiunilor cuprinse în planul de acţiune. Progresul realizat în atingerea rezultatelor așteptate prin implementarea fiecărei acțiuni este </w:t>
      </w:r>
      <w:r w:rsidRPr="008C6A37">
        <w:rPr>
          <w:lang w:val="ro-RO"/>
        </w:rPr>
        <w:lastRenderedPageBreak/>
        <w:t>evaluat, fie anual, fie la diferite intervale de timp stabilite în funcție de specificul acțiunii și de perioada de implementare a programelor de finanțare, pe baza indicatorilor definiți anterior (Anexa 1). Pe baza acestor evaluări individuale ale acțiunilor este evaluat anual progresul realizat în atingerea obiectivelor strategiei, iar concluziile sunt  prezentate în Raportul anual de monitorizare și evaluare, elaborat de către Grupul de Lucru pentru monitorizare, evaluare și raportare, ce cuprinde informații cu privire la stadiul de implementare al strategiei și, eventual, justificări ale neatingerii rezultatelor așteptate și / sau progresului insuficient în atingerea obiectivelor și recomandări pentru acțiuni corective.</w:t>
      </w:r>
    </w:p>
    <w:p w14:paraId="30BBE2A1" w14:textId="77777777" w:rsidR="00670FD4" w:rsidRDefault="00670FD4" w:rsidP="00670FD4">
      <w:pPr>
        <w:ind w:firstLine="567"/>
        <w:rPr>
          <w:lang w:val="ro-RO"/>
        </w:rPr>
      </w:pPr>
      <w:r w:rsidRPr="008C6A37">
        <w:rPr>
          <w:lang w:val="ro-RO"/>
        </w:rPr>
        <w:t>Procesul de monitorizare și evaluare trebuie să fie simplu și fluid, pentru a fundamenta îmbunătățirile și eventualele actualizări ale Strategiei și/sau ale Planului de acțiune.</w:t>
      </w:r>
    </w:p>
    <w:p w14:paraId="32F1F8AE" w14:textId="77777777" w:rsidR="00670FD4" w:rsidRPr="00A92A31" w:rsidRDefault="00670FD4" w:rsidP="00670FD4">
      <w:pPr>
        <w:spacing w:before="0"/>
        <w:ind w:firstLine="0"/>
        <w:rPr>
          <w:sz w:val="28"/>
          <w:lang w:val="ro-RO"/>
        </w:rPr>
      </w:pPr>
    </w:p>
    <w:p w14:paraId="07DDFBEA" w14:textId="77777777" w:rsidR="00670FD4" w:rsidRPr="00940876" w:rsidRDefault="00670FD4" w:rsidP="00670FD4">
      <w:pPr>
        <w:pStyle w:val="Heading2"/>
        <w:numPr>
          <w:ilvl w:val="1"/>
          <w:numId w:val="48"/>
        </w:numPr>
        <w:rPr>
          <w:sz w:val="28"/>
        </w:rPr>
      </w:pPr>
      <w:r w:rsidRPr="005D2CE5">
        <w:t xml:space="preserve"> </w:t>
      </w:r>
      <w:bookmarkStart w:id="39" w:name="_Toc150247020"/>
      <w:bookmarkStart w:id="40" w:name="_Toc171084816"/>
      <w:r w:rsidRPr="005D2CE5">
        <w:t>Instituțiile responsabile</w:t>
      </w:r>
      <w:bookmarkEnd w:id="39"/>
      <w:bookmarkEnd w:id="40"/>
      <w:r w:rsidRPr="005D2CE5">
        <w:t xml:space="preserve"> </w:t>
      </w:r>
    </w:p>
    <w:p w14:paraId="6A15E52C" w14:textId="77777777" w:rsidR="00670FD4" w:rsidRPr="008C6A37" w:rsidRDefault="00670FD4" w:rsidP="00670FD4">
      <w:pPr>
        <w:ind w:firstLine="567"/>
        <w:rPr>
          <w:lang w:val="ro-RO"/>
        </w:rPr>
      </w:pPr>
      <w:r w:rsidRPr="008C6A37">
        <w:rPr>
          <w:b/>
          <w:i/>
          <w:lang w:val="ro-RO"/>
        </w:rPr>
        <w:t>Ministerul Mediului, Apelor și Pădurilor (MMAP)</w:t>
      </w:r>
      <w:r w:rsidRPr="008C6A37">
        <w:rPr>
          <w:lang w:val="ro-RO"/>
        </w:rPr>
        <w:t xml:space="preserve"> este principala autoritate responsabilă pentru implementarea Strategiei Naționale privind g</w:t>
      </w:r>
      <w:r>
        <w:rPr>
          <w:lang w:val="ro-RO"/>
        </w:rPr>
        <w:t>ospodărire</w:t>
      </w:r>
      <w:r w:rsidRPr="008C6A37">
        <w:rPr>
          <w:lang w:val="ro-RO"/>
        </w:rPr>
        <w:t>a integrată a zonei costiere în România. Conform Anexei la Ordin 573 / 23.02.2023 privind aprobarea Regulamentului de Organizare și Funcționare al Ministerului Mediului, Apelor și Pădurilor, MMAP exercită și funcția de strategie și planificare. Conform art.16, alin. 2, al acestei Anexe, în exercitarea acestei funcții, MMAP elaborează, actualizează și coordonează aplicarea Strategiei de management integrat a zonei costiere.</w:t>
      </w:r>
    </w:p>
    <w:p w14:paraId="6505A66B" w14:textId="77777777" w:rsidR="00670FD4" w:rsidRPr="008C6A37" w:rsidRDefault="00670FD4" w:rsidP="00670FD4">
      <w:pPr>
        <w:ind w:firstLine="567"/>
        <w:rPr>
          <w:lang w:val="ro-RO"/>
        </w:rPr>
      </w:pPr>
      <w:r w:rsidRPr="008C6A37">
        <w:rPr>
          <w:b/>
          <w:i/>
          <w:lang w:val="ro-RO"/>
        </w:rPr>
        <w:t>Agențiile Județene de Protecție a Mediului Constanța și Tulcea</w:t>
      </w:r>
      <w:r w:rsidRPr="008C6A37">
        <w:rPr>
          <w:lang w:val="ro-RO"/>
        </w:rPr>
        <w:t>, instituții subordonate MMAP ce asigură implementarea politicilor, strategiilor și legislației în domeniul protecției mediului la nivel județean, emit acte de reglementare în domeniul protecției mediului, în conformitate cu competențele atribuite de către Agenția Națională pentru Protecția Mediului.</w:t>
      </w:r>
    </w:p>
    <w:p w14:paraId="24CE441E" w14:textId="77777777" w:rsidR="00670FD4" w:rsidRPr="008C6A37" w:rsidRDefault="00670FD4" w:rsidP="00670FD4">
      <w:pPr>
        <w:ind w:firstLine="567"/>
        <w:rPr>
          <w:lang w:val="ro-RO"/>
        </w:rPr>
      </w:pPr>
      <w:r w:rsidRPr="008C6A37">
        <w:rPr>
          <w:b/>
          <w:i/>
          <w:lang w:val="ro-RO"/>
        </w:rPr>
        <w:t>Administraţia Bazinală de apă Dobrogea Litoral</w:t>
      </w:r>
      <w:r w:rsidRPr="008C6A37">
        <w:rPr>
          <w:lang w:val="ro-RO"/>
        </w:rPr>
        <w:t xml:space="preserve"> </w:t>
      </w:r>
      <w:r w:rsidRPr="008C6A37">
        <w:rPr>
          <w:b/>
          <w:i/>
          <w:lang w:val="ro-RO"/>
        </w:rPr>
        <w:t>(ABADL)</w:t>
      </w:r>
      <w:r w:rsidRPr="008C6A37">
        <w:rPr>
          <w:lang w:val="ro-RO"/>
        </w:rPr>
        <w:t>, instituție ce funcționează în în subordinea Administrației Naționale ”Apele Române” – ANAR (ANAR fiind în coordonarea MMAP), este responsabilă pentru gospodărirea apelor și a infrastructurii Sistemului de Gospodărirea Apelor din porțiunea aferentă spațiului hidrografic Dobrogea-Litoral, inclusiv ape costiere și tranzitorii.</w:t>
      </w:r>
    </w:p>
    <w:p w14:paraId="1818064C" w14:textId="77777777" w:rsidR="00670FD4" w:rsidRPr="008C6A37" w:rsidRDefault="00670FD4" w:rsidP="00670FD4">
      <w:pPr>
        <w:ind w:firstLine="567"/>
        <w:rPr>
          <w:lang w:val="ro-RO"/>
        </w:rPr>
      </w:pPr>
      <w:r w:rsidRPr="008C6A37">
        <w:rPr>
          <w:b/>
          <w:i/>
          <w:lang w:val="ro-RO"/>
        </w:rPr>
        <w:t>Administrația Rezervației Biosferei Delta Dunării (ARBDD)</w:t>
      </w:r>
      <w:r w:rsidRPr="008C6A37">
        <w:rPr>
          <w:lang w:val="ro-RO"/>
        </w:rPr>
        <w:t xml:space="preserve"> este o instituție publică, cu personalitate juridică, aflată în subordinea MMAP ce asigură administrarea patrimoniul natural și cultural al rezervației și gestionarea adecvată a resurselor RBDD. </w:t>
      </w:r>
    </w:p>
    <w:p w14:paraId="6CB64B74" w14:textId="77777777" w:rsidR="00670FD4" w:rsidRPr="008C6A37" w:rsidRDefault="00670FD4" w:rsidP="00670FD4">
      <w:pPr>
        <w:ind w:firstLine="567"/>
        <w:rPr>
          <w:lang w:val="ro-RO"/>
        </w:rPr>
      </w:pPr>
      <w:r w:rsidRPr="008C6A37">
        <w:rPr>
          <w:b/>
          <w:i/>
          <w:lang w:val="ro-RO"/>
        </w:rPr>
        <w:t xml:space="preserve">Agenția Națională pentru Arii Naturale Protejate (ANANP), </w:t>
      </w:r>
      <w:r w:rsidRPr="008C6A37">
        <w:rPr>
          <w:lang w:val="ro-RO"/>
        </w:rPr>
        <w:t>instituție aflată în subordinea MMAP,  asigură suportul tehnic necesar pentru fundamentarea actelor normative, a strategiilor și politicilor privind ariile naturale protejate, la nivel național, european și internațional. Rol esențial în dezvoltarea și promovarea soluțiilor bazate pe natură (NbS) și a serviciilor ecosistemice în celelalte politici și strategii sectoriale, esențiale în combaterea și adaptarea societății și a naturii în ansamblul său la efectele schimbărilor climatice.</w:t>
      </w:r>
    </w:p>
    <w:p w14:paraId="287983AC" w14:textId="77777777" w:rsidR="00670FD4" w:rsidRPr="008C6A37" w:rsidRDefault="00670FD4" w:rsidP="00670FD4">
      <w:pPr>
        <w:ind w:firstLine="567"/>
        <w:rPr>
          <w:lang w:val="ro-RO"/>
        </w:rPr>
      </w:pPr>
      <w:r w:rsidRPr="008C6A37">
        <w:rPr>
          <w:b/>
          <w:i/>
          <w:lang w:val="ro-RO"/>
        </w:rPr>
        <w:t>Ministerul Dezvoltării, Lucrărilor Publice și Administrației</w:t>
      </w:r>
      <w:r w:rsidRPr="008C6A37">
        <w:rPr>
          <w:lang w:val="ro-RO"/>
        </w:rPr>
        <w:t xml:space="preserve"> </w:t>
      </w:r>
      <w:r w:rsidRPr="008C6A37">
        <w:rPr>
          <w:b/>
          <w:i/>
          <w:lang w:val="ro-RO"/>
        </w:rPr>
        <w:t>(MDLPA)</w:t>
      </w:r>
      <w:r w:rsidRPr="008C6A37">
        <w:rPr>
          <w:lang w:val="ro-RO"/>
        </w:rPr>
        <w:t xml:space="preserve"> este autoritatea pentru: lucrări publice, construcții, disciplina în construcții, amenajarea teritoriului, urbanism, </w:t>
      </w:r>
      <w:r w:rsidRPr="008C6A37">
        <w:rPr>
          <w:lang w:val="ro-RO"/>
        </w:rPr>
        <w:lastRenderedPageBreak/>
        <w:t>arhitectură, amenajarea spațiului maritim, mobilitate urbană, locuire, locuințe, clădiri de locuit, dezvoltare regională, coeziune și dezvoltare teritorială, cooperare transfrontalieră, transnațională și interregională, descentralizare, reformă și reorganizare administrativ-teritorială, reformă în administrația publică, funcție publică, fiscalitate locală, proceduri fiscale locale, finanțe publice locale, atestarea domeniului public al unităților administrativ-teritoriale, dezvoltarea serviciilor comunitare de utilități publice, ajutor de stat aprobat de autoritățile administrației publice locale, parcuri industriale, programarea, coordonarea, monitorizarea și controlul utilizării asistenței financiare nerambursabile acordate României de către Uniunea Europeană (UE) pentru programele din domeniile sale de activitate, precum și formarea și perfecționarea profesională a personalului din administrația publică.</w:t>
      </w:r>
    </w:p>
    <w:p w14:paraId="58BD31ED" w14:textId="77777777" w:rsidR="00670FD4" w:rsidRPr="008C6A37" w:rsidRDefault="00670FD4" w:rsidP="00670FD4">
      <w:pPr>
        <w:ind w:firstLine="567"/>
        <w:rPr>
          <w:lang w:val="ro-RO"/>
        </w:rPr>
      </w:pPr>
      <w:r w:rsidRPr="008C6A37">
        <w:rPr>
          <w:b/>
          <w:i/>
          <w:lang w:val="ro-RO"/>
        </w:rPr>
        <w:t>Ministerul Agriculturii şi Dezvoltării Rurale (MADR)</w:t>
      </w:r>
      <w:r w:rsidRPr="008C6A37">
        <w:rPr>
          <w:lang w:val="ro-RO"/>
        </w:rPr>
        <w:t xml:space="preserve"> este autoritatea responsabilă de coordonarea procesului de implementare a Politicii Agricole Comune și a Politicii Comune în domeniul Pescuitului. De asemenea, MADR responsabilă pentru problemele de adaptare şi atenuare a schimbărilor climatice în domeniile agriculturii şi dezvoltării rurale. </w:t>
      </w:r>
    </w:p>
    <w:p w14:paraId="6D314622" w14:textId="77777777" w:rsidR="00670FD4" w:rsidRPr="008C6A37" w:rsidRDefault="00670FD4" w:rsidP="00670FD4">
      <w:pPr>
        <w:ind w:firstLine="567"/>
        <w:rPr>
          <w:lang w:val="ro-RO"/>
        </w:rPr>
      </w:pPr>
      <w:r w:rsidRPr="008C6A37">
        <w:rPr>
          <w:b/>
          <w:i/>
          <w:lang w:val="ro-RO"/>
        </w:rPr>
        <w:t xml:space="preserve">Agenția Națională pentru Pescuit și Acvacultură (ANPA) </w:t>
      </w:r>
      <w:r w:rsidRPr="008C6A37">
        <w:rPr>
          <w:lang w:val="ro-RO"/>
        </w:rPr>
        <w:t>este structura care funcționează în subordinea MADR, responsabilă pentru definirea şi implementarea politicii referitoare la conservarea şi administrarea resurselor acvatice vii existente în apele maritime şi continentale, acvacultură, procesarea şi organizarea pieţei produselor pescăreşti, structurile de pescuit şi acvacultură.</w:t>
      </w:r>
    </w:p>
    <w:p w14:paraId="165C7BEB" w14:textId="77777777" w:rsidR="00670FD4" w:rsidRPr="008C6A37" w:rsidRDefault="00670FD4" w:rsidP="00670FD4">
      <w:pPr>
        <w:ind w:firstLine="567"/>
        <w:rPr>
          <w:lang w:val="ro-RO"/>
        </w:rPr>
      </w:pPr>
      <w:r w:rsidRPr="008C6A37">
        <w:rPr>
          <w:b/>
          <w:i/>
          <w:lang w:val="ro-RO"/>
        </w:rPr>
        <w:t>Ministerul Transporturilor (MT)</w:t>
      </w:r>
      <w:r w:rsidRPr="008C6A37">
        <w:rPr>
          <w:lang w:val="ro-RO"/>
        </w:rPr>
        <w:t xml:space="preserve"> este responsabil pentru toate sectoarele de transport maritim, rutier, feroviar, precum şi pentru infrastructura asociată, respectiv drumuri naționale, căi ferate și navigaţie. MT gestionează strategia, politicile și programele de investiții în transport și infrastructură, în legătură cu funcționarea coridoarelor transnaționale care conectează sistemele de transport la nivel național.</w:t>
      </w:r>
    </w:p>
    <w:p w14:paraId="750A99B2" w14:textId="77777777" w:rsidR="00670FD4" w:rsidRPr="008C6A37" w:rsidRDefault="00670FD4" w:rsidP="00670FD4">
      <w:pPr>
        <w:ind w:firstLine="567"/>
        <w:rPr>
          <w:lang w:val="ro-RO"/>
        </w:rPr>
      </w:pPr>
      <w:r w:rsidRPr="008C6A37">
        <w:rPr>
          <w:b/>
          <w:i/>
          <w:lang w:val="ro-RO"/>
        </w:rPr>
        <w:t xml:space="preserve">Autoritatea Navală Română (ANR) </w:t>
      </w:r>
      <w:r w:rsidRPr="008C6A37">
        <w:rPr>
          <w:lang w:val="ro-RO"/>
        </w:rPr>
        <w:t>este autoritatea centrală de specialitate din subordinea MT, în domeniul siguranței navigației și al securității navelor. ANR este responsabilă pentru efectuarea de controale pentru prevenirea poluărilor de la nave, monitorizarea debalastărilor, a bunkerărilor și a predării deșeurilor, precum și investigarea incidentelor de poluare de la nave.</w:t>
      </w:r>
    </w:p>
    <w:p w14:paraId="32B72BC3" w14:textId="77777777" w:rsidR="00670FD4" w:rsidRPr="008C6A37" w:rsidRDefault="00670FD4" w:rsidP="00670FD4">
      <w:pPr>
        <w:ind w:firstLine="567"/>
        <w:rPr>
          <w:lang w:val="ro-RO"/>
        </w:rPr>
      </w:pPr>
      <w:r w:rsidRPr="008C6A37">
        <w:rPr>
          <w:b/>
          <w:i/>
          <w:lang w:val="ro-RO"/>
        </w:rPr>
        <w:t xml:space="preserve">Compania Națională Administrația Porturilor Maritime SA Constanța (CN APM) </w:t>
      </w:r>
      <w:r w:rsidRPr="008C6A37">
        <w:rPr>
          <w:lang w:val="ro-RO"/>
        </w:rPr>
        <w:t>este o societate comercială pe acțiuni, desemnată de MT să desfășoare activități de interes public național, în calitate de administrație portuară. CN APM are ca responsabilități aplicarea politicilor portuare elaborate de MT, întocmirea planurilor de dezvoltare a porturilor maritime, în acord cu politica și programele de dezvoltare elaborate de MT și cu Regulamentul de exploatare a porturilor maritime, coordonarea activităților care se desfășoară în porturile maritime și implementarea programelor de dezvoltare a infrastructurilor porturilor maritime.</w:t>
      </w:r>
    </w:p>
    <w:p w14:paraId="3816B979" w14:textId="77777777" w:rsidR="00670FD4" w:rsidRPr="008C6A37" w:rsidRDefault="00670FD4" w:rsidP="00670FD4">
      <w:pPr>
        <w:ind w:firstLine="567"/>
        <w:rPr>
          <w:lang w:val="ro-RO"/>
        </w:rPr>
      </w:pPr>
      <w:r w:rsidRPr="008C6A37">
        <w:rPr>
          <w:b/>
          <w:i/>
          <w:lang w:val="ro-RO"/>
        </w:rPr>
        <w:t>Administrația Fluvială a Dunării de Jos (AFDJ) Galați</w:t>
      </w:r>
      <w:r w:rsidRPr="008C6A37">
        <w:rPr>
          <w:lang w:val="ro-RO"/>
        </w:rPr>
        <w:t xml:space="preserve"> funcționează ca regie autonomă sub autoritatea Ministerului Transporturilor, îndeplinind funcția de autoritate de căi navigabile pe sectorul românesc al Dunării.</w:t>
      </w:r>
    </w:p>
    <w:p w14:paraId="5AD6246E" w14:textId="77777777" w:rsidR="00670FD4" w:rsidRPr="008C6A37" w:rsidRDefault="00670FD4" w:rsidP="00670FD4">
      <w:pPr>
        <w:ind w:firstLine="567"/>
        <w:rPr>
          <w:lang w:val="ro-RO"/>
        </w:rPr>
      </w:pPr>
      <w:r w:rsidRPr="008C6A37">
        <w:rPr>
          <w:b/>
          <w:i/>
          <w:lang w:val="ro-RO"/>
        </w:rPr>
        <w:t>Ministerul Economiei, Antreprenoriatului și Turismului</w:t>
      </w:r>
      <w:r w:rsidRPr="008C6A37">
        <w:rPr>
          <w:lang w:val="ro-RO"/>
        </w:rPr>
        <w:t xml:space="preserve"> </w:t>
      </w:r>
      <w:r w:rsidRPr="008C6A37">
        <w:rPr>
          <w:b/>
          <w:i/>
          <w:lang w:val="ro-RO"/>
        </w:rPr>
        <w:t>(MEAT)</w:t>
      </w:r>
      <w:r w:rsidRPr="008C6A37">
        <w:rPr>
          <w:lang w:val="ro-RO"/>
        </w:rPr>
        <w:t xml:space="preserve"> este responsabil pentru politicile industriale şi economice.</w:t>
      </w:r>
    </w:p>
    <w:p w14:paraId="6440891E" w14:textId="77777777" w:rsidR="00670FD4" w:rsidRPr="008C6A37" w:rsidRDefault="00670FD4" w:rsidP="00670FD4">
      <w:pPr>
        <w:ind w:firstLine="567"/>
        <w:rPr>
          <w:lang w:val="ro-RO"/>
        </w:rPr>
      </w:pPr>
      <w:r w:rsidRPr="008C6A37">
        <w:rPr>
          <w:b/>
          <w:i/>
          <w:lang w:val="ro-RO"/>
        </w:rPr>
        <w:lastRenderedPageBreak/>
        <w:t>Camerele de Comerț, Industrie, Navigație și Agricultură Constanța și Tulcea</w:t>
      </w:r>
      <w:r w:rsidRPr="008C6A37">
        <w:rPr>
          <w:lang w:val="ro-RO"/>
        </w:rPr>
        <w:t xml:space="preserve"> sunt actori importanți în facilitarea și îmbunătățirea activităților economice din zona costieră.</w:t>
      </w:r>
    </w:p>
    <w:p w14:paraId="1AD93917" w14:textId="77777777" w:rsidR="00670FD4" w:rsidRPr="008C6A37" w:rsidRDefault="00670FD4" w:rsidP="00670FD4">
      <w:pPr>
        <w:ind w:firstLine="567"/>
        <w:rPr>
          <w:lang w:val="ro-RO"/>
        </w:rPr>
      </w:pPr>
      <w:r w:rsidRPr="008C6A37">
        <w:rPr>
          <w:b/>
          <w:i/>
          <w:lang w:val="ro-RO"/>
        </w:rPr>
        <w:t>Ministerul Cercetării, Inovării și Digitalizării (MCID)</w:t>
      </w:r>
      <w:r w:rsidRPr="008C6A37">
        <w:rPr>
          <w:lang w:val="ro-RO"/>
        </w:rPr>
        <w:t xml:space="preserve"> este autoritatea centrală care, prin Strategia Națională de Cercetare, Inovare și Specializare Inteligentă 2021-2027, oferă oportunități pentru fundamentarea științifică a acțiunilor necesare i) conservării biodiversității și resurselor din zona costieră, ii) dezvoltării sectoarelor emergente ale Economiei Albastre, iii) diminuării impactului hazardelor naturale și antropice și iv) atingerii neutralității și rezilienței climatice.</w:t>
      </w:r>
    </w:p>
    <w:p w14:paraId="1A6FDE21" w14:textId="77777777" w:rsidR="00670FD4" w:rsidRPr="008C6A37" w:rsidRDefault="00670FD4" w:rsidP="00670FD4">
      <w:pPr>
        <w:ind w:firstLine="567"/>
        <w:rPr>
          <w:lang w:val="ro-RO"/>
        </w:rPr>
      </w:pPr>
      <w:r w:rsidRPr="008C6A37">
        <w:rPr>
          <w:b/>
          <w:i/>
          <w:lang w:val="ro-RO"/>
        </w:rPr>
        <w:t>Academia Română</w:t>
      </w:r>
      <w:r w:rsidRPr="008C6A37">
        <w:rPr>
          <w:lang w:val="ro-RO"/>
        </w:rPr>
        <w:t xml:space="preserve"> susține, prin strategie, programe și institute de cercetare, cercetarea aspectelor critice ale zonei costiere. Academia Română asigură calitatea produselor și condițiilor de cercetare pentru a sprijini luarea deciziilor în domeniile și problemele de interes pe baza fundamentării științifice.</w:t>
      </w:r>
    </w:p>
    <w:p w14:paraId="50A9695C" w14:textId="77777777" w:rsidR="00670FD4" w:rsidRPr="008C6A37" w:rsidRDefault="00670FD4" w:rsidP="00670FD4">
      <w:pPr>
        <w:ind w:firstLine="567"/>
        <w:rPr>
          <w:lang w:val="ro-RO"/>
        </w:rPr>
      </w:pPr>
      <w:r w:rsidRPr="008C6A37">
        <w:rPr>
          <w:b/>
          <w:i/>
          <w:lang w:val="ro-RO"/>
        </w:rPr>
        <w:t>Institute de cercetare (INCD GeoEcoMar, INCDM Grigore Antipa și INCD Delta Dunării) și universități (Universitatea Ovidius Constanța, Universitatea din București)</w:t>
      </w:r>
      <w:r w:rsidRPr="008C6A37">
        <w:rPr>
          <w:lang w:val="ro-RO"/>
        </w:rPr>
        <w:t xml:space="preserve"> au rol în implementarea acțiunilor legate de monitorizare, cercetare-dezvoltare, inovare, educație și formare profesională prevăzute în Planul de Acțiune al Strategiei. </w:t>
      </w:r>
    </w:p>
    <w:p w14:paraId="0E3BD24E" w14:textId="77777777" w:rsidR="00670FD4" w:rsidRDefault="00670FD4" w:rsidP="00670FD4">
      <w:pPr>
        <w:ind w:firstLine="567"/>
        <w:rPr>
          <w:lang w:val="ro-RO"/>
        </w:rPr>
      </w:pPr>
      <w:r w:rsidRPr="008C6A37">
        <w:rPr>
          <w:b/>
          <w:i/>
          <w:lang w:val="ro-RO"/>
        </w:rPr>
        <w:t>Ministerul Culturii (MC)</w:t>
      </w:r>
      <w:r w:rsidRPr="008C6A37">
        <w:rPr>
          <w:lang w:val="ro-RO"/>
        </w:rPr>
        <w:t xml:space="preserve"> este responsabil pentru protejarea patrimoniului cultural și a celui imaterial prin promovarea unui cadru legislativ specific în vederea promovării eficiente și proactive a patrimoniului național, precum și prin programe și măsuri specifice privind evaluarea, restaurarea și conservarea, respectiv punerea lor în valoare și reinserția în viața comunității prin dezvoltarea de proiecte integrate și rețele de cooperare.</w:t>
      </w:r>
    </w:p>
    <w:p w14:paraId="27FFB2AF" w14:textId="77777777" w:rsidR="00670FD4" w:rsidRPr="008C6A37" w:rsidRDefault="00670FD4" w:rsidP="00670FD4">
      <w:pPr>
        <w:ind w:firstLine="567"/>
        <w:rPr>
          <w:lang w:val="ro-RO"/>
        </w:rPr>
      </w:pPr>
      <w:r w:rsidRPr="006B08EE">
        <w:rPr>
          <w:b/>
          <w:bCs/>
          <w:i/>
          <w:iCs/>
          <w:lang w:val="ro-RO"/>
        </w:rPr>
        <w:t>Ministerul Energiei</w:t>
      </w:r>
      <w:r>
        <w:rPr>
          <w:lang w:val="ro-RO"/>
        </w:rPr>
        <w:t xml:space="preserve"> are rolul de a aplica</w:t>
      </w:r>
      <w:r w:rsidRPr="0042094E">
        <w:rPr>
          <w:lang w:val="ro-RO"/>
        </w:rPr>
        <w:t xml:space="preserve"> strategia şi Programul de guvernare în</w:t>
      </w:r>
      <w:r>
        <w:rPr>
          <w:lang w:val="ro-RO"/>
        </w:rPr>
        <w:t xml:space="preserve"> </w:t>
      </w:r>
      <w:r w:rsidRPr="0042094E">
        <w:rPr>
          <w:lang w:val="ro-RO"/>
        </w:rPr>
        <w:t>domeniul energetic şi al resurselor energetice, în domeniile producţiei, transportului, distribuţiei şi</w:t>
      </w:r>
      <w:r>
        <w:rPr>
          <w:lang w:val="ro-RO"/>
        </w:rPr>
        <w:t xml:space="preserve"> </w:t>
      </w:r>
      <w:r w:rsidRPr="0042094E">
        <w:rPr>
          <w:lang w:val="ro-RO"/>
        </w:rPr>
        <w:t>furnizării energiei electrice şi termice, inclusiv a energiei din surse regenerabile/verzi, hidrogen sau</w:t>
      </w:r>
      <w:r>
        <w:rPr>
          <w:lang w:val="ro-RO"/>
        </w:rPr>
        <w:t xml:space="preserve"> </w:t>
      </w:r>
      <w:r w:rsidRPr="0042094E">
        <w:rPr>
          <w:lang w:val="ro-RO"/>
        </w:rPr>
        <w:t>alte surse alternative/neconvenţionale de energie, în domeniul exploatării, procesării, transportului,distribuţiei şi valorificării resurselor minerale energetice/hidrocarburi, on-shore sau offshore şi al</w:t>
      </w:r>
      <w:r>
        <w:rPr>
          <w:lang w:val="ro-RO"/>
        </w:rPr>
        <w:t xml:space="preserve"> </w:t>
      </w:r>
      <w:r w:rsidRPr="0042094E">
        <w:rPr>
          <w:lang w:val="ro-RO"/>
        </w:rPr>
        <w:t>pactului ecologic "Green Deal", în concordanţă cu cerinţele economiei de piaţă şi pentru stimularea</w:t>
      </w:r>
      <w:r>
        <w:rPr>
          <w:lang w:val="ro-RO"/>
        </w:rPr>
        <w:t xml:space="preserve"> </w:t>
      </w:r>
      <w:r w:rsidRPr="0042094E">
        <w:rPr>
          <w:lang w:val="ro-RO"/>
        </w:rPr>
        <w:t>iniţiativei operatorilor economici.</w:t>
      </w:r>
      <w:r>
        <w:rPr>
          <w:lang w:val="ro-RO"/>
        </w:rPr>
        <w:t xml:space="preserve"> </w:t>
      </w:r>
      <w:r w:rsidRPr="008C6A37">
        <w:rPr>
          <w:lang w:val="ro-RO"/>
        </w:rPr>
        <w:t xml:space="preserve"> </w:t>
      </w:r>
    </w:p>
    <w:p w14:paraId="1776ADD5" w14:textId="77777777" w:rsidR="00670FD4" w:rsidRPr="008C6A37" w:rsidRDefault="00670FD4" w:rsidP="00670FD4">
      <w:pPr>
        <w:ind w:firstLine="567"/>
        <w:rPr>
          <w:lang w:val="ro-RO"/>
        </w:rPr>
      </w:pPr>
      <w:r w:rsidRPr="008C6A37">
        <w:rPr>
          <w:b/>
          <w:i/>
          <w:lang w:val="ro-RO"/>
        </w:rPr>
        <w:t>Ministerul Sănătății (MS)</w:t>
      </w:r>
      <w:r w:rsidRPr="008C6A37">
        <w:rPr>
          <w:lang w:val="ro-RO"/>
        </w:rPr>
        <w:t xml:space="preserve"> este responsabil pentru promovarea sănătăţii, prevenirea îmbolnăvirilor, protejarea populației împotriva riscurilor din mediu şi îmbunătăţirea calităţii vieţii. În implementarea managementului integrat al zonei costiere, MS este responsabil cu asigurarea calității apelor de îmbăiere.</w:t>
      </w:r>
    </w:p>
    <w:p w14:paraId="3EF77814" w14:textId="77777777" w:rsidR="00670FD4" w:rsidRPr="008C6A37" w:rsidRDefault="00670FD4" w:rsidP="00670FD4">
      <w:pPr>
        <w:ind w:firstLine="567"/>
        <w:rPr>
          <w:lang w:val="ro-RO"/>
        </w:rPr>
      </w:pPr>
      <w:r w:rsidRPr="008C6A37">
        <w:rPr>
          <w:b/>
          <w:i/>
          <w:lang w:val="ro-RO"/>
        </w:rPr>
        <w:t xml:space="preserve">Ministerul Apărării Naționale (MApN)  </w:t>
      </w:r>
      <w:r w:rsidRPr="008C6A37">
        <w:rPr>
          <w:lang w:val="ro-RO"/>
        </w:rPr>
        <w:t>este organul de specialitate al administraţiei publice centrale, în subordinea Guvernului, prin care este condusă activitatea în domeniul apărării naţionale, potrivit prevederilor legii şi strategiei de securitate naţională, pentru garantarea suveranităţii, independenţei şi unităţii statului, integrităţii teritoriale a ţării şi democraţiei constituţionale</w:t>
      </w:r>
      <w:r w:rsidRPr="008C6A37">
        <w:rPr>
          <w:b/>
          <w:i/>
          <w:lang w:val="ro-RO"/>
        </w:rPr>
        <w:t xml:space="preserve">. </w:t>
      </w:r>
      <w:r w:rsidRPr="008C6A37">
        <w:rPr>
          <w:lang w:val="ro-RO"/>
        </w:rPr>
        <w:t xml:space="preserve">În managementul integrat al zonei costiere, MApN, prin </w:t>
      </w:r>
      <w:r w:rsidRPr="008C6A37">
        <w:rPr>
          <w:b/>
          <w:i/>
          <w:lang w:val="ro-RO"/>
        </w:rPr>
        <w:t>Direcția Hidrografică Maritimă (DHM)</w:t>
      </w:r>
      <w:r w:rsidRPr="008C6A37">
        <w:rPr>
          <w:lang w:val="ro-RO"/>
        </w:rPr>
        <w:t xml:space="preserve"> asigură informaţiile geospaţiale, geografice, hidrografice şi hidrometeorologice din zona maritimă a zonei costiere. </w:t>
      </w:r>
    </w:p>
    <w:p w14:paraId="36C67DD8" w14:textId="77777777" w:rsidR="00670FD4" w:rsidRPr="008C6A37" w:rsidRDefault="00670FD4" w:rsidP="00670FD4">
      <w:pPr>
        <w:ind w:firstLine="567"/>
        <w:rPr>
          <w:lang w:val="ro-RO"/>
        </w:rPr>
      </w:pPr>
      <w:r w:rsidRPr="008C6A37">
        <w:rPr>
          <w:b/>
          <w:i/>
          <w:lang w:val="ro-RO"/>
        </w:rPr>
        <w:lastRenderedPageBreak/>
        <w:t xml:space="preserve">Ministerul Afacerilor Interne (MAI), </w:t>
      </w:r>
      <w:r w:rsidRPr="008C6A37">
        <w:rPr>
          <w:lang w:val="ro-RO"/>
        </w:rPr>
        <w:t xml:space="preserve">prin Inspectoratul General pentru Situaţii de Urgenţă (IGSU), este responsabil pentru coordonarea, prevenirea şi managementul situaţiilor de urgenţă. </w:t>
      </w:r>
    </w:p>
    <w:p w14:paraId="77D6947E" w14:textId="77777777" w:rsidR="00670FD4" w:rsidRPr="008C6A37" w:rsidRDefault="00670FD4" w:rsidP="00670FD4">
      <w:pPr>
        <w:ind w:firstLine="567"/>
        <w:rPr>
          <w:lang w:val="ro-RO"/>
        </w:rPr>
      </w:pPr>
      <w:r w:rsidRPr="008C6A37">
        <w:rPr>
          <w:b/>
          <w:i/>
          <w:lang w:val="ro-RO"/>
        </w:rPr>
        <w:t>Autorități publice locale și județene (Consiliile Județene Constanța și Tulcea)</w:t>
      </w:r>
      <w:r w:rsidRPr="008C6A37">
        <w:rPr>
          <w:lang w:val="ro-RO"/>
        </w:rPr>
        <w:t xml:space="preserve"> contribuie în mod activ la realizarea obiectivelor, programelor și măsurilor din cadrul Strategiei Naționale privind g</w:t>
      </w:r>
      <w:r>
        <w:rPr>
          <w:lang w:val="ro-RO"/>
        </w:rPr>
        <w:t>ospodărir</w:t>
      </w:r>
      <w:r w:rsidRPr="008C6A37">
        <w:rPr>
          <w:lang w:val="ro-RO"/>
        </w:rPr>
        <w:t>ea integrată a zonei costiere. Autoritățile publice locale sunt responsabile pentru pregătirea și respectarea planurilor de amenajare teritorială și dezvoltare urbană, precum și a autorizației de construcție în cooperare cu alte instituții publice relevante din diferite domenii de interes public. Autoritățile locale reprezintă factorii interesați cei mai implicați în procesul de dezvoltare locală a acestei zone.</w:t>
      </w:r>
    </w:p>
    <w:p w14:paraId="7E0B9B7B" w14:textId="77777777" w:rsidR="00670FD4" w:rsidRPr="008C6A37" w:rsidRDefault="00670FD4" w:rsidP="00670FD4">
      <w:pPr>
        <w:ind w:firstLine="567"/>
        <w:rPr>
          <w:lang w:val="ro-RO"/>
        </w:rPr>
      </w:pPr>
      <w:r w:rsidRPr="008C6A37">
        <w:rPr>
          <w:b/>
          <w:i/>
          <w:lang w:val="ro-RO"/>
        </w:rPr>
        <w:t>Organizații non-guvernamentale</w:t>
      </w:r>
      <w:r w:rsidRPr="008C6A37">
        <w:rPr>
          <w:lang w:val="ro-RO"/>
        </w:rPr>
        <w:t xml:space="preserve"> sunt responsabile pentru includerea în managementul integrat al zonei costiere a problemelor referitoare la protecția zonelor naturale, biodiversității, patrimoniului cultural, peisajului și a comunităților locale.</w:t>
      </w:r>
    </w:p>
    <w:p w14:paraId="1E58CBAD" w14:textId="77777777" w:rsidR="00670FD4" w:rsidRPr="008C6A37" w:rsidRDefault="00670FD4" w:rsidP="00670FD4">
      <w:pPr>
        <w:ind w:firstLine="567"/>
        <w:rPr>
          <w:lang w:val="ro-RO"/>
        </w:rPr>
      </w:pPr>
      <w:r w:rsidRPr="008C6A37">
        <w:rPr>
          <w:lang w:val="ro-RO"/>
        </w:rPr>
        <w:t xml:space="preserve">Toate aceste instituții implicate în implementarea strategiei sunt reprezentate în </w:t>
      </w:r>
      <w:r w:rsidRPr="008C6A37">
        <w:rPr>
          <w:b/>
          <w:i/>
          <w:lang w:val="ro-RO"/>
        </w:rPr>
        <w:t>Comitetul Național al Zonei Costiere</w:t>
      </w:r>
      <w:r w:rsidRPr="008C6A37">
        <w:rPr>
          <w:lang w:val="ro-RO"/>
        </w:rPr>
        <w:t xml:space="preserve">. </w:t>
      </w:r>
    </w:p>
    <w:p w14:paraId="4F8A676A" w14:textId="77777777" w:rsidR="00670FD4" w:rsidRPr="008C6A37" w:rsidRDefault="00670FD4" w:rsidP="00670FD4">
      <w:pPr>
        <w:ind w:firstLine="567"/>
        <w:rPr>
          <w:lang w:val="ro-RO"/>
        </w:rPr>
      </w:pPr>
      <w:r w:rsidRPr="008C6A37">
        <w:rPr>
          <w:lang w:val="ro-RO"/>
        </w:rPr>
        <w:t>Pe lângă instituțiile prezentate mai sus mai sunt implicate în implementarea Strategiei Naționale privind gospodărirea integrată a zonei costiere și următoarele:</w:t>
      </w:r>
    </w:p>
    <w:p w14:paraId="0BAE36DC" w14:textId="77777777" w:rsidR="00670FD4" w:rsidRPr="008C6A37" w:rsidRDefault="00670FD4" w:rsidP="00670FD4">
      <w:pPr>
        <w:ind w:firstLine="567"/>
        <w:rPr>
          <w:lang w:val="ro-RO"/>
        </w:rPr>
      </w:pPr>
      <w:r w:rsidRPr="008C6A37">
        <w:rPr>
          <w:b/>
          <w:i/>
          <w:lang w:val="ro-RO"/>
        </w:rPr>
        <w:t xml:space="preserve">Ministerul Energiei </w:t>
      </w:r>
      <w:r w:rsidRPr="008C6A37">
        <w:rPr>
          <w:lang w:val="ro-RO"/>
        </w:rPr>
        <w:t>este organismul responsabil pentru problemele legate de energie.</w:t>
      </w:r>
    </w:p>
    <w:p w14:paraId="357B583C" w14:textId="77777777" w:rsidR="00670FD4" w:rsidRPr="008C6A37" w:rsidRDefault="00670FD4" w:rsidP="00670FD4">
      <w:pPr>
        <w:ind w:firstLine="567"/>
        <w:rPr>
          <w:lang w:val="ro-RO"/>
        </w:rPr>
      </w:pPr>
      <w:r w:rsidRPr="008C6A37">
        <w:rPr>
          <w:b/>
          <w:i/>
          <w:lang w:val="ro-RO"/>
        </w:rPr>
        <w:t xml:space="preserve">Administrația Națională de Meteorologie (ANM) </w:t>
      </w:r>
      <w:r w:rsidRPr="008C6A37">
        <w:rPr>
          <w:lang w:val="ro-RO"/>
        </w:rPr>
        <w:t>organism de drept public, responsabil cu monitorizarea evenimentelor extreme în România şi cu cercetarea meteorologică (inclusiv a schimbărilor climatice).</w:t>
      </w:r>
    </w:p>
    <w:p w14:paraId="57F4C61E" w14:textId="77777777" w:rsidR="00670FD4" w:rsidRPr="008C6A37" w:rsidRDefault="00670FD4" w:rsidP="00670FD4">
      <w:pPr>
        <w:ind w:firstLine="567"/>
        <w:rPr>
          <w:lang w:val="ro-RO"/>
        </w:rPr>
      </w:pPr>
      <w:r w:rsidRPr="008C6A37">
        <w:rPr>
          <w:b/>
          <w:i/>
          <w:lang w:val="ro-RO"/>
        </w:rPr>
        <w:t>Agenția Națională pentru resurse Minerale (ANRM)</w:t>
      </w:r>
      <w:r w:rsidRPr="008C6A37">
        <w:rPr>
          <w:lang w:val="ro-RO"/>
        </w:rPr>
        <w:t xml:space="preserve"> este autoritatea competentă abilitată să aplice dispoziţiile Legii minelor nr. 85/2003, cu modificările şi completările ulterioare. </w:t>
      </w:r>
    </w:p>
    <w:p w14:paraId="6461624F" w14:textId="77777777" w:rsidR="00670FD4" w:rsidRPr="008C6A37" w:rsidRDefault="00670FD4" w:rsidP="00670FD4">
      <w:pPr>
        <w:ind w:firstLine="567"/>
        <w:rPr>
          <w:lang w:val="ro-RO"/>
        </w:rPr>
      </w:pPr>
      <w:r w:rsidRPr="008C6A37">
        <w:rPr>
          <w:b/>
          <w:i/>
          <w:lang w:val="ro-RO"/>
        </w:rPr>
        <w:t xml:space="preserve">Garda Națională de Mediu (GNM) </w:t>
      </w:r>
      <w:r w:rsidRPr="008C6A37">
        <w:rPr>
          <w:lang w:val="ro-RO"/>
        </w:rPr>
        <w:t>este o agenție guvernamentală aflată în subordinea MMAP. GNM controlează activitățile cu impact asupra mediului înconjurător, și aplică sancțiuni contravenționale prevăzute de legislația în domeniul protecției mediului.</w:t>
      </w:r>
    </w:p>
    <w:p w14:paraId="070562BE" w14:textId="77777777" w:rsidR="00670FD4" w:rsidRDefault="00670FD4" w:rsidP="00670FD4">
      <w:pPr>
        <w:ind w:firstLine="567"/>
        <w:rPr>
          <w:lang w:val="ro-RO"/>
        </w:rPr>
      </w:pPr>
      <w:r w:rsidRPr="008C6A37">
        <w:rPr>
          <w:b/>
          <w:i/>
          <w:lang w:val="ro-RO"/>
        </w:rPr>
        <w:t xml:space="preserve">Organizațiile de Management al Destinațiilor </w:t>
      </w:r>
      <w:r w:rsidRPr="008C6A37">
        <w:rPr>
          <w:lang w:val="ro-RO"/>
        </w:rPr>
        <w:t>pot avea un rol deosebit de important în elaborarea și punerea în aplicare a strategiilor de dezvoltare și promovare a destinațiilor turistice la nivel local, județean și regional.</w:t>
      </w:r>
    </w:p>
    <w:p w14:paraId="74A9D808" w14:textId="77777777" w:rsidR="00670FD4" w:rsidRPr="00A92A31" w:rsidRDefault="00670FD4" w:rsidP="00670FD4">
      <w:pPr>
        <w:spacing w:before="0"/>
        <w:ind w:firstLine="0"/>
        <w:rPr>
          <w:sz w:val="28"/>
          <w:lang w:val="ro-RO"/>
        </w:rPr>
      </w:pPr>
    </w:p>
    <w:p w14:paraId="32D18FE9" w14:textId="77777777" w:rsidR="00670FD4" w:rsidRPr="00940876" w:rsidRDefault="00670FD4" w:rsidP="00670FD4">
      <w:pPr>
        <w:pStyle w:val="Heading2"/>
      </w:pPr>
      <w:bookmarkStart w:id="41" w:name="_Toc150247021"/>
      <w:bookmarkStart w:id="42" w:name="_Toc171084817"/>
      <w:r>
        <w:t xml:space="preserve">1.11 </w:t>
      </w:r>
      <w:r w:rsidRPr="005D2CE5">
        <w:t>Implicațiile</w:t>
      </w:r>
      <w:r w:rsidRPr="00940876">
        <w:t xml:space="preserve"> bugetare și sursele de finanțare</w:t>
      </w:r>
      <w:bookmarkEnd w:id="41"/>
      <w:bookmarkEnd w:id="42"/>
      <w:r w:rsidRPr="00940876">
        <w:t xml:space="preserve"> </w:t>
      </w:r>
    </w:p>
    <w:p w14:paraId="2C8AB1CA" w14:textId="77777777" w:rsidR="00670FD4" w:rsidRPr="008C6A37" w:rsidRDefault="00670FD4" w:rsidP="00670FD4">
      <w:pPr>
        <w:ind w:firstLine="567"/>
        <w:rPr>
          <w:lang w:val="ro-RO"/>
        </w:rPr>
      </w:pPr>
      <w:r w:rsidRPr="008C6A37">
        <w:rPr>
          <w:lang w:val="ro-RO"/>
        </w:rPr>
        <w:t xml:space="preserve">Având în vedere perioada lungă acoperită de Strategia Națională privind </w:t>
      </w:r>
      <w:r>
        <w:rPr>
          <w:lang w:val="ro-RO"/>
        </w:rPr>
        <w:t>gospodărirea</w:t>
      </w:r>
      <w:r w:rsidRPr="008C6A37">
        <w:rPr>
          <w:lang w:val="ro-RO"/>
        </w:rPr>
        <w:t xml:space="preserve"> integrată a zonei costiere, respectiv până în 2040, precum și lipsa informațiilor cu privire la configurația programelor și a axelor prioritare pentru 2028-2034, este dificil de identificat sursele de finanțare a acțiunilor propuse pentru implementarea ei, mai ales că până în 2027 pot apărea modificări în ceea ce privește contextul socio-economic general și nevoile specifice identificate la nivelul zonei costiere.</w:t>
      </w:r>
    </w:p>
    <w:p w14:paraId="5FD36B8C" w14:textId="77777777" w:rsidR="00670FD4" w:rsidRPr="008C6A37" w:rsidRDefault="00670FD4" w:rsidP="00670FD4">
      <w:pPr>
        <w:ind w:firstLine="567"/>
        <w:rPr>
          <w:lang w:val="ro-RO"/>
        </w:rPr>
      </w:pPr>
      <w:r w:rsidRPr="008C6A37">
        <w:rPr>
          <w:lang w:val="ro-RO"/>
        </w:rPr>
        <w:lastRenderedPageBreak/>
        <w:t>La finalul perioadei de programare 2021-2027, mai exact în 2030 (programele sunt eligibile până la 31.12.2029), va fi realizată o revizuire a acestei strategii pentru a se asigura corelarea cu prioritățile și sursele de finanțare viitoare, având în vedere faptul că acestea vor continua să fie principalul vector pentru realizarea de investiții la nivelul zonei costiere.</w:t>
      </w:r>
    </w:p>
    <w:p w14:paraId="4CD1B98B" w14:textId="77777777" w:rsidR="00670FD4" w:rsidRPr="008C6A37" w:rsidRDefault="00670FD4" w:rsidP="00670FD4">
      <w:pPr>
        <w:ind w:firstLine="567"/>
        <w:rPr>
          <w:lang w:val="ro-RO"/>
        </w:rPr>
      </w:pPr>
      <w:r w:rsidRPr="008C6A37">
        <w:rPr>
          <w:lang w:val="ro-RO"/>
        </w:rPr>
        <w:t>În procesul de revizuire a strategiei se va ține cont, în primul rând, de acțiunile și proiectele propuse a se implementa în actuala perioadă de programare, având în vedere următoarele aspecte:</w:t>
      </w:r>
    </w:p>
    <w:p w14:paraId="24C7E19D" w14:textId="77777777" w:rsidR="00670FD4" w:rsidRPr="008C6A37" w:rsidRDefault="00670FD4" w:rsidP="00670FD4">
      <w:pPr>
        <w:ind w:firstLine="567"/>
        <w:rPr>
          <w:lang w:val="ro-RO"/>
        </w:rPr>
      </w:pPr>
      <w:r w:rsidRPr="008C6A37">
        <w:rPr>
          <w:lang w:val="ro-RO"/>
        </w:rPr>
        <w:t>- acțiunile și proiectele care au fost propuse și nu au fost realizate în actuala perioadă de programare vor fi prioritare pentru următoarea perioadă dacă, în urma evaluării strategiei la finalul perioadei, realizate în vederea revizuirii, se constată că nevoile adresate de acestea mai sunt de actualitate și obiectivele și prioritățile la nivelul zonei costiere nu se modifică;</w:t>
      </w:r>
    </w:p>
    <w:p w14:paraId="23270EE4" w14:textId="77777777" w:rsidR="00670FD4" w:rsidRPr="008C6A37" w:rsidRDefault="00670FD4" w:rsidP="00670FD4">
      <w:pPr>
        <w:ind w:firstLine="567"/>
        <w:rPr>
          <w:lang w:val="ro-RO"/>
        </w:rPr>
      </w:pPr>
      <w:r w:rsidRPr="008C6A37">
        <w:rPr>
          <w:lang w:val="ro-RO"/>
        </w:rPr>
        <w:t>- proiectele începute odată cu implementarea strategiei și nefinalizate până la 31.12.2029 vor fi avute în vedere cu prioritate în perioada următoare de programare în vederea finalizării lor;</w:t>
      </w:r>
    </w:p>
    <w:p w14:paraId="2C7305EA" w14:textId="77777777" w:rsidR="00670FD4" w:rsidRPr="008C6A37" w:rsidRDefault="00670FD4" w:rsidP="00670FD4">
      <w:pPr>
        <w:ind w:firstLine="567"/>
        <w:rPr>
          <w:lang w:val="ro-RO"/>
        </w:rPr>
      </w:pPr>
      <w:r w:rsidRPr="008C6A37">
        <w:rPr>
          <w:lang w:val="ro-RO"/>
        </w:rPr>
        <w:t>- continuarea unor acțiuni / proiecte, care au fost începute în această perioadă de programare și se implementează în anumite unități administrativ-teritoriale, iar în perioada următoare în restul unităților administrativ-teritoriale (intervențiile în rețea – care sunt menite să rezolve o anumită problemă la nivelul întregii zone – ex. infrastructuri de mediu / de utilități, etc.);</w:t>
      </w:r>
    </w:p>
    <w:p w14:paraId="53B6A79E" w14:textId="77777777" w:rsidR="00670FD4" w:rsidRPr="008C6A37" w:rsidRDefault="00670FD4" w:rsidP="00670FD4">
      <w:pPr>
        <w:ind w:firstLine="567"/>
        <w:rPr>
          <w:lang w:val="ro-RO"/>
        </w:rPr>
      </w:pPr>
      <w:r w:rsidRPr="008C6A37">
        <w:rPr>
          <w:lang w:val="ro-RO"/>
        </w:rPr>
        <w:t>- identificarea unor proiecte corelate cu / complementare celor realizate până la 31.12.2029.</w:t>
      </w:r>
    </w:p>
    <w:p w14:paraId="2149286D" w14:textId="77777777" w:rsidR="00670FD4" w:rsidRPr="008C6A37" w:rsidRDefault="00670FD4" w:rsidP="00670FD4">
      <w:pPr>
        <w:ind w:firstLine="567"/>
        <w:rPr>
          <w:lang w:val="ro-RO"/>
        </w:rPr>
      </w:pPr>
      <w:r w:rsidRPr="008C6A37">
        <w:rPr>
          <w:lang w:val="ro-RO"/>
        </w:rPr>
        <w:t>În cadrul acestei secțiuni sunt oferite informații cu privire la sursele de finanțare pe termen scurt și mediu care ar putea fi utilizate pentru a susține implementarea acțiunilor prioritare ale strategiei.</w:t>
      </w:r>
    </w:p>
    <w:p w14:paraId="0EA090C7" w14:textId="77777777" w:rsidR="00670FD4" w:rsidRPr="008C6A37" w:rsidRDefault="00670FD4" w:rsidP="00670FD4">
      <w:pPr>
        <w:ind w:firstLine="567"/>
        <w:rPr>
          <w:b/>
          <w:i/>
          <w:lang w:val="ro-RO"/>
        </w:rPr>
      </w:pPr>
      <w:r w:rsidRPr="008C6A37">
        <w:rPr>
          <w:b/>
          <w:i/>
          <w:lang w:val="ro-RO"/>
        </w:rPr>
        <w:t>Finanțarea națională</w:t>
      </w:r>
    </w:p>
    <w:p w14:paraId="40DED817" w14:textId="77777777" w:rsidR="00670FD4" w:rsidRPr="008C6A37" w:rsidRDefault="00670FD4" w:rsidP="00670FD4">
      <w:pPr>
        <w:ind w:firstLine="567"/>
        <w:rPr>
          <w:lang w:val="ro-RO"/>
        </w:rPr>
      </w:pPr>
      <w:r w:rsidRPr="008C6A37">
        <w:rPr>
          <w:lang w:val="ro-RO"/>
        </w:rPr>
        <w:t>Schemele naționale de finanțare sunt proiectate și aprobate la nivel național în strânsă corelare cu strategiile naționale și sunt finanțate exclusiv din fonduri naționale. Scopul acestor programe este implementarea diverselor politici și priorități naționale. Implementarea și gestionarea proiectelor are loc exclusiv în România, sub responsabilitatea ministerelor/agențiilor desemnate în acest scop. Programele relevante ce pot susține financiar implementarea strategiei naționale privind g</w:t>
      </w:r>
      <w:r>
        <w:rPr>
          <w:lang w:val="ro-RO"/>
        </w:rPr>
        <w:t>ospodărire</w:t>
      </w:r>
      <w:r w:rsidRPr="008C6A37">
        <w:rPr>
          <w:lang w:val="ro-RO"/>
        </w:rPr>
        <w:t>a integrată a zonei costiere sunt:</w:t>
      </w:r>
    </w:p>
    <w:p w14:paraId="4014D43B" w14:textId="77777777" w:rsidR="00670FD4" w:rsidRPr="008C6A37" w:rsidRDefault="00670FD4" w:rsidP="00670FD4">
      <w:pPr>
        <w:numPr>
          <w:ilvl w:val="0"/>
          <w:numId w:val="10"/>
        </w:numPr>
        <w:ind w:firstLine="567"/>
        <w:rPr>
          <w:i/>
          <w:lang w:val="ro-RO"/>
        </w:rPr>
      </w:pPr>
      <w:r w:rsidRPr="008C6A37">
        <w:rPr>
          <w:i/>
          <w:lang w:val="ro-RO"/>
        </w:rPr>
        <w:t xml:space="preserve">Program vizând educaţia şi conştientizarea publicului privind protecţia mediului </w:t>
      </w:r>
      <w:r w:rsidRPr="008C6A37">
        <w:rPr>
          <w:lang w:val="ro-RO"/>
        </w:rPr>
        <w:t xml:space="preserve">este un program finanțat de către AFM, având ca principal obiectiv educaţia şi conştientizarea publicului privind protecţia mediului. O parte dintre acțiunile propuse în direcțiile de acțiune </w:t>
      </w:r>
      <w:r w:rsidRPr="008C6A37">
        <w:rPr>
          <w:i/>
          <w:lang w:val="ro-RO"/>
        </w:rPr>
        <w:t>A. Conservarea și valorificarea durabilă a patrimoniului natural și cultural</w:t>
      </w:r>
      <w:r w:rsidRPr="008C6A37">
        <w:rPr>
          <w:lang w:val="ro-RO"/>
        </w:rPr>
        <w:t xml:space="preserve">, </w:t>
      </w:r>
      <w:r w:rsidRPr="008C6A37">
        <w:rPr>
          <w:i/>
          <w:lang w:val="ro-RO"/>
        </w:rPr>
        <w:t xml:space="preserve">B. Prevenirea și limitarea/stoparea poluării </w:t>
      </w:r>
      <w:r w:rsidRPr="008C6A37">
        <w:rPr>
          <w:lang w:val="ro-RO"/>
        </w:rPr>
        <w:t xml:space="preserve">și </w:t>
      </w:r>
      <w:r w:rsidRPr="008C6A37">
        <w:rPr>
          <w:i/>
          <w:lang w:val="ro-RO"/>
        </w:rPr>
        <w:t xml:space="preserve">D. Dezvoltarea economică sustenabilă a zonei costiere </w:t>
      </w:r>
      <w:r w:rsidRPr="008C6A37">
        <w:rPr>
          <w:lang w:val="ro-RO"/>
        </w:rPr>
        <w:t>sunt eligibile pentru a fi finanțate prin acest program.</w:t>
      </w:r>
    </w:p>
    <w:p w14:paraId="7A1EA828" w14:textId="77777777" w:rsidR="00670FD4" w:rsidRPr="008C6A37" w:rsidRDefault="00670FD4" w:rsidP="00670FD4">
      <w:pPr>
        <w:numPr>
          <w:ilvl w:val="0"/>
          <w:numId w:val="10"/>
        </w:numPr>
        <w:ind w:firstLine="567"/>
        <w:rPr>
          <w:lang w:val="ro-RO"/>
        </w:rPr>
      </w:pPr>
      <w:r w:rsidRPr="008C6A37">
        <w:rPr>
          <w:i/>
          <w:lang w:val="ro-RO"/>
        </w:rPr>
        <w:t>Programul Național de Cadastru și Carte Funciară</w:t>
      </w:r>
      <w:r w:rsidRPr="008C6A37">
        <w:rPr>
          <w:lang w:val="ro-RO"/>
        </w:rPr>
        <w:t xml:space="preserve"> are un buget total de 4.050.885.000 lei – venituri proprii ANCPI, la care se adugă 1.439.393.000 lei – finanțare nerambursabilă prin proiectul major „Creşterea gradului de acoperire şi </w:t>
      </w:r>
      <w:r w:rsidRPr="008C6A37">
        <w:rPr>
          <w:lang w:val="ro-RO"/>
        </w:rPr>
        <w:lastRenderedPageBreak/>
        <w:t xml:space="preserve">incluziune a sistemului de înregistrare a proprietăţilor în zonele rurale din România”, finanțat din axa prioritară 11 din Programul Operaţional Regional 2014-2020. Instituțiile finanțatoare sunt ANCPI (coordonatoarea programului), MDLPA și CE, iar obiectivul principal al programului este înregistrarea gratuită a tuturor proprietăților din România în sistemul integrat de cadastru şi carte funciară, realizarea planului cadastral și deschiderea cărților funciare la nivelul tuturor unităților administrative teritoriale. Prin acest program pot fi finanțate unele acțiuni incluse în direcțiile de acțiune </w:t>
      </w:r>
      <w:r w:rsidRPr="008C6A37">
        <w:rPr>
          <w:i/>
          <w:lang w:val="ro-RO"/>
        </w:rPr>
        <w:t xml:space="preserve">A.  Conservarea și valorificarea durabilă a patrimoniului natural și cultural </w:t>
      </w:r>
      <w:r w:rsidRPr="008C6A37">
        <w:rPr>
          <w:lang w:val="ro-RO"/>
        </w:rPr>
        <w:t xml:space="preserve">și </w:t>
      </w:r>
      <w:r w:rsidRPr="008C6A37">
        <w:rPr>
          <w:i/>
          <w:lang w:val="ro-RO"/>
        </w:rPr>
        <w:t>E. Optimizarea cadrului instituțional și procedural al planificării spațiale în zona costieră</w:t>
      </w:r>
      <w:r w:rsidRPr="008C6A37">
        <w:rPr>
          <w:lang w:val="ro-RO"/>
        </w:rPr>
        <w:t>.</w:t>
      </w:r>
    </w:p>
    <w:p w14:paraId="052606BD" w14:textId="77777777" w:rsidR="00670FD4" w:rsidRPr="008C6A37" w:rsidRDefault="00670FD4" w:rsidP="00670FD4">
      <w:pPr>
        <w:numPr>
          <w:ilvl w:val="0"/>
          <w:numId w:val="10"/>
        </w:numPr>
        <w:ind w:firstLine="567"/>
        <w:rPr>
          <w:i/>
          <w:lang w:val="ro-RO"/>
        </w:rPr>
      </w:pPr>
      <w:r w:rsidRPr="008C6A37">
        <w:rPr>
          <w:i/>
          <w:lang w:val="ro-RO"/>
        </w:rPr>
        <w:t xml:space="preserve">Planul Național de Cercetare Dezvoltare și Inovare 2022-2027 (PNCDI IV), </w:t>
      </w:r>
      <w:r w:rsidRPr="008C6A37">
        <w:rPr>
          <w:lang w:val="ro-RO"/>
        </w:rPr>
        <w:t>aprobat în data de 29.09.2022 Planul Național de Cercetare, Dezvoltare și Inovare 2022-2027 (PNCDI IV), elaborat și administrat de către Ministerul Cercetării, Inovării și Digitalizării (MCID), principalul instrument de implementare a Strategiei Națională de Cercetare, Inovare și Specializare Inteligentă 2022-2027 (SNCISI). PNCDI IV, cu un buget total de 60 miliarde lei, urmărește crearea premiselor pentru asigurarea cadrului pentru investiții în CDI, încurajarea parteneriatelor între actorii publici și cei privați în vederea transferării rezultatelor cercetării către piață, stimularea performanței instituționale și colaborările internaționale. PNCDI IV este structurat pe 10 programe de cercetare-dezvoltare-inovare și mai multe subprograme. În vederea atingerii obiectivelor programelor și subprogramelor se pot lansa competiții de proiecte, de tip „de jos în sus” (bottom-up) sau „de sus în jos” (top-down). Prin acest plan, respectiv Programul 6 Provocări, Programul 7 Parteneriate pentru Inovare și Programul 9 Cercetare în domenii de interes strategic, pot fi finanțate acțiuni în care componenta de cercetare-dezvoltare-inovare deține o pondere importantă.</w:t>
      </w:r>
    </w:p>
    <w:p w14:paraId="1EDD2C0C" w14:textId="77777777" w:rsidR="00670FD4" w:rsidRPr="008C6A37" w:rsidRDefault="00670FD4" w:rsidP="00670FD4">
      <w:pPr>
        <w:numPr>
          <w:ilvl w:val="0"/>
          <w:numId w:val="10"/>
        </w:numPr>
        <w:ind w:firstLine="567"/>
        <w:rPr>
          <w:i/>
          <w:lang w:val="ro-RO"/>
        </w:rPr>
      </w:pPr>
      <w:r w:rsidRPr="008C6A37">
        <w:rPr>
          <w:i/>
          <w:lang w:val="ro-RO"/>
        </w:rPr>
        <w:t xml:space="preserve">Programul Național de Restaurare a Monumentelor </w:t>
      </w:r>
      <w:r w:rsidRPr="008C6A37">
        <w:rPr>
          <w:lang w:val="ro-RO"/>
        </w:rPr>
        <w:t xml:space="preserve">are ca sursă de finanțare sumele alocate de la bugetul de stat prin bugetul Ministerului Culturii și Identității Naționale. Acțiunile ce pot fi finanțate prin acest program sunt </w:t>
      </w:r>
      <w:r w:rsidRPr="008C6A37">
        <w:rPr>
          <w:i/>
          <w:lang w:val="ro-RO"/>
        </w:rPr>
        <w:t>A.1 Alcătuirea cadastrului monumentelor și siturilor arheologice, A.2 Inițierea și implementarea programelor de dezvoltare de proiecte pentru protecția, conservarea și restaurarea patrimoniului cultural existent de interes național (monumente istorice, situri, imobile sau amenajări cu valoare arhitectural urbanistică, precum și peisajele din zona costieră)</w:t>
      </w:r>
      <w:r w:rsidRPr="008C6A37">
        <w:rPr>
          <w:lang w:val="ro-RO"/>
        </w:rPr>
        <w:t xml:space="preserve"> și</w:t>
      </w:r>
      <w:r w:rsidRPr="008C6A37">
        <w:rPr>
          <w:i/>
          <w:lang w:val="ro-RO"/>
        </w:rPr>
        <w:t xml:space="preserve"> A.3 Alcătuirea cadastrului monumentelor și siturilor arheologice.</w:t>
      </w:r>
    </w:p>
    <w:p w14:paraId="25EF825B" w14:textId="77777777" w:rsidR="00670FD4" w:rsidRPr="008C6A37" w:rsidRDefault="00670FD4" w:rsidP="00670FD4">
      <w:pPr>
        <w:numPr>
          <w:ilvl w:val="0"/>
          <w:numId w:val="10"/>
        </w:numPr>
        <w:ind w:firstLine="567"/>
        <w:rPr>
          <w:i/>
          <w:lang w:val="ro-RO"/>
        </w:rPr>
      </w:pPr>
      <w:r w:rsidRPr="008C6A37">
        <w:rPr>
          <w:i/>
          <w:lang w:val="ro-RO"/>
        </w:rPr>
        <w:t xml:space="preserve">Programul Național de Investiții „Anghel Saligny” </w:t>
      </w:r>
      <w:r w:rsidRPr="008C6A37">
        <w:rPr>
          <w:lang w:val="ro-RO"/>
        </w:rPr>
        <w:t xml:space="preserve">are ca obiectiv modernizarea comunităților locale prin realizarea de investiții în infrastructura locală, drumuri județene și locale, infrastructura de apă și canalizare, stații de epurare a apei, extinderea rețelei de distribuție a gazelor naturale. Programul se desfășoară în perioada 2021-2028 având o valoare de 50 de miliarde de lei. În județele Constanța și Tulcea se finanțează cu precădere construirea, extinderea și modernizarea infrastructurii de uilități de apă, canal și drumuri </w:t>
      </w:r>
      <w:r w:rsidRPr="008C6A37">
        <w:rPr>
          <w:i/>
          <w:lang w:val="ro-RO"/>
        </w:rPr>
        <w:t>(</w:t>
      </w:r>
      <w:hyperlink r:id="rId16">
        <w:r w:rsidRPr="00BA1C09">
          <w:rPr>
            <w:rStyle w:val="Hyperlink"/>
            <w:i/>
            <w:color w:val="auto"/>
            <w:lang w:val="ro-RO"/>
          </w:rPr>
          <w:t>https://www.mdlpa.ro/pages/anghelsaligny</w:t>
        </w:r>
      </w:hyperlink>
      <w:r w:rsidRPr="00BA1C09">
        <w:rPr>
          <w:i/>
          <w:lang w:val="ro-RO"/>
        </w:rPr>
        <w:t>)</w:t>
      </w:r>
      <w:r w:rsidRPr="00BA1C09">
        <w:rPr>
          <w:lang w:val="ro-RO"/>
        </w:rPr>
        <w:t>.</w:t>
      </w:r>
      <w:r w:rsidRPr="008C6A37">
        <w:rPr>
          <w:lang w:val="ro-RO"/>
        </w:rPr>
        <w:t xml:space="preserve"> Astfel, prin acest program pot fi finanțate acțiuni din cadrul direcției de acțiune </w:t>
      </w:r>
      <w:r w:rsidRPr="008C6A37">
        <w:rPr>
          <w:i/>
          <w:lang w:val="ro-RO"/>
        </w:rPr>
        <w:t>B. Prevenirea și limitarea/stoparea poluării</w:t>
      </w:r>
      <w:r w:rsidRPr="008C6A37">
        <w:rPr>
          <w:lang w:val="ro-RO"/>
        </w:rPr>
        <w:t xml:space="preserve">. </w:t>
      </w:r>
    </w:p>
    <w:p w14:paraId="7068A729" w14:textId="77777777" w:rsidR="00670FD4" w:rsidRPr="008C6A37" w:rsidRDefault="00670FD4" w:rsidP="00670FD4">
      <w:pPr>
        <w:ind w:firstLine="567"/>
        <w:rPr>
          <w:b/>
          <w:i/>
          <w:lang w:val="ro-RO"/>
        </w:rPr>
      </w:pPr>
      <w:r w:rsidRPr="008C6A37">
        <w:rPr>
          <w:b/>
          <w:i/>
          <w:lang w:val="ro-RO"/>
        </w:rPr>
        <w:lastRenderedPageBreak/>
        <w:t>Finanțarea UE</w:t>
      </w:r>
    </w:p>
    <w:p w14:paraId="79E1C262" w14:textId="77777777" w:rsidR="00670FD4" w:rsidRPr="008C6A37" w:rsidRDefault="00670FD4" w:rsidP="00670FD4">
      <w:pPr>
        <w:ind w:firstLine="567"/>
        <w:rPr>
          <w:lang w:val="ro-RO"/>
        </w:rPr>
      </w:pPr>
      <w:r w:rsidRPr="008C6A37">
        <w:rPr>
          <w:lang w:val="ro-RO"/>
        </w:rPr>
        <w:t>Finanțarea UE constituie o altă sursă importantă de sprijin pentru implementarea Strategie naționale privind g</w:t>
      </w:r>
      <w:r>
        <w:rPr>
          <w:lang w:val="ro-RO"/>
        </w:rPr>
        <w:t>ospodărirea</w:t>
      </w:r>
      <w:r w:rsidRPr="008C6A37">
        <w:rPr>
          <w:lang w:val="ro-RO"/>
        </w:rPr>
        <w:t xml:space="preserve"> integrată a zonei costiere. Fondurile europene pot fi accesate fie prin intermediul diferitelor scheme și programe naționale aflate în gestiune partajată cu Comisia Europeană, fie prin aplicarea directă la apelurile lansate de CE. </w:t>
      </w:r>
    </w:p>
    <w:p w14:paraId="64EB186B" w14:textId="77777777" w:rsidR="00670FD4" w:rsidRPr="008C6A37" w:rsidRDefault="00670FD4" w:rsidP="00670FD4">
      <w:pPr>
        <w:ind w:firstLine="567"/>
        <w:rPr>
          <w:lang w:val="ro-RO"/>
        </w:rPr>
      </w:pPr>
      <w:r w:rsidRPr="008C6A37">
        <w:rPr>
          <w:lang w:val="ro-RO"/>
        </w:rPr>
        <w:t>În cadrul</w:t>
      </w:r>
      <w:r w:rsidRPr="008C6A37">
        <w:rPr>
          <w:b/>
          <w:i/>
          <w:lang w:val="ro-RO"/>
        </w:rPr>
        <w:t xml:space="preserve"> programelor implementate în gestiune partajată</w:t>
      </w:r>
      <w:r w:rsidRPr="008C6A37">
        <w:rPr>
          <w:lang w:val="ro-RO"/>
        </w:rPr>
        <w:t>, România a pregătit, pentru cadrul financiar 2021-2027, 16 programe, din care 8 naționale și 8 regionale, care au fost aprobate de Comisia Europeană. Dintre programele care pot contribui la implementarea strategiei naționale privind managementul integrat al zonei costiere, cele mai relevante sunt:</w:t>
      </w:r>
    </w:p>
    <w:p w14:paraId="2A14B397" w14:textId="77777777" w:rsidR="00670FD4" w:rsidRPr="008C6A37" w:rsidRDefault="00670FD4" w:rsidP="00670FD4">
      <w:pPr>
        <w:numPr>
          <w:ilvl w:val="0"/>
          <w:numId w:val="10"/>
        </w:numPr>
        <w:ind w:firstLine="567"/>
        <w:rPr>
          <w:lang w:val="ro-RO"/>
        </w:rPr>
      </w:pPr>
      <w:r w:rsidRPr="008C6A37">
        <w:rPr>
          <w:i/>
          <w:lang w:val="ro-RO"/>
        </w:rPr>
        <w:t>Programul Regional Sud-Est</w:t>
      </w:r>
      <w:r>
        <w:rPr>
          <w:lang w:val="ro-RO"/>
        </w:rPr>
        <w:t xml:space="preserve"> </w:t>
      </w:r>
      <w:r w:rsidRPr="008C6A37">
        <w:rPr>
          <w:lang w:val="ro-RO"/>
        </w:rPr>
        <w:t>are ca obiectiv general creșterea competitivității economice și îmbunătăţirea condițiilor de viață ale comunităților locale și regionale prin sprijinirea dezvoltării mediului de afaceri, a condițiilor infrastructurale și a serviciilor, care să asigure o dezvoltare sustenabilă a regiunii, capabilă să gestioneze în mod eficient resursele, să valorifice potențialul ei de inovare și de asimilare a progresului tehnologic. Prin accesarea fondurilor acestui program pot fi finanțate o serie de acțiuni propuse în prezenta strategie referitoare la i) dezvoltarea și creșterea  capacităților de cercetare și inovare și adoptarea tehnologiilor avansate (Prioritatea 1 a programului), ii) dezvoltarea infrastructurii verzi (Prioritatea 2), iii) promovarea adaptării la schimbările climatice, a prevenirii riscurilor de dezastre și a rezilienței (Prioritatea 2) și iv) promovarea dezvoltării locale integrate și incluzive în domeniul social, economic și al mediului, în domeniul culturii, a patrimoniului natural, a turismului durabil și a securității în zone urbane și alte zone decât cele urbane (Prioritatea 6 a programului);</w:t>
      </w:r>
    </w:p>
    <w:p w14:paraId="773A5EDA" w14:textId="77777777" w:rsidR="00670FD4" w:rsidRPr="008C6A37" w:rsidRDefault="00670FD4" w:rsidP="00670FD4">
      <w:pPr>
        <w:numPr>
          <w:ilvl w:val="0"/>
          <w:numId w:val="10"/>
        </w:numPr>
        <w:ind w:firstLine="567"/>
        <w:rPr>
          <w:lang w:val="ro-RO"/>
        </w:rPr>
      </w:pPr>
      <w:r w:rsidRPr="008C6A37">
        <w:rPr>
          <w:i/>
          <w:lang w:val="ro-RO"/>
        </w:rPr>
        <w:t>Programul de Dezvoltare Durabilă</w:t>
      </w:r>
      <w:r>
        <w:rPr>
          <w:lang w:val="ro-RO"/>
        </w:rPr>
        <w:t xml:space="preserve"> </w:t>
      </w:r>
      <w:r w:rsidRPr="008C6A37">
        <w:rPr>
          <w:lang w:val="ro-RO"/>
        </w:rPr>
        <w:t xml:space="preserve">are ca obiective generale: i) transformarea economiei UE într-o economie modernă, competitivă și eficientă, disociată de utilizarea resurselor, conform obiectivelor Pactului Verde European (PVE) și Planului de acțiune UE privind reducerea la zero a poluării, ca parte integrantă a PVE și ii) adaptarea la schimbările climatice prin creșterea eficienței energetice și dezvoltarea sistemelor inteligente de energie, a soluțiilor de stocare și a sistemului energetic, dar și la îmbunătățirea infrastructurii de apă și apă uzată; economia circulară; conservarea biodiversităţii; calitatea aerului; decontaminarea siturilor poluate. Prin acest program pot fi finanțate acțiuni incluse în direcțiile de acțiune </w:t>
      </w:r>
      <w:r w:rsidRPr="008C6A37">
        <w:rPr>
          <w:i/>
          <w:lang w:val="ro-RO"/>
        </w:rPr>
        <w:t>A. Conservarea și valorificarea durabilă a patrimoniului natural și cultural</w:t>
      </w:r>
      <w:r w:rsidRPr="008C6A37">
        <w:rPr>
          <w:lang w:val="ro-RO"/>
        </w:rPr>
        <w:t xml:space="preserve"> și  B</w:t>
      </w:r>
      <w:r w:rsidRPr="008C6A37">
        <w:rPr>
          <w:i/>
          <w:lang w:val="ro-RO"/>
        </w:rPr>
        <w:t xml:space="preserve">. Prevenirea și limitarea/stoparea poluării </w:t>
      </w:r>
      <w:r w:rsidRPr="008C6A37">
        <w:rPr>
          <w:lang w:val="ro-RO"/>
        </w:rPr>
        <w:t xml:space="preserve">din prezenta strategie. </w:t>
      </w:r>
    </w:p>
    <w:p w14:paraId="1555B77A" w14:textId="77777777" w:rsidR="00670FD4" w:rsidRPr="008C6A37" w:rsidRDefault="00670FD4" w:rsidP="00670FD4">
      <w:pPr>
        <w:numPr>
          <w:ilvl w:val="0"/>
          <w:numId w:val="10"/>
        </w:numPr>
        <w:ind w:firstLine="567"/>
        <w:rPr>
          <w:lang w:val="ro-RO"/>
        </w:rPr>
      </w:pPr>
      <w:r w:rsidRPr="008C6A37">
        <w:rPr>
          <w:i/>
          <w:lang w:val="ro-RO"/>
        </w:rPr>
        <w:t>Programul Educație și Ocupare</w:t>
      </w:r>
      <w:r>
        <w:rPr>
          <w:i/>
          <w:lang w:val="ro-RO"/>
        </w:rPr>
        <w:t xml:space="preserve"> </w:t>
      </w:r>
      <w:r w:rsidRPr="008C6A37">
        <w:rPr>
          <w:lang w:val="ro-RO"/>
        </w:rPr>
        <w:t xml:space="preserve">are ca obiective generale: i) optimizarea sistemelor de educație și formare pentru a răspunde cerințelor pieței muncii, concomitent cu promovarea accesului egal la educație și stimularea învățării pe tot parcursul vieții și ii) consolidarea funcționării eficiente a pieței muncii și facilitarea accesului și a participării incluzive și egale la ocupare de calitate și durabilă pentru resursa de forță de muncă. Acțiunile propuse în prezenta strategie ce pot fi finanțate prin acest program sunt cele referitoare la consolidarea capacității antreprenoriale (direcția de acțiune </w:t>
      </w:r>
      <w:r w:rsidRPr="008C6A37">
        <w:rPr>
          <w:i/>
          <w:lang w:val="ro-RO"/>
        </w:rPr>
        <w:t>D. Dezvoltarea economică sustenabilă a zonei costiere</w:t>
      </w:r>
      <w:r w:rsidRPr="008C6A37">
        <w:rPr>
          <w:lang w:val="ro-RO"/>
        </w:rPr>
        <w:t>).</w:t>
      </w:r>
    </w:p>
    <w:p w14:paraId="146C748D" w14:textId="77777777" w:rsidR="00670FD4" w:rsidRPr="008C6A37" w:rsidRDefault="00670FD4" w:rsidP="00670FD4">
      <w:pPr>
        <w:numPr>
          <w:ilvl w:val="0"/>
          <w:numId w:val="10"/>
        </w:numPr>
        <w:ind w:firstLine="567"/>
        <w:rPr>
          <w:lang w:val="ro-RO"/>
        </w:rPr>
      </w:pPr>
      <w:r w:rsidRPr="008C6A37">
        <w:rPr>
          <w:i/>
          <w:lang w:val="ro-RO"/>
        </w:rPr>
        <w:lastRenderedPageBreak/>
        <w:t>Programul Asistență Tehnică (PAT) 2021-2027</w:t>
      </w:r>
      <w:r w:rsidRPr="008C6A37">
        <w:rPr>
          <w:lang w:val="ro-RO"/>
        </w:rPr>
        <w:t xml:space="preserve"> are drept scop asigurarea sprijinului pentru un proces de implementare eficientă și eficace a fondurilor în România. Strategia PAT are în vedere recomandările specifice de țară (RST) 2019 privind îmbunătățirea calității și predictibilității procesului decizional, simplificarea procedurilor administrative, achizițiile publice, precum și cele prevăzute în RST 2020 cu privire la îmbunătățirea eficacității și calității administrației publice. În vederea atingerii unei economii neutre din punct de vedere climatic cel târziu până în 2050, PAT are în vedere susținerea intervențiilor pentru creșterea conștientizării și a capacității administrative a structurilor implicate în gestionarea programelor asistate, în vederea abordării aspectelor legate de schimbările climatice în ciclul de viață al proiectelor finanțate. Printre obiectivele strategice ale Programului se numără: întărirea capacității administrative 2021-2027 și finanțarea a 4 ITI (Investiții teritoriale integrate), printre care ITI Delta Dunării. Astfel, finanțarea oferită prin PAT poate contribui la realizarea unor acțiuni incluse în direcția de acțiune </w:t>
      </w:r>
      <w:r w:rsidRPr="008C6A37">
        <w:rPr>
          <w:i/>
          <w:lang w:val="ro-RO"/>
        </w:rPr>
        <w:t>Optimizarea cadrului instituțional și procedural al planificării spațiale în zona costieră</w:t>
      </w:r>
      <w:r w:rsidRPr="008C6A37">
        <w:rPr>
          <w:lang w:val="ro-RO"/>
        </w:rPr>
        <w:t>.</w:t>
      </w:r>
    </w:p>
    <w:p w14:paraId="1FC005AA" w14:textId="77777777" w:rsidR="00670FD4" w:rsidRPr="008C6A37" w:rsidRDefault="00670FD4" w:rsidP="00670FD4">
      <w:pPr>
        <w:numPr>
          <w:ilvl w:val="0"/>
          <w:numId w:val="10"/>
        </w:numPr>
        <w:ind w:firstLine="567"/>
        <w:rPr>
          <w:lang w:val="ro-RO"/>
        </w:rPr>
      </w:pPr>
      <w:r w:rsidRPr="008C6A37">
        <w:rPr>
          <w:i/>
          <w:lang w:val="ro-RO"/>
        </w:rPr>
        <w:t>Programul Creștere Inteligentă, Digitalizare și Instrumente Financiare</w:t>
      </w:r>
      <w:r>
        <w:rPr>
          <w:i/>
          <w:lang w:val="ro-RO"/>
        </w:rPr>
        <w:t xml:space="preserve"> </w:t>
      </w:r>
      <w:r w:rsidRPr="008C6A37">
        <w:rPr>
          <w:lang w:val="ro-RO"/>
        </w:rPr>
        <w:t>are ca obiectiv general dezvoltarea unui ecosistem Cercetare-Dezvoltare-Inovare durabil, predictibil și stabil care să conducă la creșterea/menținerea locurilor de muncă pentru cercetare, crearea unui mediu motivant/atractiv pentru tinerii cercetători, creșterea abilităților acestora pentru transferul de cunoștințe dobândite către piață și, totodată, transferul tehnologic, precum și sprijinirea IMM-urilor în vederea introducerii inovării de produs/proces/serviciu în activitatea proprie, precum și formarea personalului din cadrul acestora și din organizațiile de cercetare în domeniile specializare inteligentă, antreprenoriat și tranziție industrial</w:t>
      </w:r>
      <w:r w:rsidRPr="008C6A37">
        <w:rPr>
          <w:i/>
          <w:lang w:val="ro-RO"/>
        </w:rPr>
        <w:t xml:space="preserve">. </w:t>
      </w:r>
      <w:r w:rsidRPr="008C6A37">
        <w:rPr>
          <w:lang w:val="ro-RO"/>
        </w:rPr>
        <w:t>Prin acest program pot fi finanțate acțiunile propuse în prezenta strategie vizând componenta de cercetare, inovare și digitalizare (Prioritățile 2 și 3 ale Programului).</w:t>
      </w:r>
    </w:p>
    <w:p w14:paraId="24A60654" w14:textId="77777777" w:rsidR="00670FD4" w:rsidRPr="008C6A37" w:rsidRDefault="00670FD4" w:rsidP="00670FD4">
      <w:pPr>
        <w:numPr>
          <w:ilvl w:val="0"/>
          <w:numId w:val="10"/>
        </w:numPr>
        <w:ind w:firstLine="567"/>
        <w:rPr>
          <w:lang w:val="ro-RO"/>
        </w:rPr>
      </w:pPr>
      <w:r w:rsidRPr="008C6A37">
        <w:rPr>
          <w:i/>
          <w:lang w:val="ro-RO"/>
        </w:rPr>
        <w:t>Programul pentru Acvacultură și Pescuit</w:t>
      </w:r>
      <w:r>
        <w:rPr>
          <w:lang w:val="ro-RO"/>
        </w:rPr>
        <w:t xml:space="preserve"> </w:t>
      </w:r>
      <w:r w:rsidRPr="008C6A37">
        <w:rPr>
          <w:lang w:val="ro-RO"/>
        </w:rPr>
        <w:t xml:space="preserve">are ca obiectiv principal acoperirea disfuncționalităților pieței pescărești, nevoilor de investiții pentru dezvoltarea acesteia care pot fi sprijinite prin Fondul european pentru afaceri maritime, pescuit și acvacultură (FEAMPA) și complementaritatea programului cu alte forme de sprijin. Prin acest program pot fi finanțate acțiunile din cadrul direcției de acțiune </w:t>
      </w:r>
      <w:r w:rsidRPr="008C6A37">
        <w:rPr>
          <w:i/>
          <w:lang w:val="ro-RO"/>
        </w:rPr>
        <w:t>D. Dezvoltarea economică sustenabilă a zonei costiere</w:t>
      </w:r>
      <w:r w:rsidRPr="008C6A37">
        <w:rPr>
          <w:lang w:val="ro-RO"/>
        </w:rPr>
        <w:t>, referitoare la sectorul pescuitului și acvaculturii.</w:t>
      </w:r>
    </w:p>
    <w:p w14:paraId="104D8781" w14:textId="77777777" w:rsidR="00670FD4" w:rsidRPr="008C6A37" w:rsidRDefault="00670FD4" w:rsidP="00670FD4">
      <w:pPr>
        <w:ind w:firstLine="567"/>
        <w:rPr>
          <w:lang w:val="ro-RO"/>
        </w:rPr>
      </w:pPr>
      <w:r w:rsidRPr="008C6A37">
        <w:rPr>
          <w:b/>
          <w:i/>
          <w:lang w:val="ro-RO"/>
        </w:rPr>
        <w:t>Programele gestionate direct de către Comisia Europeană</w:t>
      </w:r>
      <w:r w:rsidRPr="008C6A37">
        <w:rPr>
          <w:lang w:val="ro-RO"/>
        </w:rPr>
        <w:t xml:space="preserve">, programe transnaționale, au ca scop punerea în aplicare a politicilor UE. Cele mai relevante dintre aceste programe pentru implementarea Strategiei naționale privind </w:t>
      </w:r>
      <w:r>
        <w:rPr>
          <w:lang w:val="ro-RO"/>
        </w:rPr>
        <w:t>gospodărirea</w:t>
      </w:r>
      <w:r w:rsidRPr="008C6A37">
        <w:rPr>
          <w:lang w:val="ro-RO"/>
        </w:rPr>
        <w:t xml:space="preserve"> integrată a zonei costiere sunt:</w:t>
      </w:r>
    </w:p>
    <w:p w14:paraId="0954222E" w14:textId="77777777" w:rsidR="00670FD4" w:rsidRPr="008C6A37" w:rsidRDefault="00670FD4" w:rsidP="00670FD4">
      <w:pPr>
        <w:numPr>
          <w:ilvl w:val="0"/>
          <w:numId w:val="10"/>
        </w:numPr>
        <w:ind w:firstLine="567"/>
        <w:rPr>
          <w:lang w:val="ro-RO"/>
        </w:rPr>
      </w:pPr>
      <w:r w:rsidRPr="008C6A37">
        <w:rPr>
          <w:i/>
          <w:lang w:val="ro-RO"/>
        </w:rPr>
        <w:t>Programul Horizon Europe</w:t>
      </w:r>
      <w:r w:rsidRPr="008C6A37">
        <w:rPr>
          <w:lang w:val="ro-RO"/>
        </w:rPr>
        <w:t xml:space="preserve"> are ca scop consolidarea bazei științifice și tehnologice a UE, inclusiv prin dezvoltarea de soluții pentru abordarea unor priorități în materie de politici precum tranziția verde și cea digitală. Programul contribuie, de asemenea, la realizarea obiectivelor de dezvoltare durabilă și stimulează competitivitatea și creșterea economică. Bugetul total al programului este de 95,5 mld. euro, din care 5,4 mld. euro provin din instrumentul Next Generation EU și de </w:t>
      </w:r>
      <w:r w:rsidRPr="008C6A37">
        <w:rPr>
          <w:lang w:val="ro-RO"/>
        </w:rPr>
        <w:lastRenderedPageBreak/>
        <w:t>completează finanțarea națională și regională a cercetării și inovării în baza a trei priorități:</w:t>
      </w:r>
    </w:p>
    <w:p w14:paraId="7BAFE8AB" w14:textId="77777777" w:rsidR="00670FD4" w:rsidRPr="008C6A37" w:rsidRDefault="00670FD4" w:rsidP="00670FD4">
      <w:pPr>
        <w:numPr>
          <w:ilvl w:val="0"/>
          <w:numId w:val="6"/>
        </w:numPr>
        <w:ind w:firstLine="567"/>
        <w:rPr>
          <w:lang w:val="ro-RO"/>
        </w:rPr>
      </w:pPr>
      <w:r w:rsidRPr="008C6A37">
        <w:rPr>
          <w:lang w:val="ro-RO"/>
        </w:rPr>
        <w:t>Excelență în știință - sprijină proiecte de cercetare de frontieră concepute și conduse de cercetători prin Consiliul European pentru Cercetare;</w:t>
      </w:r>
    </w:p>
    <w:p w14:paraId="267DDD89" w14:textId="77777777" w:rsidR="00670FD4" w:rsidRPr="008C6A37" w:rsidRDefault="00670FD4" w:rsidP="00670FD4">
      <w:pPr>
        <w:numPr>
          <w:ilvl w:val="0"/>
          <w:numId w:val="6"/>
        </w:numPr>
        <w:ind w:firstLine="567"/>
        <w:rPr>
          <w:lang w:val="ro-RO"/>
        </w:rPr>
      </w:pPr>
      <w:r w:rsidRPr="008C6A37">
        <w:rPr>
          <w:lang w:val="ro-RO"/>
        </w:rPr>
        <w:t xml:space="preserve">Provocări Globale și Competitivitate Industrială Europeană - sprijină cercetarea provocărilor societale, consolidează capacitățile tehnologice și industriale și stabilește misiuni la nivelul UE cu obiective ambițioase care abordează unele dintre cele mai mari probleme ale noastre: sănătate, schimbări climatice, energie curată, mobilitate, securitate, digital, materiale, etc.; </w:t>
      </w:r>
    </w:p>
    <w:p w14:paraId="45A89C86" w14:textId="77777777" w:rsidR="00670FD4" w:rsidRPr="008C6A37" w:rsidRDefault="00670FD4" w:rsidP="00670FD4">
      <w:pPr>
        <w:numPr>
          <w:ilvl w:val="0"/>
          <w:numId w:val="6"/>
        </w:numPr>
        <w:ind w:firstLine="567"/>
        <w:rPr>
          <w:lang w:val="ro-RO"/>
        </w:rPr>
      </w:pPr>
      <w:r w:rsidRPr="008C6A37">
        <w:rPr>
          <w:lang w:val="ro-RO"/>
        </w:rPr>
        <w:t xml:space="preserve"> Europa Inovatoare - urmărește să facă din Europa un lider în ceea ce privește inovarea care creează piață și creșterea IMM-urilor prin intermediul Consiliului European pentru Inovare, contribuind astfel la dezvoltarea peisajului european general al inovației.</w:t>
      </w:r>
    </w:p>
    <w:p w14:paraId="70898CA8" w14:textId="77777777" w:rsidR="00670FD4" w:rsidRPr="008C6A37" w:rsidRDefault="00670FD4" w:rsidP="00670FD4">
      <w:pPr>
        <w:ind w:firstLine="567"/>
        <w:rPr>
          <w:lang w:val="ro-RO"/>
        </w:rPr>
      </w:pPr>
      <w:r w:rsidRPr="008C6A37">
        <w:rPr>
          <w:lang w:val="ro-RO"/>
        </w:rPr>
        <w:t xml:space="preserve">În cadrul programului, misiunea Adaptarea la Schimbările climatice, alături de misiunea Refacerea oceanului și a apelor noastre până în anul 2030 oferă cele mai multe oportunități de finanțare. Pentru cea din urmă misiune menționată, proiectele propuse vor trebui să contribuie la atingerea obiectivelor misiunii, respectiv i) Protejarea și refacerea ecosistemelor marine și dulcicole, în concordanță cu EU Biodiversity Strategy 2030; ii) Prevenirea și stoparea poluării oceanelor, mărilor și apelor interioare; și iii) Economia albastră – carbon neutră, circulară. Astfel prin această misiune pot fi finanțate acțiuni pe termen scurt și mediu referitoare la conservarea patrimoniului natural și cultural, prevenirea și limitarea/stoparea poluării și dezvoltarea sustenabilă a zonei costiere.  </w:t>
      </w:r>
    </w:p>
    <w:p w14:paraId="67E5E9E9" w14:textId="77777777" w:rsidR="00670FD4" w:rsidRPr="008C6A37" w:rsidRDefault="00670FD4" w:rsidP="00670FD4">
      <w:pPr>
        <w:numPr>
          <w:ilvl w:val="0"/>
          <w:numId w:val="10"/>
        </w:numPr>
        <w:ind w:firstLine="567"/>
        <w:rPr>
          <w:lang w:val="ro-RO"/>
        </w:rPr>
      </w:pPr>
      <w:r w:rsidRPr="008C6A37">
        <w:rPr>
          <w:i/>
          <w:lang w:val="ro-RO"/>
        </w:rPr>
        <w:t>Programul LIFE</w:t>
      </w:r>
      <w:r w:rsidRPr="008C6A37">
        <w:rPr>
          <w:lang w:val="ro-RO"/>
        </w:rPr>
        <w:t xml:space="preserve"> este singurul program la nivel UE dedicat exclusiv mediului și schimbărilor climatice, iar etapa ce se desfășoară în intervalul 2021 - 2027 este cea mai ambițioasă de până acum. Programul face parte din Pactul Verde propus de Comisia Europeană. Proiectele care sunt cofinanțate prin EU LIFE sunt prioritare dacă încorporează soluții care se bazează pe natură și urmăresc să utilizeze și să îmbunătățească mediul natural. Proiectele sunt, de asemenea, prioritizate dacă instrumentele pe care le folosesc susțin și contribuie la politici, reducerea riscurilor, recuperarea după dezastre și reziliența pe termen lung. De aceea, fondurile UE LIFE pot fi utilizate pentru a sprijini diferite tipuri de acțiuni pentru conservarea biodiversității și de management al riscului la secetă și inundații, inclusiv activități de prevenire și activități care protejează și atenuează efectele secetei și inundațiilor.</w:t>
      </w:r>
    </w:p>
    <w:p w14:paraId="7A4B8A99" w14:textId="77777777" w:rsidR="00670FD4" w:rsidRPr="008C6A37" w:rsidRDefault="00670FD4" w:rsidP="00670FD4">
      <w:pPr>
        <w:numPr>
          <w:ilvl w:val="0"/>
          <w:numId w:val="10"/>
        </w:numPr>
        <w:ind w:firstLine="567"/>
        <w:rPr>
          <w:lang w:val="ro-RO"/>
        </w:rPr>
      </w:pPr>
      <w:r w:rsidRPr="008C6A37">
        <w:rPr>
          <w:i/>
          <w:lang w:val="ro-RO"/>
        </w:rPr>
        <w:t>Programul Piață Unică</w:t>
      </w:r>
      <w:r>
        <w:rPr>
          <w:lang w:val="ro-RO"/>
        </w:rPr>
        <w:t xml:space="preserve"> </w:t>
      </w:r>
      <w:r w:rsidRPr="008C6A37">
        <w:rPr>
          <w:lang w:val="ro-RO"/>
        </w:rPr>
        <w:t xml:space="preserve">are ca obiectiv principal îmbunătățirea funcționării pieței interne și, mai ales, să protejeze și să capaciteze cetățenii, consumatorii și mediul de afaceri prin asigurarea respectării dreptului Uniunii, prin facilitarea accesului la piețe, prin stabilirea de standarde și prin promovarea sănătății umane, a animalelor și a plantelor, precum și a bunăstării animalelor, cu respectarea totodată a principiilor dezvoltării durabile. Prin acest program pot fi finanțate acțiuni incluse în direcția de acțiune </w:t>
      </w:r>
      <w:r w:rsidRPr="008C6A37">
        <w:rPr>
          <w:i/>
          <w:lang w:val="ro-RO"/>
        </w:rPr>
        <w:t>D. Dezvoltarea economică sustenabilă a zonei costiere</w:t>
      </w:r>
      <w:r w:rsidRPr="008C6A37">
        <w:rPr>
          <w:lang w:val="ro-RO"/>
        </w:rPr>
        <w:t xml:space="preserve"> a prezentei strategii.</w:t>
      </w:r>
    </w:p>
    <w:p w14:paraId="3F11128F" w14:textId="77777777" w:rsidR="00670FD4" w:rsidRPr="008C6A37" w:rsidRDefault="00670FD4" w:rsidP="00670FD4">
      <w:pPr>
        <w:numPr>
          <w:ilvl w:val="0"/>
          <w:numId w:val="10"/>
        </w:numPr>
        <w:ind w:firstLine="567"/>
        <w:rPr>
          <w:lang w:val="ro-RO"/>
        </w:rPr>
      </w:pPr>
      <w:r w:rsidRPr="008C6A37">
        <w:rPr>
          <w:i/>
          <w:lang w:val="ro-RO"/>
        </w:rPr>
        <w:lastRenderedPageBreak/>
        <w:t>Programul InvestEU</w:t>
      </w:r>
      <w:r w:rsidRPr="008C6A37">
        <w:rPr>
          <w:lang w:val="ro-RO"/>
        </w:rPr>
        <w:t xml:space="preserve"> integrează instrumentele financiare din cadrul tuturor programelor gestionate la nivel central în UE și sprijină prin complementaritate obiectivele noilor programe. În plus, fiecare dintre celelalte programe UE stabilite pentru perioada 2021-2027 prevăd posibilitatea utilizării programului InvestEU în implementare. Anexa II la propunerea Comisiei privind Regulamentul de Instituire a programului InvestEU prezintă domeniile eligibile pentru operațiuni de finanțare și investiții acoperite de program. Acestea includ în mod specific mediul și resursele și în special: i) resursele de apă, inclusiv aprovizionarea și canalizarea, precum și infrastructura de coastă și alte infrastructuri ecologice cu privire la apă; ii) îmbunătățirea și restaurarea ecosistemelor și a serviciilor acestora; iii) dezvoltare durabilă urbană, rurală și de coastă; și iv) acțiuni privind schimbările climatice, inclusiv reducerea riscului de dezastru natural.</w:t>
      </w:r>
    </w:p>
    <w:p w14:paraId="0D01BEE9" w14:textId="77777777" w:rsidR="00670FD4" w:rsidRPr="008C6A37" w:rsidRDefault="00670FD4" w:rsidP="00670FD4">
      <w:pPr>
        <w:numPr>
          <w:ilvl w:val="0"/>
          <w:numId w:val="10"/>
        </w:numPr>
        <w:ind w:firstLine="567"/>
        <w:rPr>
          <w:i/>
          <w:lang w:val="ro-RO"/>
        </w:rPr>
      </w:pPr>
      <w:r w:rsidRPr="008C6A37">
        <w:rPr>
          <w:i/>
          <w:lang w:val="ro-RO"/>
        </w:rPr>
        <w:t>Programul pentru Promovarea Produselor Agricole (AGRIP)</w:t>
      </w:r>
      <w:r w:rsidRPr="008C6A37">
        <w:rPr>
          <w:lang w:val="ro-RO"/>
        </w:rPr>
        <w:t xml:space="preserve"> are ca unul dintre obiectivele principale creșterea gradului de conștientizare cu privire la calitățile produselor agricole ale UE și standardele înalte impuse metodelor de producție în Uniune. Astfel, prin acest program poate fi finanțată una dintre acțiunile propuse în cadrul direcției de acțiune </w:t>
      </w:r>
      <w:r w:rsidRPr="008C6A37">
        <w:rPr>
          <w:i/>
          <w:lang w:val="ro-RO"/>
        </w:rPr>
        <w:t xml:space="preserve">D. Dezvoltarea economică sustenabilă a zonei costiere, </w:t>
      </w:r>
      <w:r w:rsidRPr="008C6A37">
        <w:rPr>
          <w:lang w:val="ro-RO"/>
        </w:rPr>
        <w:t xml:space="preserve">respectiv acțiunea </w:t>
      </w:r>
      <w:r w:rsidRPr="008C6A37">
        <w:rPr>
          <w:i/>
          <w:lang w:val="ro-RO"/>
        </w:rPr>
        <w:t>D.8 Implementarea de programe de conștientizare și susținere a producătorilor agricoli privind beneficiile aplicării în  practică a noilor politici agricole.</w:t>
      </w:r>
    </w:p>
    <w:p w14:paraId="1705A4A6" w14:textId="77777777" w:rsidR="00670FD4" w:rsidRPr="008C6A37" w:rsidRDefault="00670FD4" w:rsidP="00670FD4">
      <w:pPr>
        <w:ind w:firstLine="567"/>
        <w:rPr>
          <w:lang w:val="ro-RO"/>
        </w:rPr>
      </w:pPr>
      <w:hyperlink r:id="rId17">
        <w:r w:rsidRPr="00BA1C09">
          <w:rPr>
            <w:rStyle w:val="Hyperlink"/>
            <w:b/>
            <w:i/>
            <w:color w:val="auto"/>
            <w:u w:val="none"/>
            <w:lang w:val="ro-RO"/>
          </w:rPr>
          <w:t>Planul Național de Redresare și Reziliență</w:t>
        </w:r>
      </w:hyperlink>
      <w:r w:rsidRPr="008C6A37">
        <w:rPr>
          <w:b/>
          <w:i/>
          <w:lang w:val="ro-RO"/>
        </w:rPr>
        <w:t xml:space="preserve"> </w:t>
      </w:r>
      <w:r w:rsidRPr="008C6A37">
        <w:rPr>
          <w:lang w:val="ro-RO"/>
        </w:rPr>
        <w:t>este instrumentul principal al inițiativei NextGenerationEU 800 de miliarde EUR (în prețuri curente) pentru a sprijini investițiile și reformele în întreaga UE.</w:t>
      </w:r>
      <w:r w:rsidRPr="008C6A37">
        <w:rPr>
          <w:b/>
          <w:i/>
          <w:lang w:val="ro-RO"/>
        </w:rPr>
        <w:t xml:space="preserve"> </w:t>
      </w:r>
      <w:r w:rsidRPr="008C6A37">
        <w:rPr>
          <w:lang w:val="ro-RO"/>
        </w:rPr>
        <w:t>Partea a II a acestui program cuprinde 15 componente, dintre care relevante pentru implementarea strategiei sunt;</w:t>
      </w:r>
    </w:p>
    <w:p w14:paraId="4E8A2A07" w14:textId="77777777" w:rsidR="00670FD4" w:rsidRPr="008C6A37" w:rsidRDefault="00670FD4" w:rsidP="00670FD4">
      <w:pPr>
        <w:numPr>
          <w:ilvl w:val="0"/>
          <w:numId w:val="10"/>
        </w:numPr>
        <w:ind w:firstLine="567"/>
        <w:rPr>
          <w:lang w:val="ro-RO"/>
        </w:rPr>
      </w:pPr>
      <w:r w:rsidRPr="008C6A37">
        <w:rPr>
          <w:lang w:val="ro-RO"/>
        </w:rPr>
        <w:t xml:space="preserve"> Componenta 1 – Managementul apei, are ca obiectiv asigurarea sustenabilă a apei pentru un viitor sigur al populației, mediului și economiei. Prin această componentă pot fi finanțate acțiuni aparținând direcției de acțiune </w:t>
      </w:r>
      <w:r w:rsidRPr="008C6A37">
        <w:rPr>
          <w:i/>
          <w:lang w:val="ro-RO"/>
        </w:rPr>
        <w:t>B. Prevenirea și limitarea/stoparea poluării</w:t>
      </w:r>
      <w:r w:rsidRPr="008C6A37">
        <w:rPr>
          <w:lang w:val="ro-RO"/>
        </w:rPr>
        <w:t xml:space="preserve"> (acțiuni referitoare la îmbunătățirea sistemului de colectare și epurare a apelor uzate);</w:t>
      </w:r>
    </w:p>
    <w:p w14:paraId="257B3173" w14:textId="77777777" w:rsidR="00670FD4" w:rsidRPr="008C6A37" w:rsidRDefault="00670FD4" w:rsidP="00670FD4">
      <w:pPr>
        <w:numPr>
          <w:ilvl w:val="0"/>
          <w:numId w:val="10"/>
        </w:numPr>
        <w:ind w:firstLine="567"/>
        <w:rPr>
          <w:lang w:val="ro-RO"/>
        </w:rPr>
      </w:pPr>
      <w:r w:rsidRPr="008C6A37">
        <w:rPr>
          <w:lang w:val="ro-RO"/>
        </w:rPr>
        <w:t xml:space="preserve">Componenta 2- Păduri și protecția biodiversității, are ca scop principal armonizarea practicilor de management forestier cu cele privind conservarea biodiversității și protejarea mediului în contextul generat de Pactul Verde European și asigurarea tranziției către o Europă neutră din punct de vedere climatic prin crearea de noi suprafețe acoperite cu păduri și refacerea habitatelor degradate. Prin această componentă pot fi finanțate acțiuni aparținând direcției de acțiune </w:t>
      </w:r>
      <w:r w:rsidRPr="008C6A37">
        <w:rPr>
          <w:i/>
          <w:lang w:val="ro-RO"/>
        </w:rPr>
        <w:t>A. Conservarea și valorificarea durabilă a patrimoniului natural și cultural</w:t>
      </w:r>
      <w:r w:rsidRPr="008C6A37">
        <w:rPr>
          <w:lang w:val="ro-RO"/>
        </w:rPr>
        <w:t>;</w:t>
      </w:r>
    </w:p>
    <w:p w14:paraId="0224D9A1" w14:textId="77777777" w:rsidR="00670FD4" w:rsidRPr="008C6A37" w:rsidRDefault="00670FD4" w:rsidP="00670FD4">
      <w:pPr>
        <w:numPr>
          <w:ilvl w:val="0"/>
          <w:numId w:val="10"/>
        </w:numPr>
        <w:ind w:firstLine="567"/>
        <w:rPr>
          <w:lang w:val="ro-RO"/>
        </w:rPr>
      </w:pPr>
      <w:r w:rsidRPr="008C6A37">
        <w:rPr>
          <w:lang w:val="ro-RO"/>
        </w:rPr>
        <w:t>Componenta 3 – Managementul deșeurilor</w:t>
      </w:r>
      <w:r>
        <w:rPr>
          <w:lang w:val="ro-RO"/>
        </w:rPr>
        <w:t xml:space="preserve"> </w:t>
      </w:r>
      <w:r w:rsidRPr="008C6A37">
        <w:rPr>
          <w:lang w:val="ro-RO"/>
        </w:rPr>
        <w:t xml:space="preserve">are ca obiectiv accelerarea procesului de extindere și modernizare a sistemelor de gestionare a deșeurilor în România cu accent pe colectarea separată, măsuri de prevenție, reducere, reutilizare și valorificare în vederea conformării cu directivele aplicabile și tranziției la economia circulară. Prin această componentă pot fi finanțate acțiuni aparținând direcției de acțiune </w:t>
      </w:r>
      <w:r w:rsidRPr="008C6A37">
        <w:rPr>
          <w:i/>
          <w:lang w:val="ro-RO"/>
        </w:rPr>
        <w:t>B. Prevenirea și limitarea/stoparea poluării</w:t>
      </w:r>
      <w:r w:rsidRPr="008C6A37">
        <w:rPr>
          <w:lang w:val="ro-RO"/>
        </w:rPr>
        <w:t>;</w:t>
      </w:r>
    </w:p>
    <w:p w14:paraId="5ABDA897" w14:textId="77777777" w:rsidR="00670FD4" w:rsidRPr="008C6A37" w:rsidRDefault="00670FD4" w:rsidP="00670FD4">
      <w:pPr>
        <w:numPr>
          <w:ilvl w:val="0"/>
          <w:numId w:val="10"/>
        </w:numPr>
        <w:ind w:firstLine="567"/>
        <w:rPr>
          <w:lang w:val="ro-RO"/>
        </w:rPr>
      </w:pPr>
      <w:r w:rsidRPr="008C6A37">
        <w:rPr>
          <w:lang w:val="ro-RO"/>
        </w:rPr>
        <w:lastRenderedPageBreak/>
        <w:t>Componenta 4 – Transport sustenabil;</w:t>
      </w:r>
    </w:p>
    <w:p w14:paraId="38F97E0D" w14:textId="77777777" w:rsidR="00670FD4" w:rsidRPr="008C6A37" w:rsidRDefault="00670FD4" w:rsidP="00670FD4">
      <w:pPr>
        <w:numPr>
          <w:ilvl w:val="0"/>
          <w:numId w:val="10"/>
        </w:numPr>
        <w:ind w:firstLine="567"/>
        <w:rPr>
          <w:lang w:val="ro-RO"/>
        </w:rPr>
      </w:pPr>
      <w:r w:rsidRPr="008C6A37">
        <w:rPr>
          <w:lang w:val="ro-RO"/>
        </w:rPr>
        <w:t>Componenta 6 – Energie;</w:t>
      </w:r>
    </w:p>
    <w:p w14:paraId="5665975B" w14:textId="77777777" w:rsidR="00670FD4" w:rsidRPr="008C6A37" w:rsidRDefault="00670FD4" w:rsidP="00670FD4">
      <w:pPr>
        <w:numPr>
          <w:ilvl w:val="0"/>
          <w:numId w:val="10"/>
        </w:numPr>
        <w:ind w:firstLine="567"/>
        <w:rPr>
          <w:lang w:val="ro-RO"/>
        </w:rPr>
      </w:pPr>
      <w:r w:rsidRPr="008C6A37">
        <w:rPr>
          <w:lang w:val="ro-RO"/>
        </w:rPr>
        <w:t>Componenta 10 – Fondul Local;</w:t>
      </w:r>
    </w:p>
    <w:p w14:paraId="126C67B6" w14:textId="77777777" w:rsidR="00670FD4" w:rsidRPr="008C6A37" w:rsidRDefault="00670FD4" w:rsidP="00670FD4">
      <w:pPr>
        <w:numPr>
          <w:ilvl w:val="0"/>
          <w:numId w:val="10"/>
        </w:numPr>
        <w:ind w:firstLine="567"/>
        <w:rPr>
          <w:lang w:val="ro-RO"/>
        </w:rPr>
      </w:pPr>
      <w:r w:rsidRPr="008C6A37">
        <w:rPr>
          <w:lang w:val="ro-RO"/>
        </w:rPr>
        <w:t xml:space="preserve">Componenta 11 – Turism și Cultură. </w:t>
      </w:r>
    </w:p>
    <w:p w14:paraId="63D368F0" w14:textId="77777777" w:rsidR="00670FD4" w:rsidRPr="008C6A37" w:rsidRDefault="00670FD4" w:rsidP="00670FD4">
      <w:pPr>
        <w:ind w:firstLine="567"/>
        <w:rPr>
          <w:b/>
          <w:i/>
          <w:lang w:val="ro-RO"/>
        </w:rPr>
      </w:pPr>
      <w:r w:rsidRPr="008C6A37">
        <w:rPr>
          <w:b/>
          <w:i/>
          <w:lang w:val="ro-RO"/>
        </w:rPr>
        <w:t>Programe de Cooperare teritorială</w:t>
      </w:r>
    </w:p>
    <w:p w14:paraId="406DA564" w14:textId="77777777" w:rsidR="00670FD4" w:rsidRPr="008C6A37" w:rsidRDefault="00670FD4" w:rsidP="00670FD4">
      <w:pPr>
        <w:numPr>
          <w:ilvl w:val="0"/>
          <w:numId w:val="10"/>
        </w:numPr>
        <w:ind w:firstLine="567"/>
        <w:rPr>
          <w:lang w:val="ro-RO"/>
        </w:rPr>
      </w:pPr>
      <w:r w:rsidRPr="008C6A37">
        <w:rPr>
          <w:i/>
          <w:lang w:val="ro-RO"/>
        </w:rPr>
        <w:t xml:space="preserve">Programul de cooperare ESPON 2030, Rețeaua europeană de observare a dezvoltării și coeziunii teritoriale, </w:t>
      </w:r>
      <w:r w:rsidRPr="008C6A37">
        <w:rPr>
          <w:lang w:val="ro-RO"/>
        </w:rPr>
        <w:t>a fost aprobat de către Comisia Europeană la începutul lunii iulie 2022. ESPON este un program finanțat din fonduri europene care oferă expertiză de calitate autorităților publice responsabile cu elaborarea politicilor teritoriale, deci poate fi o sursă de finanțare pentru direcția de acțiune</w:t>
      </w:r>
      <w:r w:rsidRPr="008C6A37">
        <w:rPr>
          <w:i/>
          <w:lang w:val="ro-RO"/>
        </w:rPr>
        <w:t xml:space="preserve"> Optimizarea cadrului instituțional și procedural al planificării spațiale în zona costieră.</w:t>
      </w:r>
    </w:p>
    <w:p w14:paraId="496EBDE0" w14:textId="77777777" w:rsidR="00670FD4" w:rsidRPr="008C6A37" w:rsidRDefault="00670FD4" w:rsidP="00670FD4">
      <w:pPr>
        <w:numPr>
          <w:ilvl w:val="0"/>
          <w:numId w:val="10"/>
        </w:numPr>
        <w:ind w:firstLine="567"/>
        <w:rPr>
          <w:i/>
          <w:lang w:val="ro-RO"/>
        </w:rPr>
      </w:pPr>
      <w:r w:rsidRPr="008C6A37">
        <w:rPr>
          <w:i/>
          <w:lang w:val="ro-RO"/>
        </w:rPr>
        <w:t xml:space="preserve">Program Interreg Interact IV 2021-2027 </w:t>
      </w:r>
      <w:r w:rsidRPr="008C6A37">
        <w:rPr>
          <w:lang w:val="ro-RO"/>
        </w:rPr>
        <w:t>este un program pentru întreaga UE și țările asociate</w:t>
      </w:r>
      <w:r>
        <w:rPr>
          <w:lang w:val="ro-RO"/>
        </w:rPr>
        <w:t xml:space="preserve">. </w:t>
      </w:r>
      <w:r w:rsidRPr="008C6A37">
        <w:rPr>
          <w:lang w:val="ro-RO"/>
        </w:rPr>
        <w:t>Având printre obiective i)  Întărirea capacității de a lucra în programe și context de cooperare și ii) Consolidarea capacității de a integra și comunica rezultatele programelor și proiectelor și de a crește vizibilitatea, prin acest program poate fi finanțată acțiunea</w:t>
      </w:r>
      <w:r w:rsidRPr="008C6A37">
        <w:rPr>
          <w:i/>
          <w:lang w:val="ro-RO"/>
        </w:rPr>
        <w:t xml:space="preserve"> E.1 Crearea unui cadru coerent, integrat și sinergic de planificare spațială specific pentru teritoriul transfrontalier și regional.</w:t>
      </w:r>
    </w:p>
    <w:p w14:paraId="38771E55" w14:textId="77777777" w:rsidR="00670FD4" w:rsidRPr="008C6A37" w:rsidRDefault="00670FD4" w:rsidP="00670FD4">
      <w:pPr>
        <w:numPr>
          <w:ilvl w:val="0"/>
          <w:numId w:val="10"/>
        </w:numPr>
        <w:ind w:firstLine="567"/>
        <w:rPr>
          <w:lang w:val="ro-RO"/>
        </w:rPr>
      </w:pPr>
      <w:bookmarkStart w:id="43" w:name="_Hlk150377331"/>
      <w:r w:rsidRPr="008C6A37">
        <w:rPr>
          <w:i/>
          <w:lang w:val="ro-RO"/>
        </w:rPr>
        <w:t xml:space="preserve">Programul INTERREG EUROPE 2021-2027 </w:t>
      </w:r>
      <w:bookmarkEnd w:id="43"/>
      <w:r w:rsidRPr="008C6A37">
        <w:rPr>
          <w:lang w:val="ro-RO"/>
        </w:rPr>
        <w:t>sprijină o bună guvernare a cooperării prin: Îmbunătățirea implementării politicilor de dezvoltare regionale și a Investițiilor pentru ocuparea forței de muncă și creștere economică, promovarea schimbului de experiență, abordărilor inovatoare și consolidarea capacităților în legătură cu identificarea, diseminarea și transferul de bune practici în rândul actorilor din politica regională. Fondul European de Dezvoltare Regională (FEDR) alături de fonduri specifice norvegiene și elvețiene finanțează instituții publice și organisme de drept public (85%) și organisme private non-profit (75%). Programul are 6 priorități majore, cu arii specifice de finanțare: SMART (capacitatea de inovare și cercetare, digitalizare, creșterea competitivității IMM-urilor, S3 – industrie și antreprenoriat, conectivitate digitală), GREEN (VERDE) (eficiență energetică, energie regenerabilă, sisteme energetice inteligente, schimbări climatice, managementul apei, economia circulară, natură și biodiversitate, mobilitate urbană carbon neutră), CONECTIVITATE (TEN-T sustenabil, mobilitate sustenabilă), SOCIAL (forța de muncă, educație, incluziune socială, sănătate, cultură și turism sustenabile), CETĂȚENI (dezvoltare urbană și non-urbană integrate), GUVERNANȚĂ (politici de guvernare). Adresându-se unui spectru larg de tematici și problematici, programul poate fi accesat atât de autorități, cât și de mediul privat (SME-uri), public, ONG-uri pentru sprijinirea implementării majorității acțiunilor prezentei strategii.</w:t>
      </w:r>
    </w:p>
    <w:p w14:paraId="4CD36231" w14:textId="77777777" w:rsidR="00670FD4" w:rsidRPr="008C6A37" w:rsidRDefault="00670FD4" w:rsidP="00670FD4">
      <w:pPr>
        <w:numPr>
          <w:ilvl w:val="0"/>
          <w:numId w:val="10"/>
        </w:numPr>
        <w:ind w:firstLine="567"/>
        <w:rPr>
          <w:lang w:val="ro-RO"/>
        </w:rPr>
      </w:pPr>
      <w:r w:rsidRPr="008C6A37">
        <w:rPr>
          <w:i/>
          <w:lang w:val="ro-RO"/>
        </w:rPr>
        <w:t>Programul Interreg URBACT IV 2021 – 2027</w:t>
      </w:r>
      <w:r>
        <w:rPr>
          <w:lang w:val="ro-RO"/>
        </w:rPr>
        <w:t xml:space="preserve"> </w:t>
      </w:r>
      <w:r w:rsidRPr="008C6A37">
        <w:rPr>
          <w:lang w:val="ro-RO"/>
        </w:rPr>
        <w:t xml:space="preserve">are ca obiectiv o mai bună guvernanță a cooperării referitor la planurile de investiții Inovatoare Urbane (UIA), vizibilitatea lor si implementarea în politicile urbane locale, regionale, naționale și europene (în cadrul Inițiativei Urbane Europene și Agendei Urbane pentru UE). Poate </w:t>
      </w:r>
      <w:r w:rsidRPr="008C6A37">
        <w:rPr>
          <w:lang w:val="ro-RO"/>
        </w:rPr>
        <w:lastRenderedPageBreak/>
        <w:t xml:space="preserve">fi accesat de către autorități în vederea implementării acțiunilor strategiei incluse în direcția de </w:t>
      </w:r>
      <w:r w:rsidRPr="008C6A37">
        <w:rPr>
          <w:i/>
          <w:lang w:val="ro-RO"/>
        </w:rPr>
        <w:t>acțiune Consolidarea sistemului de management integrat al zonei costiere</w:t>
      </w:r>
      <w:r w:rsidRPr="008C6A37">
        <w:rPr>
          <w:lang w:val="ro-RO"/>
        </w:rPr>
        <w:t>.</w:t>
      </w:r>
    </w:p>
    <w:p w14:paraId="646ADE4C" w14:textId="77777777" w:rsidR="00670FD4" w:rsidRPr="00001E02" w:rsidRDefault="00670FD4" w:rsidP="00670FD4">
      <w:pPr>
        <w:numPr>
          <w:ilvl w:val="0"/>
          <w:numId w:val="10"/>
        </w:numPr>
        <w:ind w:firstLine="567"/>
        <w:rPr>
          <w:i/>
          <w:lang w:val="ro-RO"/>
        </w:rPr>
      </w:pPr>
      <w:bookmarkStart w:id="44" w:name="_Hlk150379349"/>
      <w:r w:rsidRPr="008C6A37">
        <w:rPr>
          <w:i/>
          <w:lang w:val="ro-RO"/>
        </w:rPr>
        <w:t>Programul (Interreg VI-B) NEXT Bazinul Mării Negre</w:t>
      </w:r>
      <w:bookmarkEnd w:id="44"/>
      <w:r>
        <w:rPr>
          <w:i/>
          <w:lang w:val="ro-RO"/>
        </w:rPr>
        <w:t xml:space="preserve"> </w:t>
      </w:r>
      <w:r w:rsidRPr="00001E02">
        <w:rPr>
          <w:lang w:val="ro-RO"/>
        </w:rPr>
        <w:t xml:space="preserve">își propune să rămână o platformă în care legăturile dintre țările participante sunt consolidate și sunt create altele noi și unde actorii regionali se reunesc și contribuie la o gestionare durabilă a resurselor în beneficiul cetățenilor locali. Programul are ca obiective generale: i) Dezvoltarea și consolidarea capacităților de cercetare și inovare; ii) Promovarea adaptării la schimbările climatice și a prevenirii riscurilor de dezastre; iii) Îmbunătățirea protecției și conservării naturii, a biodiversității și a infrastructurii verzi. Prin accesarea acestui program pot fi finanțate acțiuni incluse în direcțiile de acțiune </w:t>
      </w:r>
      <w:r w:rsidRPr="00001E02">
        <w:rPr>
          <w:i/>
          <w:lang w:val="ro-RO"/>
        </w:rPr>
        <w:t xml:space="preserve">C.  Prevenirea, controlul și remedierea impacturilor generate de hazardele naturale și antropice </w:t>
      </w:r>
      <w:r w:rsidRPr="00001E02">
        <w:rPr>
          <w:lang w:val="ro-RO"/>
        </w:rPr>
        <w:t xml:space="preserve">și A. </w:t>
      </w:r>
      <w:r w:rsidRPr="00001E02">
        <w:rPr>
          <w:i/>
          <w:lang w:val="ro-RO"/>
        </w:rPr>
        <w:t>Conservarea și valorificarea durabilă a patrimoniului natural și cultural.</w:t>
      </w:r>
    </w:p>
    <w:p w14:paraId="72DEE40C" w14:textId="77777777" w:rsidR="00670FD4" w:rsidRPr="008C6A37" w:rsidRDefault="00670FD4" w:rsidP="00670FD4">
      <w:pPr>
        <w:ind w:firstLine="567"/>
        <w:rPr>
          <w:lang w:val="ro-RO"/>
        </w:rPr>
      </w:pPr>
      <w:r w:rsidRPr="008C6A37">
        <w:rPr>
          <w:b/>
          <w:i/>
          <w:lang w:val="ro-RO"/>
        </w:rPr>
        <w:t>Politica Agricolă Comună 2023-2027</w:t>
      </w:r>
      <w:r w:rsidRPr="008C6A37">
        <w:rPr>
          <w:lang w:val="ro-RO"/>
        </w:rPr>
        <w:t xml:space="preserve"> (PAC 2023-2027) este un instrument de bază pentru atingerea obiectivelor ambițioase ale </w:t>
      </w:r>
      <w:hyperlink r:id="rId18">
        <w:r w:rsidRPr="00BA1C09">
          <w:rPr>
            <w:rStyle w:val="Hyperlink"/>
            <w:color w:val="auto"/>
            <w:u w:val="none"/>
            <w:lang w:val="ro-RO"/>
          </w:rPr>
          <w:t>Strategiei „De la fermă la consumator”</w:t>
        </w:r>
      </w:hyperlink>
      <w:r w:rsidRPr="00BA1C09">
        <w:rPr>
          <w:lang w:val="ro-RO"/>
        </w:rPr>
        <w:t xml:space="preserve"> și ale </w:t>
      </w:r>
      <w:hyperlink r:id="rId19">
        <w:r w:rsidRPr="00BA1C09">
          <w:rPr>
            <w:rStyle w:val="Hyperlink"/>
            <w:color w:val="auto"/>
            <w:u w:val="none"/>
            <w:lang w:val="ro-RO"/>
          </w:rPr>
          <w:t>Strategiei privind biodiversitatea</w:t>
        </w:r>
      </w:hyperlink>
      <w:r w:rsidRPr="00BA1C09">
        <w:rPr>
          <w:lang w:val="ro-RO"/>
        </w:rPr>
        <w:t xml:space="preserve">. </w:t>
      </w:r>
      <w:r w:rsidRPr="008C6A37">
        <w:rPr>
          <w:lang w:val="ro-RO"/>
        </w:rPr>
        <w:t>PAC 2023-2027 este o politică modernizată, cu un accent puternic pe rezultate și performanță și se axează pe zece obiective specifice, legate de obiectivele comune ale UE în materie de sustenabilitate socială, de mediu și economică în agricultură și în zonele rurale. Punerea în aplicare a PAC se realizează prin Planul strategic național care are ca obiectiv general dezvoltarea unui sector agricol rezilient și durabil prin creșterea viabilității economice a fermelor, reducerea disparităților în materie de venituri între ferme și creșterea orientării spre piață și a competitivității sectorului agricol. Totodată, acest plan îi va sprijini pe fermierii care contribuie la protecția mediului și la asigurarea unei dezvoltări socio-economice coerente a zonelor rurale. rin accesarea fonduri</w:t>
      </w:r>
      <w:r>
        <w:rPr>
          <w:lang w:val="ro-RO"/>
        </w:rPr>
        <w:t>lor PAC</w:t>
      </w:r>
      <w:r w:rsidRPr="008C6A37">
        <w:rPr>
          <w:lang w:val="ro-RO"/>
        </w:rPr>
        <w:t xml:space="preserve"> pot fi finanțate acțiuni incluse în direcțiile de acțiune  </w:t>
      </w:r>
      <w:r w:rsidRPr="008C6A37">
        <w:rPr>
          <w:i/>
          <w:lang w:val="ro-RO"/>
        </w:rPr>
        <w:t xml:space="preserve">C.  Prevenirea, controlul și remedierea impacturilor generate de hazardele naturale și antropice </w:t>
      </w:r>
      <w:r w:rsidRPr="008C6A37">
        <w:rPr>
          <w:lang w:val="ro-RO"/>
        </w:rPr>
        <w:t xml:space="preserve">și </w:t>
      </w:r>
      <w:r w:rsidRPr="008C6A37">
        <w:rPr>
          <w:i/>
          <w:lang w:val="ro-RO"/>
        </w:rPr>
        <w:t>D. Dezvoltarea economică sustenabilă a zonei costiere.</w:t>
      </w:r>
    </w:p>
    <w:p w14:paraId="6BDF836A" w14:textId="77777777" w:rsidR="00670FD4" w:rsidRDefault="00670FD4" w:rsidP="00670FD4">
      <w:pPr>
        <w:ind w:firstLine="567"/>
        <w:rPr>
          <w:lang w:val="ro-RO"/>
        </w:rPr>
      </w:pPr>
      <w:bookmarkStart w:id="45" w:name="_heading=h.z337ya" w:colFirst="0" w:colLast="0"/>
      <w:bookmarkEnd w:id="45"/>
      <w:r w:rsidRPr="008C6A37">
        <w:rPr>
          <w:lang w:val="ro-RO"/>
        </w:rPr>
        <w:t xml:space="preserve">Totuși, aceste numeroase oportunități de finanțare a acțiunilor propuse în prezenta strategie sunt disponibile pe termen scurt și mediu (până în 2030). Asigurarea finanțării pe termen lung rămâne, astfel, o mare provocare pentru CNZC, în special în contextul în care sunt în curs de implementare numeroasele de strategii naționale sub responsabilitatea a diferite ministere sau a diferite departamente din cadrul aceluiași minister, așa cum este cazul MMAP, fără a exista un mecanism central de coordonare. O sursă importantă de finanțare a acțiunilor pe termen lung, în lipsa informațiilor exacte referitoare la viitoarele programe de finanțare naționale și europene, rămâne bugetul consolidat de stat. De altfel și unele acțiuni pe termen scurt, referitoare la îmbunătățirea cadrului instituțional vor fi susținute financiar din bugetul MMAP.   </w:t>
      </w:r>
    </w:p>
    <w:p w14:paraId="78C15870" w14:textId="77777777" w:rsidR="00670FD4" w:rsidRPr="00A92A31" w:rsidRDefault="00670FD4" w:rsidP="00670FD4">
      <w:pPr>
        <w:spacing w:before="0"/>
        <w:ind w:firstLine="0"/>
        <w:rPr>
          <w:sz w:val="28"/>
          <w:lang w:val="ro-RO"/>
        </w:rPr>
      </w:pPr>
    </w:p>
    <w:p w14:paraId="2C6AC649" w14:textId="77777777" w:rsidR="00670FD4" w:rsidRPr="00940876" w:rsidRDefault="00670FD4" w:rsidP="00670FD4">
      <w:pPr>
        <w:pStyle w:val="Heading2"/>
      </w:pPr>
      <w:bookmarkStart w:id="46" w:name="_Toc150247022"/>
      <w:bookmarkStart w:id="47" w:name="_Toc171084818"/>
      <w:r>
        <w:t xml:space="preserve">1.12 </w:t>
      </w:r>
      <w:r w:rsidRPr="00940876">
        <w:t xml:space="preserve">Implicațiile </w:t>
      </w:r>
      <w:r w:rsidRPr="005D2CE5">
        <w:t>asupra</w:t>
      </w:r>
      <w:r w:rsidRPr="00940876">
        <w:t xml:space="preserve"> cadrului juridic</w:t>
      </w:r>
      <w:bookmarkEnd w:id="46"/>
      <w:bookmarkEnd w:id="47"/>
      <w:r w:rsidRPr="00940876">
        <w:t xml:space="preserve"> </w:t>
      </w:r>
    </w:p>
    <w:p w14:paraId="1745B344" w14:textId="77777777" w:rsidR="00670FD4" w:rsidRPr="008C6A37" w:rsidRDefault="00670FD4" w:rsidP="00670FD4">
      <w:pPr>
        <w:ind w:firstLine="567"/>
        <w:rPr>
          <w:lang w:val="ro-RO"/>
        </w:rPr>
      </w:pPr>
      <w:r w:rsidRPr="008C6A37">
        <w:rPr>
          <w:lang w:val="ro-RO"/>
        </w:rPr>
        <w:t xml:space="preserve">Pentru implementarea cu succes a Strategiei Naționale  privind </w:t>
      </w:r>
      <w:r>
        <w:rPr>
          <w:lang w:val="ro-RO"/>
        </w:rPr>
        <w:t xml:space="preserve">gospodărirea </w:t>
      </w:r>
      <w:r w:rsidRPr="008C6A37">
        <w:rPr>
          <w:lang w:val="ro-RO"/>
        </w:rPr>
        <w:t xml:space="preserve">integrată a zonei costiere și a Planului de Management </w:t>
      </w:r>
      <w:r>
        <w:rPr>
          <w:lang w:val="ro-RO"/>
        </w:rPr>
        <w:t>I</w:t>
      </w:r>
      <w:r w:rsidRPr="008C6A37">
        <w:rPr>
          <w:lang w:val="ro-RO"/>
        </w:rPr>
        <w:t xml:space="preserve">ntegrat al zonei costiere asociat, sunt necesare  </w:t>
      </w:r>
      <w:r w:rsidRPr="008C6A37">
        <w:rPr>
          <w:lang w:val="ro-RO"/>
        </w:rPr>
        <w:lastRenderedPageBreak/>
        <w:t>modificări legislative, care să asigure eficiența aplicării acestora. Aceste modificări legislative se referă la:</w:t>
      </w:r>
    </w:p>
    <w:p w14:paraId="67FAFBE3" w14:textId="77777777" w:rsidR="00670FD4" w:rsidRPr="008C6A37" w:rsidRDefault="00670FD4" w:rsidP="00670FD4">
      <w:pPr>
        <w:numPr>
          <w:ilvl w:val="0"/>
          <w:numId w:val="10"/>
        </w:numPr>
        <w:ind w:firstLine="567"/>
        <w:rPr>
          <w:lang w:val="ro-RO"/>
        </w:rPr>
      </w:pPr>
      <w:r w:rsidRPr="008C6A37">
        <w:rPr>
          <w:lang w:val="ro-RO"/>
        </w:rPr>
        <w:t xml:space="preserve">organizarea și funcționarea Comitetului Național al Zonei Costiere, în concordanță cu acțiunea prioritară propusă </w:t>
      </w:r>
      <w:r w:rsidRPr="008C6A37">
        <w:rPr>
          <w:i/>
          <w:lang w:val="ro-RO"/>
        </w:rPr>
        <w:t>F1 Reorganizarea Comitetului Național al Zonei Costiere</w:t>
      </w:r>
      <w:r w:rsidRPr="008C6A37">
        <w:rPr>
          <w:lang w:val="ro-RO"/>
        </w:rPr>
        <w:t>;</w:t>
      </w:r>
    </w:p>
    <w:p w14:paraId="229E188C" w14:textId="77777777" w:rsidR="00670FD4" w:rsidRPr="008C6A37" w:rsidRDefault="00670FD4" w:rsidP="00670FD4">
      <w:pPr>
        <w:numPr>
          <w:ilvl w:val="0"/>
          <w:numId w:val="10"/>
        </w:numPr>
        <w:ind w:firstLine="567"/>
        <w:rPr>
          <w:lang w:val="ro-RO"/>
        </w:rPr>
      </w:pPr>
      <w:r w:rsidRPr="008C6A37">
        <w:rPr>
          <w:lang w:val="ro-RO"/>
        </w:rPr>
        <w:t>organizarea și funcționarea autorității publice centrale, respectiv Ministerul Mediului, Apelor și Pădurilor, prin includerea în organigrama MMAP a Secretariatului Tehnic-Administrativ al zonei costiere (STA-ZC), cu atribuții bine definite (activități de secretariat și logistice, administrarea Observatorului Zonei Costiere, implementarea Planului de Comunicare al strategiei și monitorizarea stadiului implementării strategiei și raportare;</w:t>
      </w:r>
    </w:p>
    <w:p w14:paraId="2620679C" w14:textId="77777777" w:rsidR="00670FD4" w:rsidRPr="008C6A37" w:rsidRDefault="00670FD4" w:rsidP="00670FD4">
      <w:pPr>
        <w:numPr>
          <w:ilvl w:val="0"/>
          <w:numId w:val="10"/>
        </w:numPr>
        <w:ind w:firstLine="567"/>
        <w:rPr>
          <w:lang w:val="ro-RO"/>
        </w:rPr>
      </w:pPr>
      <w:r w:rsidRPr="008C6A37">
        <w:rPr>
          <w:lang w:val="ro-RO"/>
        </w:rPr>
        <w:t>organizarea și funcționarea celorlalte autorități publice implicate în managementul integrat al zonei costiere. Având în vedere numărul mare de instituții cu responsabilități în managementul zonei costiere, se va avea în vedere armonizarea acestora cu prevederile Strategiei Naționale privind g</w:t>
      </w:r>
      <w:r>
        <w:rPr>
          <w:lang w:val="ro-RO"/>
        </w:rPr>
        <w:t>ospodărirea</w:t>
      </w:r>
      <w:r w:rsidRPr="008C6A37">
        <w:rPr>
          <w:lang w:val="ro-RO"/>
        </w:rPr>
        <w:t xml:space="preserve"> integrată a zonei costiere și în concordanță cu planul de implementare aferent (v. anexa care conține planul de acțiune - defalcat pe măsuri / acțiuni, instituții responsabile, perioade de implementare și indicatori de monitorizare)</w:t>
      </w:r>
    </w:p>
    <w:p w14:paraId="4433A0B7" w14:textId="77777777" w:rsidR="00670FD4" w:rsidRPr="008C6A37" w:rsidRDefault="00670FD4" w:rsidP="00670FD4">
      <w:pPr>
        <w:ind w:firstLine="567"/>
        <w:rPr>
          <w:lang w:val="ro-RO"/>
        </w:rPr>
      </w:pPr>
      <w:r w:rsidRPr="008C6A37">
        <w:rPr>
          <w:lang w:val="ro-RO"/>
        </w:rPr>
        <w:t>- delimitarea zonei costiere în cadrul acestei strategii impune revizuirea corespunzătoare a modului de delimitare a zonei costiere din OUG 202/2002;</w:t>
      </w:r>
    </w:p>
    <w:p w14:paraId="0BA96C8B" w14:textId="77777777" w:rsidR="00670FD4" w:rsidRDefault="00670FD4" w:rsidP="00670FD4">
      <w:pPr>
        <w:ind w:firstLine="567"/>
        <w:rPr>
          <w:lang w:val="ro-RO"/>
        </w:rPr>
      </w:pPr>
      <w:r w:rsidRPr="008C6A37">
        <w:rPr>
          <w:lang w:val="ro-RO"/>
        </w:rPr>
        <w:t>- delimitarea în cadrul zonei costiere a spațiilor critice presupune revizuirea actelor normative subsecvente OUG 202/2002, și anume Legea 597/31.10.2001 privind unele măsuri de protecţie şi autorizare a construcţiilor în zona de coastă a Mării Negre, H.G. 546/07.04.2004 privind aprobarea metodologiei pentru delimitarea domeniului public al statului în zona costieră și H.G 749/14.05.2004 privind stabilirea responsabilităților, criteriilor şi modului de delimitare a fâșiei de teren aflate în imediata apropiere a zonei costiere, în scopul conservării condiţiilor ambientale şi valorii patrimoniale şi peisagistice din zonele situate în apropierea țărmului.</w:t>
      </w:r>
      <w:bookmarkStart w:id="48" w:name="_heading=h.1y810tw" w:colFirst="0" w:colLast="0"/>
      <w:bookmarkEnd w:id="48"/>
      <w:r>
        <w:rPr>
          <w:lang w:val="ro-RO"/>
        </w:rPr>
        <w:t xml:space="preserve"> </w:t>
      </w:r>
    </w:p>
    <w:p w14:paraId="7DB5BEB9" w14:textId="77777777" w:rsidR="00670FD4" w:rsidRDefault="00670FD4" w:rsidP="00670FD4">
      <w:pPr>
        <w:ind w:firstLine="567"/>
        <w:rPr>
          <w:lang w:val="ro-RO"/>
        </w:rPr>
      </w:pPr>
    </w:p>
    <w:p w14:paraId="4062C22F" w14:textId="77777777" w:rsidR="00670FD4" w:rsidRDefault="00670FD4" w:rsidP="00670FD4">
      <w:pPr>
        <w:ind w:firstLine="567"/>
        <w:rPr>
          <w:lang w:val="ro-RO"/>
        </w:rPr>
      </w:pPr>
    </w:p>
    <w:p w14:paraId="27C04C08" w14:textId="77777777" w:rsidR="00670FD4" w:rsidRDefault="00670FD4" w:rsidP="00670FD4">
      <w:pPr>
        <w:ind w:firstLine="567"/>
        <w:rPr>
          <w:lang w:val="ro-RO"/>
        </w:rPr>
      </w:pPr>
    </w:p>
    <w:p w14:paraId="1731A946" w14:textId="77777777" w:rsidR="00670FD4" w:rsidRDefault="00670FD4" w:rsidP="00670FD4">
      <w:pPr>
        <w:ind w:firstLine="567"/>
        <w:rPr>
          <w:lang w:val="ro-RO"/>
        </w:rPr>
      </w:pPr>
    </w:p>
    <w:p w14:paraId="67379827" w14:textId="77777777" w:rsidR="00670FD4" w:rsidRDefault="00670FD4" w:rsidP="00670FD4">
      <w:pPr>
        <w:ind w:firstLine="567"/>
        <w:rPr>
          <w:lang w:val="ro-RO"/>
        </w:rPr>
      </w:pPr>
    </w:p>
    <w:p w14:paraId="5AD4F312" w14:textId="77777777" w:rsidR="00670FD4" w:rsidRDefault="00670FD4" w:rsidP="00670FD4">
      <w:pPr>
        <w:ind w:firstLine="567"/>
        <w:rPr>
          <w:lang w:val="ro-RO"/>
        </w:rPr>
      </w:pPr>
    </w:p>
    <w:p w14:paraId="367DF0C0" w14:textId="77777777" w:rsidR="00670FD4" w:rsidRDefault="00670FD4" w:rsidP="00670FD4">
      <w:pPr>
        <w:ind w:firstLine="567"/>
        <w:rPr>
          <w:lang w:val="ro-RO"/>
        </w:rPr>
      </w:pPr>
    </w:p>
    <w:p w14:paraId="1889CF38" w14:textId="77777777" w:rsidR="00670FD4" w:rsidRDefault="00670FD4" w:rsidP="00670FD4">
      <w:pPr>
        <w:ind w:firstLine="567"/>
        <w:rPr>
          <w:lang w:val="ro-RO"/>
        </w:rPr>
      </w:pPr>
    </w:p>
    <w:p w14:paraId="79DF462C" w14:textId="77777777" w:rsidR="00670FD4" w:rsidRDefault="00670FD4" w:rsidP="00670FD4">
      <w:pPr>
        <w:ind w:firstLine="567"/>
        <w:rPr>
          <w:lang w:val="ro-RO"/>
        </w:rPr>
      </w:pPr>
    </w:p>
    <w:p w14:paraId="0593F3FC" w14:textId="77777777" w:rsidR="00670FD4" w:rsidRDefault="00670FD4" w:rsidP="00670FD4">
      <w:pPr>
        <w:ind w:firstLine="0"/>
        <w:rPr>
          <w:lang w:val="ro-RO"/>
        </w:rPr>
      </w:pPr>
    </w:p>
    <w:p w14:paraId="1803B08A" w14:textId="77777777" w:rsidR="00670FD4" w:rsidRDefault="00670FD4" w:rsidP="00670FD4">
      <w:pPr>
        <w:pStyle w:val="Heading1"/>
        <w:numPr>
          <w:ilvl w:val="0"/>
          <w:numId w:val="48"/>
        </w:numPr>
        <w:rPr>
          <w:lang w:val="ro-RO"/>
        </w:rPr>
      </w:pPr>
      <w:bookmarkStart w:id="49" w:name="_Toc171084819"/>
      <w:r w:rsidRPr="00940876">
        <w:rPr>
          <w:lang w:val="ro-RO"/>
        </w:rPr>
        <w:lastRenderedPageBreak/>
        <w:t>Planul de Managem</w:t>
      </w:r>
      <w:r>
        <w:rPr>
          <w:lang w:val="ro-RO"/>
        </w:rPr>
        <w:t>e</w:t>
      </w:r>
      <w:r w:rsidRPr="00940876">
        <w:rPr>
          <w:lang w:val="ro-RO"/>
        </w:rPr>
        <w:t>nt integrat al zonei costiere</w:t>
      </w:r>
      <w:bookmarkEnd w:id="49"/>
    </w:p>
    <w:p w14:paraId="60985521" w14:textId="77777777" w:rsidR="00670FD4" w:rsidRDefault="00670FD4" w:rsidP="00670FD4">
      <w:pPr>
        <w:pStyle w:val="Heading2"/>
        <w:numPr>
          <w:ilvl w:val="1"/>
          <w:numId w:val="48"/>
        </w:numPr>
      </w:pPr>
      <w:bookmarkStart w:id="50" w:name="_Toc171084820"/>
      <w:r w:rsidRPr="00940876">
        <w:t>Introducere</w:t>
      </w:r>
      <w:bookmarkEnd w:id="50"/>
    </w:p>
    <w:p w14:paraId="4F06B944" w14:textId="77777777" w:rsidR="00670FD4" w:rsidRPr="00940876" w:rsidRDefault="00670FD4" w:rsidP="00670FD4">
      <w:pPr>
        <w:rPr>
          <w:i/>
          <w:lang w:val="ro-RO" w:eastAsia="en-GB"/>
        </w:rPr>
      </w:pPr>
      <w:r w:rsidRPr="00940876">
        <w:rPr>
          <w:i/>
          <w:lang w:val="ro-RO" w:eastAsia="en-GB"/>
        </w:rPr>
        <w:t>Context</w:t>
      </w:r>
    </w:p>
    <w:p w14:paraId="4FFE3D38" w14:textId="77777777" w:rsidR="00670FD4" w:rsidRPr="00940876" w:rsidRDefault="00670FD4" w:rsidP="00670FD4">
      <w:pPr>
        <w:rPr>
          <w:lang w:val="ro-RO" w:eastAsia="en-GB"/>
        </w:rPr>
      </w:pPr>
      <w:r w:rsidRPr="00940876">
        <w:rPr>
          <w:lang w:val="ro-RO" w:eastAsia="en-GB"/>
        </w:rPr>
        <w:t>Managementul integrat al zonei costiere (MIZC) este unul dintre cele mai cunoscute și aplicate instrumente politice și legislative pentru zonele costiere, utilizat de factorii de decizie din întreaga lume și promovat de Comisia Europeană (Recomandarea Consiliului privind managementul integrat al zonelor de coastă din 2002, Protocolul Convenției de la Barcelona privind Managementul Integrat al Zonelor de Coastă, ratificat de UE în 2010 și noua inițiativă a CE privind planificarea spațiului maritim și managementul integrat al zonelor costiere din 2013) și alte organizații internaționale precum National Ocean and Atmospheric Administration (NOAA), United Nations Environment Programme (UNEP), Organisation for Economic Co-operation and Development (OECD), etc.</w:t>
      </w:r>
    </w:p>
    <w:p w14:paraId="677F6D2D" w14:textId="77777777" w:rsidR="00670FD4" w:rsidRPr="00940876" w:rsidRDefault="00670FD4" w:rsidP="00670FD4">
      <w:pPr>
        <w:rPr>
          <w:lang w:val="ro-RO" w:eastAsia="en-GB"/>
        </w:rPr>
      </w:pPr>
      <w:r w:rsidRPr="00940876">
        <w:rPr>
          <w:lang w:val="ro-RO" w:eastAsia="en-GB"/>
        </w:rPr>
        <w:t>Există mai multe definiții ale managementului integrat al zonei costiere, una dintre cele mai relevante fiind cea din articolului 2 al Protocolului Convenției de la Barcelona privind Managementul Integrat al Zonelor de Coastă, adoptată și de Comisia Mării Negre, conform căreia MIZC este „un proces dinamic de gestionare și utilizare durabilă a zonelor de coastă, ținând cont în același timp de fragilitatea ecosistemelor și a peisajelor costiere, de diversitatea activităților și utilizărilor, de interacțiunile acestora, de orientarea maritimă a anumitor activități și utilizări și de impactul acestora atât asupra părții maritime, cât și celei terestre”.</w:t>
      </w:r>
    </w:p>
    <w:p w14:paraId="1E8C3D67" w14:textId="77777777" w:rsidR="00670FD4" w:rsidRPr="00940876" w:rsidRDefault="00670FD4" w:rsidP="00670FD4">
      <w:pPr>
        <w:rPr>
          <w:lang w:val="ro-RO" w:eastAsia="en-GB"/>
        </w:rPr>
      </w:pPr>
      <w:r w:rsidRPr="00940876">
        <w:rPr>
          <w:lang w:val="ro-RO" w:eastAsia="en-GB"/>
        </w:rPr>
        <w:t xml:space="preserve">Definirea zonei costiere este de o importanță deosebită în politicile publice ale MIZC, deși o definire clară a acesteia este destul de dificilă datorită naturii dinamice a zonelor costiere. Conform Ketchum (1972), zona costieră este interfața dintre uscat și spațiul marin adiacent în care procesele terestre și utilizările terenurilor afectează direct procesele și utilizările maritime și invers. </w:t>
      </w:r>
    </w:p>
    <w:p w14:paraId="051C5B08" w14:textId="77777777" w:rsidR="00670FD4" w:rsidRPr="00940876" w:rsidRDefault="00670FD4" w:rsidP="00670FD4">
      <w:pPr>
        <w:rPr>
          <w:lang w:val="ro-RO" w:eastAsia="en-GB"/>
        </w:rPr>
      </w:pPr>
      <w:r w:rsidRPr="00940876">
        <w:rPr>
          <w:lang w:val="ro-RO" w:eastAsia="en-GB"/>
        </w:rPr>
        <w:t xml:space="preserve">Zonele costiere sunt de mare importanță ecologică, socială, economică și culturală, dar în același timp foarte vulnerabile la schimbările climatice și presiunile antropice tot mai mari. Având în vedere aceste considerente, Comisia Europeană a inițiat în 1996 un program demonstrativ (EU Demonstrator Programme on ICZM) cuprinzând 35 de proiecte demonstrative și șase studii tematice, cu scopul de a evidenția problemele care afectează zonele costiere și identifica posibile măsuri de stopare/limitare a deteriorării acestora. </w:t>
      </w:r>
    </w:p>
    <w:p w14:paraId="2BDD07BE" w14:textId="77777777" w:rsidR="00670FD4" w:rsidRPr="00940876" w:rsidRDefault="00670FD4" w:rsidP="00670FD4">
      <w:pPr>
        <w:rPr>
          <w:lang w:val="ro-RO" w:eastAsia="en-GB"/>
        </w:rPr>
      </w:pPr>
      <w:r w:rsidRPr="00940876">
        <w:rPr>
          <w:lang w:val="ro-RO" w:eastAsia="en-GB"/>
        </w:rPr>
        <w:t>În 2000, pe baza experiențelor și a rezultatelor acestui program demonstrativ, Comisia Europeană a adoptat două documente ce au pus bazele politicilor MIZC în Europa, și anume:</w:t>
      </w:r>
    </w:p>
    <w:p w14:paraId="597EC296" w14:textId="77777777" w:rsidR="00670FD4" w:rsidRPr="00940876" w:rsidRDefault="00670FD4" w:rsidP="00670FD4">
      <w:pPr>
        <w:rPr>
          <w:lang w:val="ro-RO" w:eastAsia="en-GB"/>
        </w:rPr>
      </w:pPr>
      <w:r w:rsidRPr="00940876">
        <w:rPr>
          <w:lang w:val="ro-RO" w:eastAsia="en-GB"/>
        </w:rPr>
        <w:t>i) o comunicare a Comisiei către Consiliul și Parlamentul European privind „Gestionarea integrată a zonelor costiere: o strategie pentru Europa” (COM/00/547 din 17.09.2000);</w:t>
      </w:r>
    </w:p>
    <w:p w14:paraId="6EFBE807" w14:textId="77777777" w:rsidR="00670FD4" w:rsidRPr="00940876" w:rsidRDefault="00670FD4" w:rsidP="00670FD4">
      <w:pPr>
        <w:rPr>
          <w:lang w:val="ro-RO" w:eastAsia="en-GB"/>
        </w:rPr>
      </w:pPr>
      <w:r w:rsidRPr="00940876">
        <w:rPr>
          <w:lang w:val="ro-RO" w:eastAsia="en-GB"/>
        </w:rPr>
        <w:t>ii) o recomandare a Parlamentului European și a Consiliului European privind implementarea managementului integrat al zonelor costiere în Europa (COM/00/545 din 08.09.2000). Această recomandare (2002/413/CE) a fost adoptată de Consiliul și Parlamentul European la 30.05.2002.</w:t>
      </w:r>
    </w:p>
    <w:p w14:paraId="51015831" w14:textId="77777777" w:rsidR="00670FD4" w:rsidRPr="00940876" w:rsidRDefault="00670FD4" w:rsidP="00670FD4">
      <w:pPr>
        <w:rPr>
          <w:lang w:val="ro-RO" w:eastAsia="en-GB"/>
        </w:rPr>
      </w:pPr>
      <w:r w:rsidRPr="00940876">
        <w:rPr>
          <w:lang w:val="ro-RO" w:eastAsia="en-GB"/>
        </w:rPr>
        <w:lastRenderedPageBreak/>
        <w:t>O etapă deosebit de importantă în evoluția procesului MIZC la nivel european, cu implicații și pentru bazinul Mării Negre, începe odată cu semnarea la Madrid, în 2009, a Protocolului privind Managementul Integrat al Zonelor de Coastă la Marea Mediterană (ratificat și intrat în vigoare în 2011). În 2019, este adoptat un document ce stabilește Cadrul Comun Regional pentru implementarea MIZC la Marea Mediterană (UNEP/MAP/PAP, 2019), considerat un instrument strategic care facilitează implementarea Protocolului MIZC la Marea Mediterană.</w:t>
      </w:r>
    </w:p>
    <w:p w14:paraId="3BA12F2F" w14:textId="77777777" w:rsidR="00670FD4" w:rsidRPr="00940876" w:rsidRDefault="00670FD4" w:rsidP="00670FD4">
      <w:pPr>
        <w:rPr>
          <w:lang w:val="ro-RO" w:eastAsia="en-GB"/>
        </w:rPr>
      </w:pPr>
      <w:r w:rsidRPr="00940876">
        <w:rPr>
          <w:lang w:val="ro-RO" w:eastAsia="en-GB"/>
        </w:rPr>
        <w:t>Comisia Mării Negre a luat în considerare adoptarea unui instrument similar din punct de vedere juridic, obligatoriu, într-o zonă marină semi-închisă, regională, precum Marea Neagră, identificând necesitatea elaborării unui ghid ca o măsură provizorie până când dezvoltarea unui instrument juridic obligatoriu va deveni cu adevărat fezabilă la nivel regional. Această acțiune a fost inclusă în Planul Strategic de Acțiune pentru Protecția Mediului și Reabilitarea Mării Negre din 2009 ca obiectiv pe termen scurt (BS SAP, 2009). Pentru a oferi mijloacele pentru realizarea acestui obiectiv, în 2010, la solicitarea Comisiei Mării Negre, prin intermediul Secretariatului său, Comisia Europeană a fost de acord să introducă în cadrul proiectului european PEGASO dezvoltarea acestui ghid (Guidelines on Integrated Coastal Zone Management in the Black Sea) ca unul dintre rezultatele proiectului. Deoarece Protocolul privind Managementul Integrat al Zonelor de Coastă la Marea Mediterană era singurul exemplu al unui astfel de document legislativ internațional în vigoare, acest ghid a fost elaborat în jurul tematicilor principale acoperite de către Protocolul MIZC de la Marea Mediterană.</w:t>
      </w:r>
    </w:p>
    <w:p w14:paraId="319C00AE" w14:textId="77777777" w:rsidR="00670FD4" w:rsidRPr="00940876" w:rsidRDefault="00670FD4" w:rsidP="00670FD4">
      <w:pPr>
        <w:rPr>
          <w:lang w:val="ro-RO" w:eastAsia="en-GB"/>
        </w:rPr>
      </w:pPr>
      <w:r w:rsidRPr="00940876">
        <w:rPr>
          <w:lang w:val="ro-RO" w:eastAsia="en-GB"/>
        </w:rPr>
        <w:t xml:space="preserve">La nivelul Comisiei Mării Negre este constituit Grupul Consultativ pentru Managementul Integrat al Zonei Costiere (ICZM AG), care are rolul de a face recomandări privind managementul zonei costiere și de a elabora și implementa planuri și strategii, metodologii și instrumente de management integrat al zonei costiere, coordonate la nivel regional, în contextul dezvoltării durabile (BS-SAP, 2009). </w:t>
      </w:r>
    </w:p>
    <w:p w14:paraId="48D2EE8C" w14:textId="77777777" w:rsidR="00670FD4" w:rsidRPr="00940876" w:rsidRDefault="00670FD4" w:rsidP="00670FD4">
      <w:pPr>
        <w:rPr>
          <w:lang w:val="ro-RO" w:eastAsia="en-GB"/>
        </w:rPr>
      </w:pPr>
      <w:r w:rsidRPr="00940876">
        <w:rPr>
          <w:lang w:val="ro-RO" w:eastAsia="en-GB"/>
        </w:rPr>
        <w:t>România a fost printre primele țări din bazinul Mării Negre care a creat cadrul legislativ în vederea implementării managementului integrat al zonei costiere. Prin adoptarea Ordonanţei de Urgenţă a Guvernului nr. 202/2002 privind gospodărirea integrată a zonei costiere, aprobată cu modificări prin Legea nr. 280/2003, România a recunoscut că managementul integrat al zonei costiere reprezintă un instrument valoros care a creat structuri şi un cadru legal pentru a promova implementarea acestuia în consens cu Recomandarea Parlamentului și a Consiliului European din 30.05.2002 privind implementarea MIZC în Europa (2002/413/EC).</w:t>
      </w:r>
    </w:p>
    <w:p w14:paraId="5F165ACE" w14:textId="77777777" w:rsidR="00670FD4" w:rsidRPr="00940876" w:rsidRDefault="00670FD4" w:rsidP="00670FD4">
      <w:pPr>
        <w:rPr>
          <w:lang w:val="ro-RO" w:eastAsia="en-GB"/>
        </w:rPr>
      </w:pPr>
      <w:r w:rsidRPr="00940876">
        <w:rPr>
          <w:lang w:val="ro-RO" w:eastAsia="en-GB"/>
        </w:rPr>
        <w:t>În 2004, a fost înființat în baza Ordonanţei de Urgență nr. 202/2002 privind gospodărirea zonei costiere, aprobată cu modificări prin Legea nr. 280/2003, Comitetul Naţional al Zonei Costiere (CNZC), în scopul asigurării gospodăririi integrate a zonei costiere.</w:t>
      </w:r>
    </w:p>
    <w:p w14:paraId="77A68AE4" w14:textId="77777777" w:rsidR="00670FD4" w:rsidRPr="00940876" w:rsidRDefault="00670FD4" w:rsidP="00670FD4">
      <w:pPr>
        <w:rPr>
          <w:lang w:val="ro-RO" w:eastAsia="en-GB"/>
        </w:rPr>
      </w:pPr>
      <w:r w:rsidRPr="00940876">
        <w:rPr>
          <w:lang w:val="ro-RO" w:eastAsia="en-GB"/>
        </w:rPr>
        <w:t xml:space="preserve">Cu toate acestea, Planul naţional privind gospodărirea integrată a zonei costiere nu a fost elaborat până în prezent din cauza funcţionalităţii necorespunzătoare a cadrului inter-instituţional existent. Totodată, nu sunt stabilite zonele funcţionale şi inventarul componentelor de mediu ale zonei costiere, care reprezintă elemente de referinţă pentru respectarea principiilor stipulate în OUG 202/2002 privind gospodărirea integrată a zonei costiere, aprobată cu modificări prin Legea nr. 280/2003. Mai mult, integrarea politicilor de mediu în politicile și planurile sectoriale privind agricultura, energia, resursele minerale, industria, turismul, </w:t>
      </w:r>
      <w:r w:rsidRPr="00940876">
        <w:rPr>
          <w:lang w:val="ro-RO" w:eastAsia="en-GB"/>
        </w:rPr>
        <w:lastRenderedPageBreak/>
        <w:t>pescuitul şi acvacultura, transporturile şi dezvoltarea zonelor locuite este realizată doar parțial. De asemenea, în prezent, nu există o bază de date integrată sau un inventar național integrat privind zona costieră, iar raportările pe care România, ca stat membru al UE sau ca Parte a Convenției Mării Negre împotriva Poluării, are obligația să le transmită Comisiei Europene, respectiv Comisiei Mării Negre, sunt realizate prin intermediul punctelor focale naționale la nivel european sau din cadrul Comisiei Mării Negre.</w:t>
      </w:r>
    </w:p>
    <w:p w14:paraId="4B2B48E9" w14:textId="77777777" w:rsidR="00670FD4" w:rsidRPr="00940876" w:rsidRDefault="00670FD4" w:rsidP="00670FD4">
      <w:pPr>
        <w:rPr>
          <w:i/>
          <w:lang w:val="ro-RO" w:eastAsia="en-GB"/>
        </w:rPr>
      </w:pPr>
      <w:r w:rsidRPr="00940876">
        <w:rPr>
          <w:i/>
          <w:lang w:val="ro-RO" w:eastAsia="en-GB"/>
        </w:rPr>
        <w:t>Necesitatea elaborării Planului de Management Integrat al zonei costiere</w:t>
      </w:r>
    </w:p>
    <w:p w14:paraId="5698E4B1" w14:textId="77777777" w:rsidR="00670FD4" w:rsidRPr="00940876" w:rsidRDefault="00670FD4" w:rsidP="00670FD4">
      <w:pPr>
        <w:rPr>
          <w:lang w:val="ro-RO" w:eastAsia="en-GB"/>
        </w:rPr>
      </w:pPr>
      <w:r w:rsidRPr="00940876">
        <w:rPr>
          <w:lang w:val="ro-RO" w:eastAsia="en-GB"/>
        </w:rPr>
        <w:t xml:space="preserve">Zona costieră românească oferă o multitudine de utilizări de o importanță socio-economică considerabilă pentru societate. Cu toate acestea, diferitele interese sectoriale caută, cel mai adesea, accesul și utilizarea exclusivă a zonei și resurselor din zona costieră. Abordarea sectorială în planificarea dezvoltării și managementului resurselor, agravată de presiunea populației și de complexitatea activităților umane din ecosistemele costiere poate conduce la conflicte de utilizare și la efecte socio-economice și de mediu adverse. Astfel, este nevoie de un document politic intersectorial, respectiv Strategia Națională privind gospodărirea integrată a zonei costiere, care să furnizeze o viziune pe termen lung pentru utilizarea şi dezvoltarea durabilă a zonei costiere a României. Îndeplinirea acestei viziuni, respectiv atingerea obiectivelor generale definite în cadrul Strategiei naționale privind gospodărirea integrată a zonei costiere, necesită elaborarea unui plan de management care să stabilească clar “cine face”, “ce face”, “când face“ și “cu ce resurse face”. Acest plan este elaborat pentru o perioadă de 6 ani (până în 2030) și va defini măsurile ce se vor lua pentru contracararea principalelor probleme și vulnerabilități din zona costieră și activitățile propuse a se implementa pentru îndeplinirea măsurilor, stabilind în același timp instituțiile responsabile, termenele de realizare, resursele financiare necesare, precum și modul de monitorizare al implementării activităților. </w:t>
      </w:r>
    </w:p>
    <w:p w14:paraId="428A302B" w14:textId="77777777" w:rsidR="00670FD4" w:rsidRDefault="00670FD4" w:rsidP="00670FD4">
      <w:pPr>
        <w:rPr>
          <w:lang w:val="ro-RO" w:eastAsia="en-GB"/>
        </w:rPr>
      </w:pPr>
    </w:p>
    <w:p w14:paraId="4A66C19B" w14:textId="77777777" w:rsidR="00670FD4" w:rsidRPr="00D924A7" w:rsidRDefault="00670FD4" w:rsidP="00670FD4">
      <w:pPr>
        <w:pStyle w:val="Heading2"/>
      </w:pPr>
      <w:bookmarkStart w:id="51" w:name="_Toc171084821"/>
      <w:r w:rsidRPr="00D924A7">
        <w:t xml:space="preserve">2.2 Cadrul </w:t>
      </w:r>
      <w:r w:rsidRPr="005D2CE5">
        <w:t>instituțional</w:t>
      </w:r>
      <w:r w:rsidRPr="00D924A7">
        <w:t xml:space="preserve"> și legislativ actual referitor la managementul integrat al zonei costiere și problemele identificate</w:t>
      </w:r>
      <w:bookmarkEnd w:id="51"/>
    </w:p>
    <w:p w14:paraId="631E24EF" w14:textId="77777777" w:rsidR="00670FD4" w:rsidRDefault="00670FD4" w:rsidP="00670FD4">
      <w:pPr>
        <w:pStyle w:val="Heading3"/>
      </w:pPr>
      <w:bookmarkStart w:id="52" w:name="_Toc171084822"/>
      <w:r w:rsidRPr="00D924A7">
        <w:t xml:space="preserve">2.2.1 </w:t>
      </w:r>
      <w:r w:rsidRPr="005D2CE5">
        <w:t>Cadrul</w:t>
      </w:r>
      <w:r w:rsidRPr="00D924A7">
        <w:t xml:space="preserve"> instituțional actual și problemele identificate</w:t>
      </w:r>
      <w:bookmarkEnd w:id="52"/>
    </w:p>
    <w:p w14:paraId="167BC58F" w14:textId="77777777" w:rsidR="00670FD4" w:rsidRPr="00D924A7" w:rsidRDefault="00670FD4" w:rsidP="00670FD4">
      <w:pPr>
        <w:rPr>
          <w:lang w:val="ro-RO" w:eastAsia="en-GB"/>
        </w:rPr>
      </w:pPr>
      <w:r w:rsidRPr="00D924A7">
        <w:rPr>
          <w:lang w:val="ro-RO" w:eastAsia="en-GB"/>
        </w:rPr>
        <w:t>Ministerul Mediului, Apelor și Pădurilor (MMAP) este principala autoritate responsabilă de implementarea MIZC în România. Conform Anexei la Ordin 573/23.02.2023 privind aprobarea Regulamentului de Organizare și Funcționare al Ministerului Mediului, Apelor și Pădurilor, MMAP exercită și funcția de strategie și planificare. Conform art.16, alin. 2, al acestei Anexe, în exercitarea acestei funcții, MMAP elaborează, actualizează și coordonează aplicarea Strategiei de management integrat a zonei costiere.</w:t>
      </w:r>
    </w:p>
    <w:p w14:paraId="2556C589" w14:textId="77777777" w:rsidR="00670FD4" w:rsidRPr="00D924A7" w:rsidRDefault="00670FD4" w:rsidP="00670FD4">
      <w:pPr>
        <w:rPr>
          <w:lang w:val="ro-RO" w:eastAsia="en-GB"/>
        </w:rPr>
      </w:pPr>
      <w:r w:rsidRPr="00D924A7">
        <w:rPr>
          <w:lang w:val="ro-RO" w:eastAsia="en-GB"/>
        </w:rPr>
        <w:t>În prezent, pe lângă autoritatea publică centrală pentru protecţia mediului şi gospodărirea apelor (MMAP) funcționează Comitetul Național al Zonei Costiere (CNZC), înființat în baza Ordonanţei de Urgență nr. 202/2002 privind gospodărirea zonei costiere, aprobată cu modificări prin Legea nr. 280/2003, cu următoarele atribuții:</w:t>
      </w:r>
    </w:p>
    <w:p w14:paraId="0CE4D04B" w14:textId="77777777" w:rsidR="00670FD4" w:rsidRPr="00D924A7" w:rsidRDefault="00670FD4" w:rsidP="00670FD4">
      <w:pPr>
        <w:rPr>
          <w:lang w:val="ro-RO" w:eastAsia="en-GB"/>
        </w:rPr>
      </w:pPr>
      <w:r w:rsidRPr="00D924A7">
        <w:rPr>
          <w:lang w:val="ro-RO" w:eastAsia="en-GB"/>
        </w:rPr>
        <w:lastRenderedPageBreak/>
        <w:t>-</w:t>
      </w:r>
      <w:r w:rsidRPr="00D924A7">
        <w:rPr>
          <w:lang w:val="ro-RO" w:eastAsia="en-GB"/>
        </w:rPr>
        <w:tab/>
        <w:t>avizarea planurilor de gospodărire integrată a zonei costiere și a planurilor de urbanism locale și zonale;</w:t>
      </w:r>
    </w:p>
    <w:p w14:paraId="41179793" w14:textId="77777777" w:rsidR="00670FD4" w:rsidRPr="00D924A7" w:rsidRDefault="00670FD4" w:rsidP="00670FD4">
      <w:pPr>
        <w:rPr>
          <w:lang w:val="ro-RO" w:eastAsia="en-GB"/>
        </w:rPr>
      </w:pPr>
      <w:r w:rsidRPr="00D924A7">
        <w:rPr>
          <w:lang w:val="ro-RO" w:eastAsia="en-GB"/>
        </w:rPr>
        <w:t>-</w:t>
      </w:r>
      <w:r w:rsidRPr="00D924A7">
        <w:rPr>
          <w:lang w:val="ro-RO" w:eastAsia="en-GB"/>
        </w:rPr>
        <w:tab/>
        <w:t>avizarea studiilor de impact pentru activități cu impact semnificativ ce urmează a se desfăşura în zona costieră, precum și a bilanţurilor de mediu ale lucrărilor existente;</w:t>
      </w:r>
    </w:p>
    <w:p w14:paraId="411EC36F" w14:textId="77777777" w:rsidR="00670FD4" w:rsidRPr="00D924A7" w:rsidRDefault="00670FD4" w:rsidP="00670FD4">
      <w:pPr>
        <w:rPr>
          <w:lang w:val="ro-RO" w:eastAsia="en-GB"/>
        </w:rPr>
      </w:pPr>
      <w:r w:rsidRPr="00D924A7">
        <w:rPr>
          <w:lang w:val="ro-RO" w:eastAsia="en-GB"/>
        </w:rPr>
        <w:t>-</w:t>
      </w:r>
      <w:r w:rsidRPr="00D924A7">
        <w:rPr>
          <w:lang w:val="ro-RO" w:eastAsia="en-GB"/>
        </w:rPr>
        <w:tab/>
        <w:t>avizarea proiectelor de creare de parcuri și rezervaţii naturale marine/aferente zonei costiere.</w:t>
      </w:r>
    </w:p>
    <w:p w14:paraId="543C5BC7" w14:textId="77777777" w:rsidR="00670FD4" w:rsidRPr="00D924A7" w:rsidRDefault="00670FD4" w:rsidP="00670FD4">
      <w:pPr>
        <w:spacing w:before="0"/>
        <w:rPr>
          <w:lang w:val="ro-RO" w:eastAsia="en-GB"/>
        </w:rPr>
      </w:pPr>
      <w:r w:rsidRPr="00D924A7">
        <w:rPr>
          <w:lang w:val="ro-RO" w:eastAsia="en-GB"/>
        </w:rPr>
        <w:t>Conform articolului 68 al OUG 202 / 2002 privind gospodărirea zonei costiere, aprobată cu modificări prin Legea nr. 280/2003, din componența CNZC fac parte peste 40 de reprezentanți ai autorităților centrale, locale și regionale, instituțiilor, factorilor interesați și organizațiilor non-guvernamentale (https://www.rmri.ro/Home/Responsibilities.CNZC.html).</w:t>
      </w:r>
    </w:p>
    <w:p w14:paraId="2A99D50F" w14:textId="77777777" w:rsidR="00670FD4" w:rsidRPr="00D924A7" w:rsidRDefault="00670FD4" w:rsidP="00670FD4">
      <w:pPr>
        <w:spacing w:before="0"/>
        <w:rPr>
          <w:lang w:val="ro-RO" w:eastAsia="en-GB"/>
        </w:rPr>
      </w:pPr>
      <w:r w:rsidRPr="00D924A7">
        <w:rPr>
          <w:lang w:val="ro-RO" w:eastAsia="en-GB"/>
        </w:rPr>
        <w:t>În conformitate cu art. 10 al Regulamentului de organizare și funcționare a Comitetului Național al Zonei Costiere, aprobat prin H.G 1015/26.06.2004 cu modificările și completările ulterioare, pentru desfășurarea activității curente, CNZC are, în prezent, un Secretariat Tehnic Permanent al CNZC care este asigurat de către autoritatea publică centrală pentru protecția mediului și gospodărirea apelor și are următoarele atribuţii:</w:t>
      </w:r>
    </w:p>
    <w:p w14:paraId="6A8F6C46" w14:textId="77777777" w:rsidR="00670FD4" w:rsidRPr="00D924A7" w:rsidRDefault="00670FD4" w:rsidP="00670FD4">
      <w:pPr>
        <w:rPr>
          <w:lang w:val="ro-RO" w:eastAsia="en-GB"/>
        </w:rPr>
      </w:pPr>
      <w:r w:rsidRPr="00D924A7">
        <w:rPr>
          <w:lang w:val="ro-RO" w:eastAsia="en-GB"/>
        </w:rPr>
        <w:t>-</w:t>
      </w:r>
      <w:r w:rsidRPr="00D924A7">
        <w:rPr>
          <w:lang w:val="ro-RO" w:eastAsia="en-GB"/>
        </w:rPr>
        <w:tab/>
        <w:t>pune la dispoziţia CNZC documentele necesare acestuia în vederea adoptării deciziilor;</w:t>
      </w:r>
    </w:p>
    <w:p w14:paraId="1B39B2BE" w14:textId="77777777" w:rsidR="00670FD4" w:rsidRPr="00D924A7" w:rsidRDefault="00670FD4" w:rsidP="00670FD4">
      <w:pPr>
        <w:rPr>
          <w:lang w:val="ro-RO" w:eastAsia="en-GB"/>
        </w:rPr>
      </w:pPr>
      <w:r w:rsidRPr="00D924A7">
        <w:rPr>
          <w:lang w:val="ro-RO" w:eastAsia="en-GB"/>
        </w:rPr>
        <w:t>-</w:t>
      </w:r>
      <w:r w:rsidRPr="00D924A7">
        <w:rPr>
          <w:lang w:val="ro-RO" w:eastAsia="en-GB"/>
        </w:rPr>
        <w:tab/>
        <w:t>asigură pregătirea și organizarea şedinţelor de lucru ale CNZC, a dezbaterilor publice și a altor acţiuni iniţiate de acesta;</w:t>
      </w:r>
    </w:p>
    <w:p w14:paraId="0F8AD96D" w14:textId="77777777" w:rsidR="00670FD4" w:rsidRPr="00D924A7" w:rsidRDefault="00670FD4" w:rsidP="00670FD4">
      <w:pPr>
        <w:rPr>
          <w:lang w:val="ro-RO" w:eastAsia="en-GB"/>
        </w:rPr>
      </w:pPr>
      <w:r w:rsidRPr="00D924A7">
        <w:rPr>
          <w:lang w:val="ro-RO" w:eastAsia="en-GB"/>
        </w:rPr>
        <w:t>-</w:t>
      </w:r>
      <w:r w:rsidRPr="00D924A7">
        <w:rPr>
          <w:lang w:val="ro-RO" w:eastAsia="en-GB"/>
        </w:rPr>
        <w:tab/>
        <w:t>pregăteşte corespondența legată de activitatea curentă a CNZC, în conformitate cu deciziile luate de acesta și transmise de preşedintele CNZC;</w:t>
      </w:r>
    </w:p>
    <w:p w14:paraId="5CC3D920" w14:textId="77777777" w:rsidR="00670FD4" w:rsidRPr="00D924A7" w:rsidRDefault="00670FD4" w:rsidP="00670FD4">
      <w:pPr>
        <w:rPr>
          <w:lang w:val="ro-RO" w:eastAsia="en-GB"/>
        </w:rPr>
      </w:pPr>
      <w:r w:rsidRPr="00D924A7">
        <w:rPr>
          <w:lang w:val="ro-RO" w:eastAsia="en-GB"/>
        </w:rPr>
        <w:t>-</w:t>
      </w:r>
      <w:r w:rsidRPr="00D924A7">
        <w:rPr>
          <w:lang w:val="ro-RO" w:eastAsia="en-GB"/>
        </w:rPr>
        <w:tab/>
        <w:t>răspunde întrebărilor și/sau solicitărilor persoanelor interesate în orice problemă care face obiectul atribuţiilor CNZC, cu excepţia celor în legătură cu care CNZC nu a adoptat încă o decizie;</w:t>
      </w:r>
    </w:p>
    <w:p w14:paraId="606D991C" w14:textId="77777777" w:rsidR="00670FD4" w:rsidRPr="00D924A7" w:rsidRDefault="00670FD4" w:rsidP="00670FD4">
      <w:pPr>
        <w:rPr>
          <w:lang w:val="ro-RO" w:eastAsia="en-GB"/>
        </w:rPr>
      </w:pPr>
      <w:r w:rsidRPr="00D924A7">
        <w:rPr>
          <w:lang w:val="ro-RO" w:eastAsia="en-GB"/>
        </w:rPr>
        <w:t>-</w:t>
      </w:r>
      <w:r w:rsidRPr="00D924A7">
        <w:rPr>
          <w:lang w:val="ro-RO" w:eastAsia="en-GB"/>
        </w:rPr>
        <w:tab/>
        <w:t>asigură întocmirea proceselor-verbale ale fiecărei şedinţe de lucru și ale dezbaterilor publice;</w:t>
      </w:r>
    </w:p>
    <w:p w14:paraId="6797A402" w14:textId="77777777" w:rsidR="00670FD4" w:rsidRPr="00D924A7" w:rsidRDefault="00670FD4" w:rsidP="00670FD4">
      <w:pPr>
        <w:rPr>
          <w:lang w:val="ro-RO" w:eastAsia="en-GB"/>
        </w:rPr>
      </w:pPr>
      <w:r w:rsidRPr="00D924A7">
        <w:rPr>
          <w:lang w:val="ro-RO" w:eastAsia="en-GB"/>
        </w:rPr>
        <w:t>-</w:t>
      </w:r>
      <w:r w:rsidRPr="00D924A7">
        <w:rPr>
          <w:lang w:val="ro-RO" w:eastAsia="en-GB"/>
        </w:rPr>
        <w:tab/>
        <w:t>elaborează proiectele programului de lucru anual în vederea desfășurării activităţilor CNZC și le supune aprobării acestuia.</w:t>
      </w:r>
    </w:p>
    <w:p w14:paraId="3F7BBC97" w14:textId="77777777" w:rsidR="00670FD4" w:rsidRPr="00D924A7" w:rsidRDefault="00670FD4" w:rsidP="00670FD4">
      <w:pPr>
        <w:rPr>
          <w:lang w:val="ro-RO" w:eastAsia="en-GB"/>
        </w:rPr>
      </w:pPr>
      <w:r w:rsidRPr="00D924A7">
        <w:rPr>
          <w:lang w:val="ro-RO" w:eastAsia="en-GB"/>
        </w:rPr>
        <w:t>În cadrul CNZC sunt constituite, în prezent, șase Grupuri de Lucru, după cum urmează:</w:t>
      </w:r>
    </w:p>
    <w:p w14:paraId="08FEBADC" w14:textId="77777777" w:rsidR="00670FD4" w:rsidRPr="00D924A7" w:rsidRDefault="00670FD4" w:rsidP="00670FD4">
      <w:pPr>
        <w:rPr>
          <w:lang w:val="ro-RO" w:eastAsia="en-GB"/>
        </w:rPr>
      </w:pPr>
      <w:r w:rsidRPr="00D924A7">
        <w:rPr>
          <w:lang w:val="ro-RO" w:eastAsia="en-GB"/>
        </w:rPr>
        <w:t>-</w:t>
      </w:r>
      <w:r w:rsidRPr="00D924A7">
        <w:rPr>
          <w:lang w:val="ro-RO" w:eastAsia="en-GB"/>
        </w:rPr>
        <w:tab/>
        <w:t>Grupul de lucru pentru delimitarea zonei costiere, urbanism și amenajarea teritoriului;</w:t>
      </w:r>
    </w:p>
    <w:p w14:paraId="2F5340C5" w14:textId="77777777" w:rsidR="00670FD4" w:rsidRPr="00D924A7" w:rsidRDefault="00670FD4" w:rsidP="00670FD4">
      <w:pPr>
        <w:rPr>
          <w:lang w:val="ro-RO" w:eastAsia="en-GB"/>
        </w:rPr>
      </w:pPr>
      <w:r w:rsidRPr="00D924A7">
        <w:rPr>
          <w:lang w:val="ro-RO" w:eastAsia="en-GB"/>
        </w:rPr>
        <w:t>-</w:t>
      </w:r>
      <w:r w:rsidRPr="00D924A7">
        <w:rPr>
          <w:lang w:val="ro-RO" w:eastAsia="en-GB"/>
        </w:rPr>
        <w:tab/>
        <w:t>Grupul de lucru pentru combaterea degradării Zonei Costiere prin eroziune marină, alunecări de teren și alte accidente;</w:t>
      </w:r>
    </w:p>
    <w:p w14:paraId="27E89DE9" w14:textId="77777777" w:rsidR="00670FD4" w:rsidRPr="00D924A7" w:rsidRDefault="00670FD4" w:rsidP="00670FD4">
      <w:pPr>
        <w:rPr>
          <w:lang w:val="ro-RO" w:eastAsia="en-GB"/>
        </w:rPr>
      </w:pPr>
      <w:r w:rsidRPr="00D924A7">
        <w:rPr>
          <w:lang w:val="ro-RO" w:eastAsia="en-GB"/>
        </w:rPr>
        <w:t>-</w:t>
      </w:r>
      <w:r w:rsidRPr="00D924A7">
        <w:rPr>
          <w:lang w:val="ro-RO" w:eastAsia="en-GB"/>
        </w:rPr>
        <w:tab/>
        <w:t>Grupul de lucru pentru elaborarea documentelor juridice, tehnice la nivel naţional, regional și intersectorial referitoare la gospodărirea integrată a Zonei Costiere;</w:t>
      </w:r>
    </w:p>
    <w:p w14:paraId="21FEAD0B" w14:textId="77777777" w:rsidR="00670FD4" w:rsidRPr="00D924A7" w:rsidRDefault="00670FD4" w:rsidP="00670FD4">
      <w:pPr>
        <w:rPr>
          <w:lang w:val="ro-RO" w:eastAsia="en-GB"/>
        </w:rPr>
      </w:pPr>
      <w:r w:rsidRPr="00D924A7">
        <w:rPr>
          <w:lang w:val="ro-RO" w:eastAsia="en-GB"/>
        </w:rPr>
        <w:t>-</w:t>
      </w:r>
      <w:r w:rsidRPr="00D924A7">
        <w:rPr>
          <w:lang w:val="ro-RO" w:eastAsia="en-GB"/>
        </w:rPr>
        <w:tab/>
        <w:t>Grupul de lucru pentru elaborarea de politici, strategii și planuri de acţiune pentru gospodărirea integrată a Zonei Costiere;</w:t>
      </w:r>
    </w:p>
    <w:p w14:paraId="424137B8" w14:textId="77777777" w:rsidR="00670FD4" w:rsidRPr="00D924A7" w:rsidRDefault="00670FD4" w:rsidP="00670FD4">
      <w:pPr>
        <w:rPr>
          <w:lang w:val="ro-RO" w:eastAsia="en-GB"/>
        </w:rPr>
      </w:pPr>
      <w:r w:rsidRPr="00D924A7">
        <w:rPr>
          <w:lang w:val="ro-RO" w:eastAsia="en-GB"/>
        </w:rPr>
        <w:t>-</w:t>
      </w:r>
      <w:r w:rsidRPr="00D924A7">
        <w:rPr>
          <w:lang w:val="ro-RO" w:eastAsia="en-GB"/>
        </w:rPr>
        <w:tab/>
        <w:t>Grupul de lucru pentru monitorizarea și controlul integrat al patrimoniului, calităţii mediului și activităţilor umane din Zona Costieră;</w:t>
      </w:r>
    </w:p>
    <w:p w14:paraId="5B035493" w14:textId="77777777" w:rsidR="00670FD4" w:rsidRPr="00D924A7" w:rsidRDefault="00670FD4" w:rsidP="00670FD4">
      <w:pPr>
        <w:rPr>
          <w:lang w:val="ro-RO" w:eastAsia="en-GB"/>
        </w:rPr>
      </w:pPr>
      <w:r w:rsidRPr="00D924A7">
        <w:rPr>
          <w:lang w:val="ro-RO" w:eastAsia="en-GB"/>
        </w:rPr>
        <w:lastRenderedPageBreak/>
        <w:t>-</w:t>
      </w:r>
      <w:r w:rsidRPr="00D924A7">
        <w:rPr>
          <w:lang w:val="ro-RO" w:eastAsia="en-GB"/>
        </w:rPr>
        <w:tab/>
        <w:t>Grupul de lucru pentru informare și comunicare.</w:t>
      </w:r>
    </w:p>
    <w:p w14:paraId="29D0773A" w14:textId="77777777" w:rsidR="00670FD4" w:rsidRPr="00D924A7" w:rsidRDefault="00670FD4" w:rsidP="00670FD4">
      <w:pPr>
        <w:spacing w:before="0"/>
        <w:rPr>
          <w:lang w:val="ro-RO" w:eastAsia="en-GB"/>
        </w:rPr>
      </w:pPr>
      <w:r w:rsidRPr="00D924A7">
        <w:rPr>
          <w:lang w:val="ro-RO" w:eastAsia="en-GB"/>
        </w:rPr>
        <w:t>Conform art. 6, alin. 8 din Anexa la Regulamentului de organizare și funcționare a CNZC, aprobat prin H.G. 1015/26.06.2004 cu modificările și completările ulterioare, deciziile CNZC au caracter consultativ și sunt luate în considerare de autoritatea publică centrală pentru protecția mediului și gospodărirea apelor, dar fără a avea un caracter obligatoriu.</w:t>
      </w:r>
    </w:p>
    <w:p w14:paraId="3D7AAE28" w14:textId="77777777" w:rsidR="00670FD4" w:rsidRPr="00D924A7" w:rsidRDefault="00670FD4" w:rsidP="00670FD4">
      <w:pPr>
        <w:spacing w:before="0"/>
        <w:rPr>
          <w:lang w:val="ro-RO" w:eastAsia="en-GB"/>
        </w:rPr>
      </w:pPr>
      <w:r w:rsidRPr="00D924A7">
        <w:rPr>
          <w:lang w:val="ro-RO" w:eastAsia="en-GB"/>
        </w:rPr>
        <w:t>În complexitatea cadrului instituțional pentru managementul integrat al zonei costiere, caracterizat prin diversitatea de acte normative și structuri instituționale cu responsabilități și atribuții directe și/sau conexe, CNZC funcționează în prezent destul de greoi și de multe ori ineficient, fiind astfel necesară o revizuire a componenței și, în special, a atribuțiilor acestuia, astfel încât să aibă autoritate, să funcționeze continuu, să devină mai consistent, mai eficient și cu un rol mai important și mai bine definit.</w:t>
      </w:r>
    </w:p>
    <w:p w14:paraId="26781651" w14:textId="77777777" w:rsidR="00670FD4" w:rsidRPr="00D924A7" w:rsidRDefault="00670FD4" w:rsidP="00670FD4">
      <w:pPr>
        <w:spacing w:before="0"/>
        <w:rPr>
          <w:lang w:val="ro-RO" w:eastAsia="en-GB"/>
        </w:rPr>
      </w:pPr>
      <w:r w:rsidRPr="00D924A7">
        <w:rPr>
          <w:lang w:val="ro-RO" w:eastAsia="en-GB"/>
        </w:rPr>
        <w:t>În ceea ce privește componența CNZC se remarcă absența reprezentanților mediului de afaceri, astfel, interesele comunității de afaceri din zona costieră nu sunt adecvat reprezentate, protejate și susținute în raport cu autoritățile publice și locale. Acest lucru poate duce la decizii care nu iau în considerare perspectivele și preocupările mediului de afaceri, ceea ce poate afecta negativ dezvoltarea economică sustenabilă în zona costieră. În plus, având în vedere potențialul foarte mare al activităților de planificare spațială a teritoriului și urbanism de a induce riscuri în zona costieră, este surprinzătoare absența organizațiilor profesionale de profil din componența CNZC.</w:t>
      </w:r>
    </w:p>
    <w:p w14:paraId="67FCD679" w14:textId="77777777" w:rsidR="00670FD4" w:rsidRPr="00D924A7" w:rsidRDefault="00670FD4" w:rsidP="00670FD4">
      <w:pPr>
        <w:spacing w:before="0"/>
        <w:rPr>
          <w:lang w:val="ro-RO" w:eastAsia="en-GB"/>
        </w:rPr>
      </w:pPr>
      <w:r w:rsidRPr="00D924A7">
        <w:rPr>
          <w:lang w:val="ro-RO" w:eastAsia="en-GB"/>
        </w:rPr>
        <w:t xml:space="preserve">Tot referitor la funcționarea CNZC, o problemă importantă pentru asigurarea eficienței CNZC este și lipsa (cel puțin parțială) de resurse (financiare, logistice). Dacă activitatea membrilor CNZC delegați de instituțiile publice nominalizate se asigură din bugetele instituțiilor respective, participarea altor reprezentanți precum și a experților în grupurile nominalizate, depinde de resursele limitate sau chiar inexistente ale acestora, bazându-se pe caracterul voluntar, ceea ce în practică nu s-a dovedit că poate asigura continuitatea și calitatea activităților. </w:t>
      </w:r>
    </w:p>
    <w:p w14:paraId="69BCD0DF" w14:textId="77777777" w:rsidR="00670FD4" w:rsidRPr="00D924A7" w:rsidRDefault="00670FD4" w:rsidP="00670FD4">
      <w:pPr>
        <w:spacing w:before="0"/>
        <w:rPr>
          <w:lang w:val="ro-RO" w:eastAsia="en-GB"/>
        </w:rPr>
      </w:pPr>
      <w:r w:rsidRPr="00D924A7">
        <w:rPr>
          <w:lang w:val="ro-RO" w:eastAsia="en-GB"/>
        </w:rPr>
        <w:t>Administrațiile locale, membre ale CNZC, sunt destul de puțin motivate și implicate în procesul de management integrat al zonei costiere (cel mai elocvent exemplu este neincluderea delimitării zonei costiere în PUG-uri, dealtfel stipulată în OUG 202 / 2002), astfel încât atribuțiile și consistența acțiunilor lor în cadrul CNZC necesită o îmbunătățire majoră, inclusiv în ceea ce privește implicarea și expertiza funcționarilor publici.</w:t>
      </w:r>
    </w:p>
    <w:p w14:paraId="0BA5F0F4" w14:textId="77777777" w:rsidR="00670FD4" w:rsidRPr="00D924A7" w:rsidRDefault="00670FD4" w:rsidP="00670FD4">
      <w:pPr>
        <w:spacing w:before="0"/>
        <w:rPr>
          <w:lang w:val="ro-RO" w:eastAsia="en-GB"/>
        </w:rPr>
      </w:pPr>
      <w:r w:rsidRPr="00D924A7">
        <w:rPr>
          <w:lang w:val="ro-RO" w:eastAsia="en-GB"/>
        </w:rPr>
        <w:t xml:space="preserve">Referitor la coordonarea orizontală intersectorială, se poate spune că în trecut au existat exemple de competențe neclare și suprapuse și de funcționare ineficientă. Pe lângă slăbiciunile în coordonarea și integrarea intersectorială, probleme majore se înregistrează în coordonarea verticală (de la nivel local la nivel național). Capacitățile scăzute, precum și lipsa de experiență și cunoștințe pentru aplicarea unei abordări de management integrat sunt, de asemenea, caracteristice sistemului instituțional existent, iar acest lucru este deosebit de evident la nivel local. Delimitarea clară a responsabilităților din cadrul ministerelor sub jurisdicția cărora intră cele mai importante aspecte referitoare la managementul zonei de costiere este necesară pentru o coordonare mai bună la nivel local a reprezentanților în teritoriu, evitându-se suprapunerea anumitor reglementări, astfel încât acțiunile să fie concertate și eficiente. Totodată, analiza </w:t>
      </w:r>
      <w:r w:rsidRPr="00D924A7">
        <w:rPr>
          <w:lang w:val="ro-RO" w:eastAsia="en-GB"/>
        </w:rPr>
        <w:lastRenderedPageBreak/>
        <w:t>cadrului instituțional și legal actual relevă faptul că există decalaje care pot fi estompate prin adresare punctuală, ținând cont de specificitățile regionale și locale, respectiv condițiile interne și externe - un exemplu poate fi cel referitor la recunoașterea schimbărilor climatice și măsurile necesare.</w:t>
      </w:r>
    </w:p>
    <w:p w14:paraId="7819705E" w14:textId="77777777" w:rsidR="00670FD4" w:rsidRDefault="00670FD4" w:rsidP="00670FD4">
      <w:pPr>
        <w:spacing w:before="0"/>
        <w:rPr>
          <w:lang w:val="ro-RO" w:eastAsia="en-GB"/>
        </w:rPr>
      </w:pPr>
      <w:r w:rsidRPr="00D924A7">
        <w:rPr>
          <w:lang w:val="ro-RO" w:eastAsia="en-GB"/>
        </w:rPr>
        <w:t>Cooperarea și coordonarea CNZC cu Comitetul Național pentru Amenajarea Spațiului Maritim este, în prezent, cvasi-inexistentă, în ciuda faptului că multe dintre organizațiile componente sunt reprezentate în ambele comitete. Având în vedere că apele teritoriale ale României reprezintă un spațiu comun ambelor instrumente, cooperarea și coordonarea dintre cele două este obligatorie, iar membrii desemnați în cele două comitete naționale să fie aceeași în condițiile în care se poate acest lucru, eliminând astfel posibile scurtcircuite ale proceselor de guvernanță și management.</w:t>
      </w:r>
    </w:p>
    <w:p w14:paraId="02F8BB0A" w14:textId="77777777" w:rsidR="00670FD4" w:rsidRDefault="00670FD4" w:rsidP="00670FD4">
      <w:pPr>
        <w:pStyle w:val="Heading3"/>
      </w:pPr>
      <w:bookmarkStart w:id="53" w:name="_Toc171084823"/>
      <w:r>
        <w:t xml:space="preserve">2.2.2 </w:t>
      </w:r>
      <w:r w:rsidRPr="005D2CE5">
        <w:t>Cadrul</w:t>
      </w:r>
      <w:r w:rsidRPr="00D924A7">
        <w:t xml:space="preserve"> legislativ actual și problemele identificate</w:t>
      </w:r>
      <w:bookmarkEnd w:id="53"/>
    </w:p>
    <w:p w14:paraId="1B2C2FE6" w14:textId="77777777" w:rsidR="00670FD4" w:rsidRPr="00D924A7" w:rsidRDefault="00670FD4" w:rsidP="00670FD4">
      <w:pPr>
        <w:spacing w:before="0"/>
        <w:ind w:firstLine="567"/>
        <w:rPr>
          <w:lang w:val="ro-RO" w:eastAsia="en-GB"/>
        </w:rPr>
      </w:pPr>
      <w:r w:rsidRPr="00D924A7">
        <w:rPr>
          <w:lang w:val="ro-RO" w:eastAsia="en-GB"/>
        </w:rPr>
        <w:t>România a fost printre primele țări din bazinul Mării Negre care a creat cadrul legislativ în vederea implementării managementului integrat al zonei costiere. Prin adoptarea Ordonanţei de Urgenţă a Guvernului nr. 202/2002 privind gospodărirea integrată a zonei costiere, aprobată cu modificări prin Legea nr. 280/2003, România a recunoscut că managementul integrat al zonei costiere reprezintă un instrument valoros care a creat structuri şi un cadru legal pentru a promova implementarea acestuia în consens cu Recomandarea Parlamentului și a Consiliului European din 30.05.2002 privind implementarea MIZC în Europa (2002/413/EC).</w:t>
      </w:r>
    </w:p>
    <w:p w14:paraId="0936460E" w14:textId="77777777" w:rsidR="00670FD4" w:rsidRPr="00D924A7" w:rsidRDefault="00670FD4" w:rsidP="00670FD4">
      <w:pPr>
        <w:spacing w:before="0"/>
        <w:ind w:firstLine="567"/>
        <w:rPr>
          <w:lang w:val="ro-RO" w:eastAsia="en-GB"/>
        </w:rPr>
      </w:pPr>
      <w:r w:rsidRPr="00D924A7">
        <w:rPr>
          <w:lang w:val="ro-RO" w:eastAsia="en-GB"/>
        </w:rPr>
        <w:t>În baza OUG nr. 202/2002 privind gospodărirea zonei costiere, aprobată cu modificări prin Legea nr. 280/2003, a fost înființat, în 2004, Comitetul Naţional al Zonei Costiere (CNZC), în scopul asigurării gospodăririi integrate a zonei costiere. Organizarea și funcționarea acestui comitet este reglementată, în prezent, prin H.G nr. 1015 / 2004, modificată și completată prin H.G. nr 526 / 2020, publicată în M.O. nr. 623 din 15 iulie 2020.</w:t>
      </w:r>
    </w:p>
    <w:p w14:paraId="022A33BF" w14:textId="77777777" w:rsidR="00670FD4" w:rsidRPr="00D924A7" w:rsidRDefault="00670FD4" w:rsidP="00670FD4">
      <w:pPr>
        <w:ind w:firstLine="567"/>
        <w:rPr>
          <w:lang w:val="ro-RO" w:eastAsia="en-GB"/>
        </w:rPr>
      </w:pPr>
      <w:r w:rsidRPr="00D924A7">
        <w:rPr>
          <w:lang w:val="ro-RO" w:eastAsia="en-GB"/>
        </w:rPr>
        <w:t>Pe lângă actele normative menționate mai sus, referitoare la cadrul instituțional, în 2004 au fost aprobate două hotărâri ale guvernului esențiale în procesul de management al zonei costiere, respectiv i) H.G. nr. 546 din 7 aprilie 2004 (publicată în M.O nr. 393 din 20 mai 2004), prin care aprobă Metodologia pentru delimitarea domeniului public al statului în zona costieră și ii) H.G. nr. 749 din 14 Mai 2004 (publicată în M.O. nr. 455 din 24 Mai 2004), care stabilește responsabilitățile, criteriile și metoda de delimitare a fâșiei de teren aflată în apropierea zonei costiere în scopul conservării valorilor mediului, patrimoniale și peisagistice în apropiere de țărm.</w:t>
      </w:r>
    </w:p>
    <w:p w14:paraId="280FE3C1" w14:textId="77777777" w:rsidR="00670FD4" w:rsidRPr="00D924A7" w:rsidRDefault="00670FD4" w:rsidP="00670FD4">
      <w:pPr>
        <w:ind w:firstLine="567"/>
        <w:rPr>
          <w:lang w:val="ro-RO" w:eastAsia="en-GB"/>
        </w:rPr>
      </w:pPr>
      <w:r w:rsidRPr="00D924A7">
        <w:rPr>
          <w:lang w:val="ro-RO" w:eastAsia="en-GB"/>
        </w:rPr>
        <w:t xml:space="preserve">Complementar actelor normative mai sus menționate, cadrul legislativ cuprinde numeroase alte acte normative </w:t>
      </w:r>
      <w:r>
        <w:rPr>
          <w:lang w:val="ro-RO" w:eastAsia="en-GB"/>
        </w:rPr>
        <w:t>sectoriale prezentate în Anexa 3</w:t>
      </w:r>
      <w:r w:rsidRPr="00D924A7">
        <w:rPr>
          <w:lang w:val="ro-RO" w:eastAsia="en-GB"/>
        </w:rPr>
        <w:t xml:space="preserve">. </w:t>
      </w:r>
    </w:p>
    <w:p w14:paraId="04A133E4" w14:textId="77777777" w:rsidR="00670FD4" w:rsidRPr="00D924A7" w:rsidRDefault="00670FD4" w:rsidP="00670FD4">
      <w:pPr>
        <w:ind w:firstLine="567"/>
        <w:rPr>
          <w:lang w:val="ro-RO" w:eastAsia="en-GB"/>
        </w:rPr>
      </w:pPr>
      <w:r w:rsidRPr="00D924A7">
        <w:rPr>
          <w:lang w:val="ro-RO" w:eastAsia="en-GB"/>
        </w:rPr>
        <w:t>Analizând cadrul juridic actual pentru managementul integrat al zonei costiere se remarcă următoarele aspecte:</w:t>
      </w:r>
    </w:p>
    <w:p w14:paraId="375074F7" w14:textId="77777777" w:rsidR="00670FD4" w:rsidRPr="00D924A7" w:rsidRDefault="00670FD4" w:rsidP="00670FD4">
      <w:pPr>
        <w:ind w:left="567" w:firstLine="0"/>
        <w:rPr>
          <w:lang w:val="ro-RO" w:eastAsia="en-GB"/>
        </w:rPr>
      </w:pPr>
      <w:r w:rsidRPr="00D924A7">
        <w:rPr>
          <w:lang w:val="ro-RO" w:eastAsia="en-GB"/>
        </w:rPr>
        <w:t>●</w:t>
      </w:r>
      <w:r w:rsidRPr="00D924A7">
        <w:rPr>
          <w:lang w:val="ro-RO" w:eastAsia="en-GB"/>
        </w:rPr>
        <w:tab/>
      </w:r>
      <w:r>
        <w:rPr>
          <w:lang w:val="ro-RO" w:eastAsia="en-GB"/>
        </w:rPr>
        <w:t xml:space="preserve"> </w:t>
      </w:r>
      <w:r w:rsidRPr="00D924A7">
        <w:rPr>
          <w:lang w:val="ro-RO" w:eastAsia="en-GB"/>
        </w:rPr>
        <w:t xml:space="preserve">Actualul cadru legislativ are un domeniu de aplicare prea larg. </w:t>
      </w:r>
    </w:p>
    <w:p w14:paraId="24A3F7FB" w14:textId="77777777" w:rsidR="00670FD4" w:rsidRPr="00D924A7" w:rsidRDefault="00670FD4" w:rsidP="00670FD4">
      <w:pPr>
        <w:ind w:left="567" w:firstLine="0"/>
        <w:rPr>
          <w:lang w:val="ro-RO" w:eastAsia="en-GB"/>
        </w:rPr>
      </w:pPr>
      <w:r w:rsidRPr="00D924A7">
        <w:rPr>
          <w:lang w:val="ro-RO" w:eastAsia="en-GB"/>
        </w:rPr>
        <w:t xml:space="preserve">OUG 202 / 2002, aprobată cu modificările și amendamentele ulterioare prin Legea nr. 280/2003, este un act legislativ care încearcă să reglementeze prea mult. Deoarece MIZC se referă la gestionarea zonei costiere și implică probleme multiple, rezultate multiple </w:t>
      </w:r>
      <w:r w:rsidRPr="00D924A7">
        <w:rPr>
          <w:lang w:val="ro-RO" w:eastAsia="en-GB"/>
        </w:rPr>
        <w:lastRenderedPageBreak/>
        <w:t xml:space="preserve">dorite și instituții multiple, cu mandate diferite, ar trebui să fie mai degrabă un act legislativ care "facilitează" alte acte legislative și reglementări existente să fie aplicate și să fie respectate, în loc să încerce să se reglementeze prin aplicare independentă. Prin urmare, OUG 202 / 2002 ar trebui să devină o "lege-cadru". Există totuși o excepție, și anume, OUG 202 / 2002 ar trebui să conțină o secțiune cu reglementări foarte specifice și destul de stricte pentru zona costieră. În ciuda existenței legislației și a reglementărilor privind permisele și procedurile specifice de utilizare a terenurilor și de construcție, zona costieră are nevoie de un "regim legislativ" special din perspectiva gestionării; </w:t>
      </w:r>
    </w:p>
    <w:p w14:paraId="416D2044" w14:textId="77777777" w:rsidR="00670FD4" w:rsidRPr="00D924A7" w:rsidRDefault="00670FD4" w:rsidP="00670FD4">
      <w:pPr>
        <w:ind w:left="567" w:firstLine="0"/>
        <w:rPr>
          <w:lang w:val="ro-RO" w:eastAsia="en-GB"/>
        </w:rPr>
      </w:pPr>
      <w:r w:rsidRPr="00D924A7">
        <w:rPr>
          <w:lang w:val="ro-RO" w:eastAsia="en-GB"/>
        </w:rPr>
        <w:t>●</w:t>
      </w:r>
      <w:r w:rsidRPr="00D924A7">
        <w:rPr>
          <w:lang w:val="ro-RO" w:eastAsia="en-GB"/>
        </w:rPr>
        <w:tab/>
      </w:r>
      <w:r>
        <w:rPr>
          <w:lang w:val="ro-RO" w:eastAsia="en-GB"/>
        </w:rPr>
        <w:t xml:space="preserve"> </w:t>
      </w:r>
      <w:r w:rsidRPr="00D924A7">
        <w:rPr>
          <w:lang w:val="ro-RO" w:eastAsia="en-GB"/>
        </w:rPr>
        <w:t xml:space="preserve">Actualul cadru legislativ este destul de dificil de aplicat. </w:t>
      </w:r>
    </w:p>
    <w:p w14:paraId="127BA081" w14:textId="77777777" w:rsidR="00670FD4" w:rsidRPr="00D924A7" w:rsidRDefault="00670FD4" w:rsidP="00670FD4">
      <w:pPr>
        <w:ind w:left="567" w:firstLine="0"/>
        <w:rPr>
          <w:lang w:val="ro-RO" w:eastAsia="en-GB"/>
        </w:rPr>
      </w:pPr>
      <w:r w:rsidRPr="00D924A7">
        <w:rPr>
          <w:lang w:val="ro-RO" w:eastAsia="en-GB"/>
        </w:rPr>
        <w:t xml:space="preserve">Punerea practică în aplicare a OUG 202 / 2002, aprobată cu modificările și amendamentele ulterioare prin Legea nr. 280/2003, este destul de dificilă, deoarece proclamă că se bazează pe o serie de principii (de exemplu, principiul dezvoltării durabile, principiul precauției, principiul "poluatorul plătește" etc.), dar mecanismele de aplicare a acestor principii sunt destul de greoaie. Astfel, în cazul principiului "poluatorul plătește", dificultăți practice apar deseori, încă din faza de identificarea a poluatorilor; </w:t>
      </w:r>
    </w:p>
    <w:p w14:paraId="2BC93980" w14:textId="77777777" w:rsidR="00670FD4" w:rsidRPr="00D924A7" w:rsidRDefault="00670FD4" w:rsidP="00670FD4">
      <w:pPr>
        <w:ind w:left="567" w:firstLine="0"/>
        <w:rPr>
          <w:lang w:val="ro-RO" w:eastAsia="en-GB"/>
        </w:rPr>
      </w:pPr>
      <w:r w:rsidRPr="00D924A7">
        <w:rPr>
          <w:lang w:val="ro-RO" w:eastAsia="en-GB"/>
        </w:rPr>
        <w:t>●</w:t>
      </w:r>
      <w:r w:rsidRPr="00D924A7">
        <w:rPr>
          <w:lang w:val="ro-RO" w:eastAsia="en-GB"/>
        </w:rPr>
        <w:tab/>
      </w:r>
      <w:r>
        <w:rPr>
          <w:lang w:val="ro-RO" w:eastAsia="en-GB"/>
        </w:rPr>
        <w:t xml:space="preserve"> </w:t>
      </w:r>
      <w:r w:rsidRPr="00D924A7">
        <w:rPr>
          <w:lang w:val="ro-RO" w:eastAsia="en-GB"/>
        </w:rPr>
        <w:t xml:space="preserve">Actualul cadru legislativ nu este întrutotul coerent. </w:t>
      </w:r>
    </w:p>
    <w:p w14:paraId="61AFA5A9" w14:textId="77777777" w:rsidR="00670FD4" w:rsidRPr="00D924A7" w:rsidRDefault="00670FD4" w:rsidP="00670FD4">
      <w:pPr>
        <w:ind w:left="567" w:firstLine="0"/>
        <w:rPr>
          <w:lang w:val="ro-RO" w:eastAsia="en-GB"/>
        </w:rPr>
      </w:pPr>
      <w:r w:rsidRPr="00D924A7">
        <w:rPr>
          <w:lang w:val="ro-RO" w:eastAsia="en-GB"/>
        </w:rPr>
        <w:t xml:space="preserve">OUG 202 / 2002 prezintă câteva exemple de incoerență: i) deși în OUG se aderă la principiul "poluatorul plătește", nu este specificat modalitatea de aplicare a acestui principiu; ii) OUG atribuie sarcini, responsabilități și competențe specifice unor organisme specifice care sunt incompatibile cu alte acte legislative/reglementări existente; </w:t>
      </w:r>
    </w:p>
    <w:p w14:paraId="2A732D25" w14:textId="77777777" w:rsidR="00670FD4" w:rsidRPr="00D924A7" w:rsidRDefault="00670FD4" w:rsidP="00670FD4">
      <w:pPr>
        <w:ind w:left="567" w:firstLine="0"/>
        <w:rPr>
          <w:lang w:val="ro-RO" w:eastAsia="en-GB"/>
        </w:rPr>
      </w:pPr>
      <w:r w:rsidRPr="00D924A7">
        <w:rPr>
          <w:lang w:val="ro-RO" w:eastAsia="en-GB"/>
        </w:rPr>
        <w:t>●</w:t>
      </w:r>
      <w:r>
        <w:rPr>
          <w:lang w:val="ro-RO" w:eastAsia="en-GB"/>
        </w:rPr>
        <w:t xml:space="preserve"> </w:t>
      </w:r>
      <w:r w:rsidRPr="00D924A7">
        <w:rPr>
          <w:lang w:val="ro-RO" w:eastAsia="en-GB"/>
        </w:rPr>
        <w:t>Actualul cadru legislativ nu este pe deplin corelat cu legislația și definițiile specifice domeniilor conexe.</w:t>
      </w:r>
    </w:p>
    <w:p w14:paraId="1F97BBBC" w14:textId="77777777" w:rsidR="00670FD4" w:rsidRPr="00D924A7" w:rsidRDefault="00670FD4" w:rsidP="00670FD4">
      <w:pPr>
        <w:ind w:left="567" w:firstLine="0"/>
        <w:rPr>
          <w:lang w:val="ro-RO" w:eastAsia="en-GB"/>
        </w:rPr>
      </w:pPr>
      <w:r w:rsidRPr="00D924A7">
        <w:rPr>
          <w:lang w:val="ro-RO" w:eastAsia="en-GB"/>
        </w:rPr>
        <w:t>Astfel, în domeniul patrimoniului cultural, spre exemplu, art. 60, alin. (3) al OUG 202/2002, referitor la interzicerea amplasării oricăror construcţii pe diverse terenuri printre care ”a altor habitate naturale în apropierea monumentelor culturale”, prezintă o formulare vagă, nefiind clară noțiunea de apropiere și ignorând definiția zonei de protecție a monumentului istoric și reglementarea intervențiilor în aceasta prevăzute în Legea 422/2001. De asemenea, art. 64 al aceleași OUG, care impune ca prin grija autorităţii centrale pentru protecţia mediului şi gospodărirea apelor să se elaboreze un inventar la nivel naţional cuprinzând informaţii privind patrimoniul cultural şi arheologic, ignoră existența Listei monumentelor istorice publicată în M.O conform prevederilor Legii 422/2001, precum și platforma on-line a Repertoriului Arheologic Național, instituit conform O.G 43/2000;</w:t>
      </w:r>
    </w:p>
    <w:p w14:paraId="1B09E63A" w14:textId="77777777" w:rsidR="00670FD4" w:rsidRPr="00D924A7" w:rsidRDefault="00670FD4" w:rsidP="00670FD4">
      <w:pPr>
        <w:pStyle w:val="ListParagraph"/>
        <w:numPr>
          <w:ilvl w:val="0"/>
          <w:numId w:val="17"/>
        </w:numPr>
        <w:ind w:left="567" w:firstLine="0"/>
        <w:rPr>
          <w:lang w:val="ro-RO" w:eastAsia="en-GB"/>
        </w:rPr>
      </w:pPr>
      <w:r w:rsidRPr="00D924A7">
        <w:rPr>
          <w:lang w:val="ro-RO" w:eastAsia="en-GB"/>
        </w:rPr>
        <w:t>Actualul cadru legislativ, referitor la delimitări, nu este actualizat în conformitate cu lucrările de protecție și amenajare costieră recente sau în curs de desfășurare.</w:t>
      </w:r>
    </w:p>
    <w:p w14:paraId="65D20B1F" w14:textId="77777777" w:rsidR="00670FD4" w:rsidRPr="00D924A7" w:rsidRDefault="00670FD4" w:rsidP="00670FD4">
      <w:pPr>
        <w:ind w:firstLine="567"/>
        <w:rPr>
          <w:lang w:val="ro-RO" w:eastAsia="en-GB"/>
        </w:rPr>
      </w:pPr>
      <w:r w:rsidRPr="00D924A7">
        <w:rPr>
          <w:lang w:val="ro-RO" w:eastAsia="en-GB"/>
        </w:rPr>
        <w:t>OUG 202/2002 prevede la articolul 9, alin. 5 următoarele: Dacă configuraţia proprietăţii publice în zona costiera se va modifica ulterior, indiferent din ce cauza, noile delimitari vor fi stabilite conform prevederilor alin. (1)-(3). Conform alin. 1 al acestui articol, noua delimitare trebuie realizată pe baza metodologiei descrisă în HG 546 / 2004. În art. 15 al HG. 546 / 2004 se precizează la pct. c) delimitarea pe toată lungimea litoralului a unei fâşii de teren late de 50-</w:t>
      </w:r>
      <w:r w:rsidRPr="00D924A7">
        <w:rPr>
          <w:lang w:val="ro-RO" w:eastAsia="en-GB"/>
        </w:rPr>
        <w:lastRenderedPageBreak/>
        <w:t xml:space="preserve">150 m, măsurată de la linia cea mai înaintată a mării, în funcţie de lăţimea zonei costiere, în care sunt interzise orice fel de construcţii definitive. În condițiile în care care prin recente lucrări de protecție și amenajare costieră din sudul litoralului, lungimea plajei a crescut până la 300 - 400 m, fâșia de teren lată de 50 - 150 m poate acoperi jumătate din lărgirea plajei, ceea ce ar însemna, potrivit legislației actuale, că sunt permise construcții definitive la jumătatea plajei. </w:t>
      </w:r>
    </w:p>
    <w:p w14:paraId="46018C1D" w14:textId="77777777" w:rsidR="00670FD4" w:rsidRPr="00D924A7" w:rsidRDefault="00670FD4" w:rsidP="00670FD4">
      <w:pPr>
        <w:ind w:firstLine="567"/>
        <w:rPr>
          <w:lang w:val="ro-RO" w:eastAsia="en-GB"/>
        </w:rPr>
      </w:pPr>
      <w:r w:rsidRPr="00D924A7">
        <w:rPr>
          <w:lang w:val="ro-RO" w:eastAsia="en-GB"/>
        </w:rPr>
        <w:t xml:space="preserve">Tot referitor la cadrul legislativ, trebuie menționate problemele legate de neclaritățile și ambiguitățile în definirea unor termeni de delimitare, precum domeniul public al statului din zona costieră și neconcordanțele între termenii folosiți de MDLPA și MMAP în diverse reglementări privind delimitarea și managementul zonei costiere. </w:t>
      </w:r>
    </w:p>
    <w:p w14:paraId="446904EF" w14:textId="77777777" w:rsidR="00670FD4" w:rsidRDefault="00670FD4" w:rsidP="00670FD4">
      <w:pPr>
        <w:ind w:firstLine="567"/>
        <w:rPr>
          <w:lang w:val="ro-RO" w:eastAsia="en-GB"/>
        </w:rPr>
      </w:pPr>
      <w:r w:rsidRPr="00D924A7">
        <w:rPr>
          <w:lang w:val="ro-RO" w:eastAsia="en-GB"/>
        </w:rPr>
        <w:t>În plus, se constată aplicarea necorespunzătoare a legislației în domeniu, care cuprinde două aspecte principale, respectiv i) nerespectarea obligațiilor UAT-urilor (stipulată în legislația actuală, OUG 202/2002) de delimitare a zonei costiere, ceea ce poate genera confuzie și incertitudine cu privire la limitele și statutul juridic al zonei costiere, precum și ii) ilegalități asupra domeniului public al statului.</w:t>
      </w:r>
    </w:p>
    <w:p w14:paraId="0BEF1AD8" w14:textId="77777777" w:rsidR="00670FD4" w:rsidRDefault="00670FD4" w:rsidP="00670FD4">
      <w:pPr>
        <w:ind w:firstLine="567"/>
        <w:rPr>
          <w:lang w:val="ro-RO" w:eastAsia="en-GB"/>
        </w:rPr>
      </w:pPr>
    </w:p>
    <w:p w14:paraId="6EE59806" w14:textId="77777777" w:rsidR="00670FD4" w:rsidRDefault="00670FD4" w:rsidP="00670FD4">
      <w:pPr>
        <w:pStyle w:val="Heading2"/>
      </w:pPr>
      <w:bookmarkStart w:id="54" w:name="_Toc171084824"/>
      <w:r>
        <w:t xml:space="preserve">2.3 </w:t>
      </w:r>
      <w:r w:rsidRPr="00D924A7">
        <w:t>Delimitarea zonei costiere</w:t>
      </w:r>
      <w:bookmarkEnd w:id="54"/>
    </w:p>
    <w:p w14:paraId="790609EC" w14:textId="77777777" w:rsidR="00670FD4" w:rsidRDefault="00670FD4" w:rsidP="00670FD4">
      <w:pPr>
        <w:rPr>
          <w:rFonts w:eastAsia="Times New Roman" w:cs="Times New Roman"/>
        </w:rPr>
      </w:pPr>
      <w:r>
        <w:rPr>
          <w:rFonts w:eastAsia="Times New Roman" w:cs="Times New Roman"/>
        </w:rPr>
        <w:t xml:space="preserve">În Anexa 1 a OUG 202/2002, aprobată cu modificările și completările ulterioare prin Legea nr. 280/2003, zona costieră este definită ca fiind “spațiul geografic situat la contactul mării cu uscatul, incluzând apele de coastă de suprafață și subterane și terenurile adiacente, inclusiv apele de suprafață și subterane aferente acestora, puternic intercondiționate și în imediata apropiere a liniei țărmului, insule și lacuri sărate, zone umede în contact cu marea, plaja și faleza”. </w:t>
      </w:r>
    </w:p>
    <w:p w14:paraId="77B7AABA" w14:textId="77777777" w:rsidR="00670FD4" w:rsidRDefault="00670FD4" w:rsidP="00670FD4">
      <w:pPr>
        <w:rPr>
          <w:rFonts w:eastAsia="Times New Roman" w:cs="Times New Roman"/>
        </w:rPr>
      </w:pPr>
      <w:r>
        <w:rPr>
          <w:rFonts w:eastAsia="Times New Roman" w:cs="Times New Roman"/>
        </w:rPr>
        <w:t xml:space="preserve">Aceeași ordonanță de urgență abordează în textul său și modul de delimitare al zonei costiere. Astfel în articolul 9, alineatul 6, se precizează că “în scopul delimitării zonei costiere şi stabilirii măsurilor pentru protecţia mediului zonei costiere, autoritatea publică centrală pentru protecţia mediului şi gospodărirea apelor şi autoritatea publică centrală pentru agricultură, alimentaţie şi păduri, cu consultarea autorităţilor administraţiei publice locale şi a Statului Major al Forţelor Navale, vor clasifica zona costieră în zone funcționale, pe baza unor criterii omogene de utilizare şi de gestiune a spaţiului”. Zonele funcționale, pe baza cărora este clasificată zona costieră, sunt definite în art. 10 al HG 546 / 2004, dar lista acestor zone funcționale nu a fost actualizată până în prezent (prin acte normative), </w:t>
      </w:r>
      <w:sdt>
        <w:sdtPr>
          <w:tag w:val="goog_rdk_5"/>
          <w:id w:val="1998992721"/>
        </w:sdtPr>
        <w:sdtContent/>
      </w:sdt>
      <w:r>
        <w:rPr>
          <w:rFonts w:eastAsia="Times New Roman" w:cs="Times New Roman"/>
        </w:rPr>
        <w:t xml:space="preserve">deși evoluția situației zonei costiere în ultimele două decenii, din punct de vedere socio-economic și al protecției mediului, o impunea cu prisosință. </w:t>
      </w:r>
    </w:p>
    <w:p w14:paraId="5C1D957C" w14:textId="77777777" w:rsidR="00670FD4" w:rsidRDefault="00670FD4" w:rsidP="00670FD4">
      <w:pPr>
        <w:rPr>
          <w:rFonts w:eastAsia="Times New Roman" w:cs="Times New Roman"/>
        </w:rPr>
      </w:pPr>
      <w:r>
        <w:rPr>
          <w:rFonts w:eastAsia="Times New Roman" w:cs="Times New Roman"/>
        </w:rPr>
        <w:t xml:space="preserve">Același articol din OUG 202/2002, aprobată cu modificările și completările ulterioare prin Legea nr. 280/2003, la alineatul 7, stipulează faptul că “delimitarea zonei costiere se va realiza potrivit planurilor de amenajare a teritoriului şi de urbanism, prin grija autorităţilor publice locale”. Analiza situației actuale a documentațiilor Plan Urbanistic General arată că în acest moment în niciunul dintre PUG-urile aflate în termenul de valabilitate, nu este realizată </w:t>
      </w:r>
      <w:r>
        <w:rPr>
          <w:rFonts w:eastAsia="Times New Roman" w:cs="Times New Roman"/>
        </w:rPr>
        <w:lastRenderedPageBreak/>
        <w:t>delimitarea zonei costiere aferentă UAT-urilor cu deschidere la mare, conform cerințelor legale (OUG 202/2002 aprobată cu modificările și completările ulterioare prin Legea nr. 280/2003).</w:t>
      </w:r>
    </w:p>
    <w:p w14:paraId="75FC8FE2" w14:textId="77777777" w:rsidR="00670FD4" w:rsidRDefault="00670FD4" w:rsidP="00670FD4">
      <w:pPr>
        <w:ind w:firstLine="540"/>
        <w:rPr>
          <w:rFonts w:eastAsia="Times New Roman" w:cs="Times New Roman"/>
        </w:rPr>
      </w:pPr>
      <w:r>
        <w:rPr>
          <w:rFonts w:eastAsia="Times New Roman" w:cs="Times New Roman"/>
        </w:rPr>
        <w:t xml:space="preserve">Astfel, în contextul sus menționat, apare necesitatea de a revizui definirea / delimitarea zonei costiere românești și, ulterior, de a o transpune în legislație.  </w:t>
      </w:r>
    </w:p>
    <w:p w14:paraId="7528C922" w14:textId="77777777" w:rsidR="00670FD4" w:rsidRDefault="00670FD4" w:rsidP="00670FD4">
      <w:pPr>
        <w:ind w:firstLine="540"/>
        <w:rPr>
          <w:rFonts w:eastAsia="Times New Roman" w:cs="Times New Roman"/>
        </w:rPr>
      </w:pPr>
      <w:r>
        <w:rPr>
          <w:rFonts w:eastAsia="Times New Roman" w:cs="Times New Roman"/>
        </w:rPr>
        <w:t>În cadrul prezentului Plan de Management integrat al zonei costiere, delimitarea acesteia s-a realizat pornind de la recomandările Comisiei Mării Negre, respectiv documentul  “Guideline on Integrated Coastal Zone Management in the Black Sea”, a cărui elaborare a avut la bază Protocolul ICZM de la Marea Mediterană. Conform acestui document, li se recomandă statelor riverane Mării Negre a-și stabili limitele geografice ale zonei costiere astfel:</w:t>
      </w:r>
    </w:p>
    <w:p w14:paraId="38B91D41" w14:textId="77777777" w:rsidR="00670FD4" w:rsidRDefault="00670FD4" w:rsidP="00670FD4">
      <w:pPr>
        <w:numPr>
          <w:ilvl w:val="0"/>
          <w:numId w:val="19"/>
        </w:numPr>
        <w:spacing w:before="0" w:after="0"/>
        <w:rPr>
          <w:rFonts w:eastAsia="Times New Roman" w:cs="Times New Roman"/>
        </w:rPr>
      </w:pPr>
      <w:r>
        <w:rPr>
          <w:rFonts w:eastAsia="Times New Roman" w:cs="Times New Roman"/>
        </w:rPr>
        <w:t>limita dinspre mare - limita exterioară a apelor naționale teritoriale;</w:t>
      </w:r>
    </w:p>
    <w:p w14:paraId="30A422DA" w14:textId="77777777" w:rsidR="00670FD4" w:rsidRDefault="00670FD4" w:rsidP="00670FD4">
      <w:pPr>
        <w:numPr>
          <w:ilvl w:val="0"/>
          <w:numId w:val="19"/>
        </w:numPr>
        <w:spacing w:before="0"/>
        <w:rPr>
          <w:rFonts w:eastAsia="Times New Roman" w:cs="Times New Roman"/>
        </w:rPr>
      </w:pPr>
      <w:r>
        <w:rPr>
          <w:rFonts w:eastAsia="Times New Roman" w:cs="Times New Roman"/>
        </w:rPr>
        <w:t>limita dinspre uscat - limita unităților de coastă competente, așa cum sunt definite la nivel naționale de fiecare țară riverană Mării Negre.</w:t>
      </w:r>
    </w:p>
    <w:p w14:paraId="23D9CFAD" w14:textId="77777777" w:rsidR="00670FD4" w:rsidRDefault="00670FD4" w:rsidP="00670FD4">
      <w:pPr>
        <w:ind w:firstLine="540"/>
        <w:rPr>
          <w:rFonts w:eastAsia="Times New Roman" w:cs="Times New Roman"/>
        </w:rPr>
      </w:pPr>
      <w:r>
        <w:rPr>
          <w:rFonts w:eastAsia="Times New Roman" w:cs="Times New Roman"/>
        </w:rPr>
        <w:t>În cazul delimitării zonei costiere românești, limita dinspre mare este considerată limita a 12 mile marine de la linia de bază, respectiv apele teritoriale ale României, în timp ce stabilirea limitei dinspre uscat s-a realizat pe baza a trei criterii, respectiv:</w:t>
      </w:r>
    </w:p>
    <w:p w14:paraId="7600E873" w14:textId="77777777" w:rsidR="00670FD4" w:rsidRDefault="00670FD4" w:rsidP="00670FD4">
      <w:pPr>
        <w:numPr>
          <w:ilvl w:val="0"/>
          <w:numId w:val="18"/>
        </w:numPr>
        <w:pBdr>
          <w:top w:val="nil"/>
          <w:left w:val="nil"/>
          <w:bottom w:val="nil"/>
          <w:right w:val="nil"/>
          <w:between w:val="nil"/>
        </w:pBdr>
        <w:spacing w:before="0" w:after="0"/>
        <w:rPr>
          <w:rFonts w:eastAsia="Times New Roman" w:cs="Times New Roman"/>
          <w:color w:val="000000"/>
        </w:rPr>
      </w:pPr>
      <w:r>
        <w:rPr>
          <w:rFonts w:eastAsia="Times New Roman" w:cs="Times New Roman"/>
          <w:color w:val="000000"/>
        </w:rPr>
        <w:t>criteriul proximității;</w:t>
      </w:r>
    </w:p>
    <w:p w14:paraId="1BE2845B" w14:textId="77777777" w:rsidR="00670FD4" w:rsidRDefault="00670FD4" w:rsidP="00670FD4">
      <w:pPr>
        <w:numPr>
          <w:ilvl w:val="0"/>
          <w:numId w:val="18"/>
        </w:numPr>
        <w:pBdr>
          <w:top w:val="nil"/>
          <w:left w:val="nil"/>
          <w:bottom w:val="nil"/>
          <w:right w:val="nil"/>
          <w:between w:val="nil"/>
        </w:pBdr>
        <w:spacing w:before="0" w:after="0"/>
        <w:rPr>
          <w:rFonts w:eastAsia="Times New Roman" w:cs="Times New Roman"/>
          <w:color w:val="000000"/>
        </w:rPr>
      </w:pPr>
      <w:r>
        <w:rPr>
          <w:rFonts w:eastAsia="Times New Roman" w:cs="Times New Roman"/>
          <w:color w:val="000000"/>
        </w:rPr>
        <w:t>criteriul legăturilor funcționale;</w:t>
      </w:r>
    </w:p>
    <w:p w14:paraId="5BFC6535" w14:textId="77777777" w:rsidR="00670FD4" w:rsidRDefault="00670FD4" w:rsidP="00670FD4">
      <w:pPr>
        <w:numPr>
          <w:ilvl w:val="0"/>
          <w:numId w:val="18"/>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 xml:space="preserve">criteriul administrativ-teritorial. </w:t>
      </w:r>
    </w:p>
    <w:p w14:paraId="7CC38D66" w14:textId="77777777" w:rsidR="00670FD4" w:rsidRDefault="00670FD4" w:rsidP="00670FD4">
      <w:pPr>
        <w:ind w:firstLine="540"/>
        <w:rPr>
          <w:rFonts w:eastAsia="Times New Roman" w:cs="Times New Roman"/>
        </w:rPr>
      </w:pPr>
      <w:r>
        <w:rPr>
          <w:rFonts w:eastAsia="Times New Roman" w:cs="Times New Roman"/>
        </w:rPr>
        <w:t xml:space="preserve"> Aplicate la contextul zonei costiere românești:</w:t>
      </w:r>
    </w:p>
    <w:p w14:paraId="75147883" w14:textId="77777777" w:rsidR="00670FD4" w:rsidRDefault="00670FD4" w:rsidP="00670FD4">
      <w:pPr>
        <w:ind w:firstLine="540"/>
        <w:rPr>
          <w:rFonts w:eastAsia="Times New Roman" w:cs="Times New Roman"/>
        </w:rPr>
      </w:pPr>
      <w:r>
        <w:rPr>
          <w:rFonts w:eastAsia="Times New Roman" w:cs="Times New Roman"/>
        </w:rPr>
        <w:t>- teritoriul trebuie</w:t>
      </w:r>
      <w:sdt>
        <w:sdtPr>
          <w:tag w:val="goog_rdk_6"/>
          <w:id w:val="511415243"/>
        </w:sdtPr>
        <w:sdtContent/>
      </w:sdt>
      <w:sdt>
        <w:sdtPr>
          <w:tag w:val="goog_rdk_7"/>
          <w:id w:val="595062217"/>
        </w:sdtPr>
        <w:sdtContent/>
      </w:sdt>
      <w:r>
        <w:rPr>
          <w:rFonts w:eastAsia="Times New Roman" w:cs="Times New Roman"/>
        </w:rPr>
        <w:t xml:space="preserve"> </w:t>
      </w:r>
      <w:sdt>
        <w:sdtPr>
          <w:tag w:val="goog_rdk_9"/>
          <w:id w:val="-1264225302"/>
        </w:sdtPr>
        <w:sdtContent/>
      </w:sdt>
      <w:r>
        <w:rPr>
          <w:rFonts w:eastAsia="Times New Roman" w:cs="Times New Roman"/>
        </w:rPr>
        <w:t>să aibă deschidere la Marea Neagră;</w:t>
      </w:r>
    </w:p>
    <w:p w14:paraId="2D60408A" w14:textId="77777777" w:rsidR="00670FD4" w:rsidRDefault="00670FD4" w:rsidP="00670FD4">
      <w:pPr>
        <w:ind w:firstLine="540"/>
        <w:rPr>
          <w:rFonts w:eastAsia="Times New Roman" w:cs="Times New Roman"/>
        </w:rPr>
      </w:pPr>
      <w:r>
        <w:rPr>
          <w:rFonts w:eastAsia="Times New Roman" w:cs="Times New Roman"/>
        </w:rPr>
        <w:t xml:space="preserve">- între teritoriile incluse în zona </w:t>
      </w:r>
      <w:sdt>
        <w:sdtPr>
          <w:tag w:val="goog_rdk_11"/>
          <w:id w:val="-359052838"/>
        </w:sdtPr>
        <w:sdtContent/>
      </w:sdt>
      <w:r>
        <w:rPr>
          <w:rFonts w:eastAsia="Times New Roman" w:cs="Times New Roman"/>
        </w:rPr>
        <w:t xml:space="preserve">costieră trebuie să existe „legături funcționale” relevante; </w:t>
      </w:r>
      <w:sdt>
        <w:sdtPr>
          <w:tag w:val="goog_rdk_14"/>
          <w:id w:val="-310017595"/>
          <w:showingPlcHdr/>
        </w:sdtPr>
        <w:sdtContent>
          <w:r>
            <w:t xml:space="preserve">     </w:t>
          </w:r>
        </w:sdtContent>
      </w:sdt>
    </w:p>
    <w:p w14:paraId="6098A6DA" w14:textId="77777777" w:rsidR="00670FD4" w:rsidRDefault="00670FD4" w:rsidP="00670FD4">
      <w:pPr>
        <w:ind w:firstLine="540"/>
        <w:rPr>
          <w:rFonts w:eastAsia="Times New Roman" w:cs="Times New Roman"/>
        </w:rPr>
      </w:pPr>
      <w:r>
        <w:rPr>
          <w:rFonts w:eastAsia="Times New Roman" w:cs="Times New Roman"/>
        </w:rPr>
        <w:t>- criteriul administrativ – teritorial, are în vedere organizarea administrativ – teritorială a României. Conform cadrului instituțional al României, teritoriul este organizat în unități administrativ teritoriale (UAT), având atribuții și responsabilități partajate, printre acestea aflându-se: inițierea și aprobarea documentațiilor de amenajarea teritoriului și urbanism în conformitate cu Legea 350/2001, cu completările și modificările ulterioare, privind amenajarea teritoriului și urbanismul, inclusiv delimitarea în PUG-uri a limitelor zonei costiere conform OUG 202/2002, aprobată cu modificări prin Legea nr. 280/2003; emiterea autorizațiilor de construire conform Legii 50/1991 (cu completările și modificările ulterioare) privind autorizarea lucrărilor de construire (cu excepțiile prevăzute de lege); și controlul disciplinei în construcții conform Legii 50/1991 (cu completările și modificările ulterioare).</w:t>
      </w:r>
    </w:p>
    <w:p w14:paraId="5B45E64A" w14:textId="77777777" w:rsidR="00670FD4" w:rsidRDefault="00670FD4" w:rsidP="00670FD4">
      <w:pPr>
        <w:ind w:firstLine="540"/>
        <w:rPr>
          <w:rFonts w:eastAsia="Times New Roman" w:cs="Times New Roman"/>
        </w:rPr>
      </w:pPr>
      <w:r>
        <w:rPr>
          <w:rFonts w:eastAsia="Times New Roman" w:cs="Times New Roman"/>
        </w:rPr>
        <w:t xml:space="preserve">Aplicând coroborat cele trei criterii, stabilirea limitei geografice dinspre uscat a zonei costiere poate fi făcută la nivelul primului rând de UAT-uri de la țărmul Mării Negre. </w:t>
      </w:r>
    </w:p>
    <w:p w14:paraId="23A090B5" w14:textId="77777777" w:rsidR="00670FD4" w:rsidRDefault="00670FD4" w:rsidP="00670FD4">
      <w:pPr>
        <w:ind w:firstLine="540"/>
        <w:rPr>
          <w:rFonts w:eastAsia="Times New Roman" w:cs="Times New Roman"/>
        </w:rPr>
      </w:pPr>
      <w:r>
        <w:rPr>
          <w:rFonts w:eastAsia="Times New Roman" w:cs="Times New Roman"/>
        </w:rPr>
        <w:t xml:space="preserve">Totuși, având în vedere proximitatea strânsă între UAT Eforie și UAT Techirghiol, despărțite doar de istmul dintre lac și mare, precum și legăturile funcționale foarte strânse dintre acestea, </w:t>
      </w:r>
      <w:sdt>
        <w:sdtPr>
          <w:tag w:val="goog_rdk_27"/>
          <w:id w:val="-467977179"/>
        </w:sdtPr>
        <w:sdtContent/>
      </w:sdt>
      <w:r>
        <w:rPr>
          <w:rFonts w:eastAsia="Times New Roman" w:cs="Times New Roman"/>
        </w:rPr>
        <w:t xml:space="preserve">UAT-urile situate la nivelul primului rând de la țărmul mării  se completează cu UAT Techirghiol. Techirghiol, ca și Eforie, sunt stațiuni balneo-climaterice clasificate. Legătura funcțională strânsă dintre cele două rezidă din faptul că beneficiarii serviciilor sectorului balnear din Techirghiol sunt utilizatori și ai resurselor zonei costiere din Eforie (plaja). Există </w:t>
      </w:r>
      <w:r>
        <w:rPr>
          <w:rFonts w:eastAsia="Times New Roman" w:cs="Times New Roman"/>
        </w:rPr>
        <w:lastRenderedPageBreak/>
        <w:t>un flux permanent și relevant de deplasări între cele două stațiuni. Ambele localități sunt deservite de aceeași gară CF situată în Eforie Nord. La rândul său, sectorul de servicii balneare din Eforie utilizează ca input resursele lacului care se află pe teritoriul administrativ al orașului Techirghiol.</w:t>
      </w:r>
    </w:p>
    <w:p w14:paraId="61DC31D7" w14:textId="77777777" w:rsidR="00670FD4" w:rsidRDefault="00670FD4" w:rsidP="00670FD4">
      <w:pPr>
        <w:ind w:firstLine="567"/>
        <w:rPr>
          <w:rFonts w:eastAsia="Times New Roman" w:cs="Times New Roman"/>
        </w:rPr>
      </w:pPr>
      <w:r>
        <w:rPr>
          <w:rFonts w:eastAsia="Times New Roman" w:cs="Times New Roman"/>
        </w:rPr>
        <w:t xml:space="preserve">Astfel, zona costieră românească  cuprinde un număr de 19 UAT-uri, din județele Tulcea și Constanța (Tabel 1.3.1 și Fig. 1.3.1), dintre care 2 municipii (Constanța și Mangalia), 4 orașe (Sulina, Năvodari, Eforie, Techirghiol și) și 13 comune (C.A Rosetti, Sfântu Gheorghe, Murighiol, Jurilovca, în județul Tulcea și Mihai Viteazu, Istria, </w:t>
      </w:r>
      <w:sdt>
        <w:sdtPr>
          <w:tag w:val="goog_rdk_34"/>
          <w:id w:val="974181431"/>
        </w:sdtPr>
        <w:sdtContent>
          <w:r>
            <w:rPr>
              <w:rFonts w:eastAsia="Times New Roman" w:cs="Times New Roman"/>
            </w:rPr>
            <w:t>Săcele</w:t>
          </w:r>
        </w:sdtContent>
      </w:sdt>
      <w:r>
        <w:rPr>
          <w:rFonts w:eastAsia="Times New Roman" w:cs="Times New Roman"/>
        </w:rPr>
        <w:t xml:space="preserve">, Corbu, Agigea, Tuzla, </w:t>
      </w:r>
      <w:sdt>
        <w:sdtPr>
          <w:tag w:val="goog_rdk_35"/>
          <w:id w:val="-1493552190"/>
        </w:sdtPr>
        <w:sdtContent>
          <w:r>
            <w:rPr>
              <w:rFonts w:eastAsia="Times New Roman" w:cs="Times New Roman"/>
            </w:rPr>
            <w:t>Costinești</w:t>
          </w:r>
        </w:sdtContent>
      </w:sdt>
      <w:r>
        <w:rPr>
          <w:rFonts w:eastAsia="Times New Roman" w:cs="Times New Roman"/>
        </w:rPr>
        <w:t>, 23 August și Limanu, în județul Constanța). În total, zona costieră cuprinde un număr de 48 de localități dintre care 10 sunt localități componente ale municipiilor și orașelor și alte 38 sunt sate componente ale celor 13 comune (16 în județul Tulcea și 22 în județul Constanța).</w:t>
      </w:r>
    </w:p>
    <w:p w14:paraId="5770E6E3" w14:textId="77777777" w:rsidR="00670FD4" w:rsidRDefault="00670FD4" w:rsidP="00670FD4">
      <w:pPr>
        <w:pStyle w:val="ListParagraph"/>
        <w:ind w:left="1259" w:firstLine="0"/>
        <w:rPr>
          <w:lang w:val="ro-RO" w:eastAsia="en-GB"/>
        </w:rPr>
      </w:pPr>
    </w:p>
    <w:p w14:paraId="21566DE1" w14:textId="77777777" w:rsidR="00670FD4" w:rsidRDefault="00670FD4" w:rsidP="00670FD4">
      <w:pPr>
        <w:pStyle w:val="Heading2"/>
        <w:numPr>
          <w:ilvl w:val="1"/>
          <w:numId w:val="48"/>
        </w:numPr>
        <w:rPr>
          <w:sz w:val="28"/>
        </w:rPr>
      </w:pPr>
      <w:bookmarkStart w:id="55" w:name="_Toc171084825"/>
      <w:r w:rsidRPr="005D2CE5">
        <w:rPr>
          <w:sz w:val="28"/>
        </w:rPr>
        <w:t>Descrierea generală a</w:t>
      </w:r>
      <w:r w:rsidRPr="005D2CE5">
        <w:t xml:space="preserve"> </w:t>
      </w:r>
      <w:r w:rsidRPr="005D2CE5">
        <w:rPr>
          <w:sz w:val="28"/>
        </w:rPr>
        <w:t>caracteristicilor zonei costiere</w:t>
      </w:r>
      <w:bookmarkEnd w:id="55"/>
    </w:p>
    <w:p w14:paraId="0BC21B4C" w14:textId="77777777" w:rsidR="00670FD4" w:rsidRPr="005D2CE5" w:rsidRDefault="00670FD4" w:rsidP="00670FD4">
      <w:pPr>
        <w:pStyle w:val="Heading3"/>
      </w:pPr>
      <w:bookmarkStart w:id="56" w:name="_Toc171084826"/>
      <w:r w:rsidRPr="005D2CE5">
        <w:t>2.4.1 Cadrul natural</w:t>
      </w:r>
      <w:bookmarkEnd w:id="56"/>
    </w:p>
    <w:p w14:paraId="309DDBD2" w14:textId="77777777" w:rsidR="00670FD4" w:rsidRDefault="00670FD4" w:rsidP="00670FD4">
      <w:pPr>
        <w:pStyle w:val="Heading4"/>
      </w:pPr>
      <w:bookmarkStart w:id="57" w:name="_Toc171084827"/>
      <w:r>
        <w:t>2.4.1.1 Relief și climă</w:t>
      </w:r>
      <w:bookmarkEnd w:id="57"/>
    </w:p>
    <w:p w14:paraId="3306DD62" w14:textId="77777777" w:rsidR="00670FD4" w:rsidRDefault="00670FD4" w:rsidP="00670FD4">
      <w:pPr>
        <w:spacing w:before="0"/>
        <w:ind w:firstLine="567"/>
        <w:rPr>
          <w:rFonts w:eastAsia="Times New Roman" w:cs="Times New Roman"/>
        </w:rPr>
      </w:pPr>
      <w:r>
        <w:rPr>
          <w:rFonts w:eastAsia="Times New Roman" w:cs="Times New Roman"/>
        </w:rPr>
        <w:t xml:space="preserve">Morfologia și relieful zonei costiere sunt diferite de-a lungul celor aproximativ 245 km dintre Golful Musura și Vama Veche și sunt rezultatul unei geneze și a unei evoluții diferite, materializate în procese și o dinamică diferite. Astfel, Unitatea Nordică, situată între Golful Musura și Capul Midia și având o lungime de circa 165 km, este preponderent naturală și înglobează țărmul Deltei Dunării, caracterizat prin prezența plajelor nisipoase, pe alocuri a dunelor litorale și a conurilor de rever, a barierelor litorale, a spiturilor și insulelor barieră, a gurilor de vărsare ale Dunării (cu morfologia specifică), a câmpurilor de țărm formate din grinduri maritime despărțite de suprafețe lacustre, japșe, canale sau suprafețe mlăștinoase acoperite cu stuf, precum și a sistemelor de bare și șanțuri în domeniul submers. </w:t>
      </w:r>
    </w:p>
    <w:p w14:paraId="2967C721" w14:textId="77777777" w:rsidR="00670FD4" w:rsidRDefault="00670FD4" w:rsidP="00670FD4">
      <w:pPr>
        <w:spacing w:before="0"/>
        <w:ind w:firstLine="567"/>
        <w:rPr>
          <w:rFonts w:eastAsia="Times New Roman" w:cs="Times New Roman"/>
        </w:rPr>
      </w:pPr>
      <w:r>
        <w:rPr>
          <w:rFonts w:eastAsia="Times New Roman" w:cs="Times New Roman"/>
        </w:rPr>
        <w:t>Unitatea Sudică, întinsă între Capul Midia și Vama Veche, pe o lungime de circa 80 km, este puternic antropizată, morfologia coastei fiind influențată de prezența diferitelor tipuri de infrastructuri socio-economice (clădiri rezidențiale, infrastructură turistică, portuară, etc.) sau structuri de protecție costieră (diguri, pereți verticali, taluzuri, etc.). Relieful este reprezentat prin plaje artificiale și, pe alocuri, naturale, faleze tăiate în loess, platforme de țărm tăiate în calcar, bariere litorale și uneori sisteme de bare și șanțuri nisipoase sau platforme calcaroase submerse.</w:t>
      </w:r>
    </w:p>
    <w:p w14:paraId="0D4EFE41" w14:textId="77777777" w:rsidR="00670FD4" w:rsidRDefault="00670FD4" w:rsidP="00670FD4">
      <w:pPr>
        <w:spacing w:before="0"/>
        <w:ind w:firstLine="567"/>
        <w:rPr>
          <w:rFonts w:eastAsia="Times New Roman" w:cs="Times New Roman"/>
        </w:rPr>
      </w:pPr>
      <w:r>
        <w:rPr>
          <w:rFonts w:eastAsia="Times New Roman" w:cs="Times New Roman"/>
        </w:rPr>
        <w:t>Clima zonei studiate este temperat-continentală, cu influențe cauzate de situarea acesteia la interfața dintre suprafața continentală a Dobrogei și Marea Neagră. Radiaţia solară globală atinge cele mai mari valori medii anuale din România (peste 135 kcal/cm</w:t>
      </w:r>
      <w:r>
        <w:rPr>
          <w:rFonts w:eastAsia="Times New Roman" w:cs="Times New Roman"/>
          <w:vertAlign w:val="superscript"/>
        </w:rPr>
        <w:t>2</w:t>
      </w:r>
      <w:r>
        <w:rPr>
          <w:rFonts w:eastAsia="Times New Roman" w:cs="Times New Roman"/>
        </w:rPr>
        <w:t xml:space="preserve">), în timp ce durata medie anuală de strălucire a Soarelui înregistrează valori de până la 2500 ore. Temperaturile medii anuale în zona costieră (cuprinse între 11,8°C la Sulina și 12,1°C la Constanța, în perioada 1961-2021) sunt superioare mediei pe ţară, cu maxime în perioada iunie – august </w:t>
      </w:r>
      <w:r>
        <w:rPr>
          <w:rFonts w:eastAsia="Times New Roman" w:cs="Times New Roman"/>
        </w:rPr>
        <w:lastRenderedPageBreak/>
        <w:t xml:space="preserve">(medii lunare multianuale cuprinse între 20,1°C și 23,0°C) și minime în perioada decembrie-februarie (medii lunare multianuale cuprinse între 0,6°C și 3,6°C) (Tabel 2.4.1.1.1). </w:t>
      </w:r>
    </w:p>
    <w:p w14:paraId="2A7CBF1C" w14:textId="77777777" w:rsidR="00670FD4" w:rsidRDefault="00670FD4" w:rsidP="00670FD4">
      <w:pPr>
        <w:spacing w:after="200"/>
        <w:ind w:firstLine="567"/>
        <w:rPr>
          <w:rFonts w:eastAsia="Times New Roman" w:cs="Times New Roman"/>
        </w:rPr>
      </w:pPr>
    </w:p>
    <w:p w14:paraId="0EBC5131" w14:textId="77777777" w:rsidR="00670FD4" w:rsidRDefault="00670FD4" w:rsidP="00670FD4">
      <w:pPr>
        <w:jc w:val="center"/>
        <w:rPr>
          <w:rFonts w:eastAsia="Times New Roman" w:cs="Times New Roman"/>
          <w:color w:val="000000"/>
        </w:rPr>
      </w:pPr>
      <w:r>
        <w:rPr>
          <w:rFonts w:eastAsia="Times New Roman" w:cs="Times New Roman"/>
          <w:b/>
          <w:color w:val="000000"/>
        </w:rPr>
        <w:t>Tabel 2.4.1.1.1 Medii lunare multianuale (1961 - 2021) ale temperaturii aerului la a) Sulina, b) Constanța și c) Mangalia (</w:t>
      </w:r>
      <w:r>
        <w:rPr>
          <w:rFonts w:eastAsia="Times New Roman" w:cs="Times New Roman"/>
          <w:b/>
          <w:i/>
          <w:color w:val="000000"/>
        </w:rPr>
        <w:t>sursa Administrația Națională de Meteorologie)</w:t>
      </w:r>
    </w:p>
    <w:p w14:paraId="69838B3B" w14:textId="77777777" w:rsidR="00670FD4" w:rsidRPr="003B5B5D" w:rsidRDefault="00670FD4" w:rsidP="00670FD4">
      <w:pPr>
        <w:pStyle w:val="ListParagraph"/>
        <w:numPr>
          <w:ilvl w:val="0"/>
          <w:numId w:val="23"/>
        </w:numPr>
        <w:spacing w:after="0" w:line="240" w:lineRule="auto"/>
        <w:rPr>
          <w:rFonts w:eastAsia="Times New Roman" w:cs="Times New Roman"/>
        </w:rPr>
      </w:pPr>
      <w:r w:rsidRPr="003B5B5D">
        <w:rPr>
          <w:rFonts w:eastAsia="Times New Roman" w:cs="Times New Roman"/>
          <w:color w:val="000000"/>
        </w:rPr>
        <w:t>Sulina</w:t>
      </w:r>
      <w:r>
        <w:rPr>
          <w:noProof/>
        </w:rPr>
        <w:drawing>
          <wp:anchor distT="0" distB="0" distL="114300" distR="114300" simplePos="0" relativeHeight="251659264" behindDoc="0" locked="0" layoutInCell="1" hidden="0" allowOverlap="1" wp14:anchorId="33D155C5" wp14:editId="00D424B0">
            <wp:simplePos x="0" y="0"/>
            <wp:positionH relativeFrom="column">
              <wp:posOffset>19051</wp:posOffset>
            </wp:positionH>
            <wp:positionV relativeFrom="paragraph">
              <wp:posOffset>198755</wp:posOffset>
            </wp:positionV>
            <wp:extent cx="5731510" cy="1543050"/>
            <wp:effectExtent l="0" t="0" r="0" b="0"/>
            <wp:wrapSquare wrapText="bothSides" distT="0" distB="0" distL="114300" distR="114300"/>
            <wp:docPr id="214140196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0"/>
                    <a:srcRect/>
                    <a:stretch>
                      <a:fillRect/>
                    </a:stretch>
                  </pic:blipFill>
                  <pic:spPr>
                    <a:xfrm>
                      <a:off x="0" y="0"/>
                      <a:ext cx="5731510" cy="1543050"/>
                    </a:xfrm>
                    <a:prstGeom prst="rect">
                      <a:avLst/>
                    </a:prstGeom>
                    <a:ln/>
                  </pic:spPr>
                </pic:pic>
              </a:graphicData>
            </a:graphic>
          </wp:anchor>
        </w:drawing>
      </w:r>
    </w:p>
    <w:p w14:paraId="76814CBE" w14:textId="77777777" w:rsidR="00670FD4" w:rsidRPr="003B5B5D" w:rsidRDefault="00670FD4" w:rsidP="00670FD4">
      <w:pPr>
        <w:pStyle w:val="ListParagraph"/>
        <w:spacing w:after="0" w:line="240" w:lineRule="auto"/>
        <w:ind w:left="899" w:firstLine="0"/>
        <w:rPr>
          <w:rFonts w:eastAsia="Times New Roman" w:cs="Times New Roman"/>
        </w:rPr>
      </w:pPr>
    </w:p>
    <w:p w14:paraId="596A0DF5" w14:textId="77777777" w:rsidR="00670FD4" w:rsidRPr="004F3BB9" w:rsidRDefault="00670FD4" w:rsidP="00670FD4">
      <w:pPr>
        <w:pStyle w:val="ListParagraph"/>
        <w:numPr>
          <w:ilvl w:val="0"/>
          <w:numId w:val="23"/>
        </w:numPr>
        <w:spacing w:after="0"/>
        <w:rPr>
          <w:rFonts w:eastAsia="Times New Roman" w:cs="Times New Roman"/>
          <w:color w:val="000000"/>
        </w:rPr>
      </w:pPr>
      <w:r>
        <w:rPr>
          <w:noProof/>
        </w:rPr>
        <w:drawing>
          <wp:anchor distT="0" distB="0" distL="114300" distR="114300" simplePos="0" relativeHeight="251660288" behindDoc="0" locked="0" layoutInCell="1" hidden="0" allowOverlap="1" wp14:anchorId="6590174D" wp14:editId="63DADAFC">
            <wp:simplePos x="0" y="0"/>
            <wp:positionH relativeFrom="column">
              <wp:posOffset>48895</wp:posOffset>
            </wp:positionH>
            <wp:positionV relativeFrom="paragraph">
              <wp:posOffset>296545</wp:posOffset>
            </wp:positionV>
            <wp:extent cx="5572125" cy="1428750"/>
            <wp:effectExtent l="0" t="0" r="0" b="0"/>
            <wp:wrapSquare wrapText="bothSides" distT="0" distB="0" distL="114300" distR="114300"/>
            <wp:docPr id="214140194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1"/>
                    <a:srcRect r="2780" b="7407"/>
                    <a:stretch>
                      <a:fillRect/>
                    </a:stretch>
                  </pic:blipFill>
                  <pic:spPr>
                    <a:xfrm>
                      <a:off x="0" y="0"/>
                      <a:ext cx="5572125" cy="1428750"/>
                    </a:xfrm>
                    <a:prstGeom prst="rect">
                      <a:avLst/>
                    </a:prstGeom>
                    <a:ln/>
                  </pic:spPr>
                </pic:pic>
              </a:graphicData>
            </a:graphic>
          </wp:anchor>
        </w:drawing>
      </w:r>
      <w:r w:rsidRPr="004F3BB9">
        <w:rPr>
          <w:rFonts w:eastAsia="Times New Roman" w:cs="Times New Roman"/>
          <w:color w:val="000000"/>
        </w:rPr>
        <w:t>Constanța</w:t>
      </w:r>
    </w:p>
    <w:p w14:paraId="54A65070" w14:textId="77777777" w:rsidR="00670FD4" w:rsidRPr="004F3BB9" w:rsidRDefault="00670FD4" w:rsidP="00670FD4">
      <w:pPr>
        <w:spacing w:after="0"/>
        <w:ind w:firstLine="0"/>
        <w:rPr>
          <w:rFonts w:eastAsia="Times New Roman" w:cs="Times New Roman"/>
          <w:color w:val="000000"/>
        </w:rPr>
      </w:pPr>
    </w:p>
    <w:p w14:paraId="0B68A9C3" w14:textId="77777777" w:rsidR="00670FD4" w:rsidRDefault="00670FD4" w:rsidP="00670FD4">
      <w:pPr>
        <w:spacing w:after="0"/>
        <w:rPr>
          <w:rFonts w:eastAsia="Times New Roman" w:cs="Times New Roman"/>
        </w:rPr>
      </w:pPr>
      <w:r>
        <w:rPr>
          <w:rFonts w:eastAsia="Times New Roman" w:cs="Times New Roman"/>
          <w:color w:val="000000"/>
        </w:rPr>
        <w:t>c) Mangalia</w:t>
      </w:r>
      <w:r>
        <w:rPr>
          <w:rFonts w:eastAsia="Times New Roman" w:cs="Times New Roman"/>
          <w:b/>
          <w:color w:val="000000"/>
        </w:rPr>
        <w:t> </w:t>
      </w:r>
    </w:p>
    <w:p w14:paraId="494565D8" w14:textId="77777777" w:rsidR="00670FD4" w:rsidRDefault="00670FD4" w:rsidP="00670FD4">
      <w:pPr>
        <w:spacing w:before="0"/>
        <w:rPr>
          <w:rFonts w:eastAsia="Times New Roman" w:cs="Times New Roman"/>
        </w:rPr>
      </w:pPr>
      <w:r>
        <w:rPr>
          <w:noProof/>
        </w:rPr>
        <w:drawing>
          <wp:anchor distT="0" distB="0" distL="114300" distR="114300" simplePos="0" relativeHeight="251661312" behindDoc="0" locked="0" layoutInCell="1" hidden="0" allowOverlap="1" wp14:anchorId="5E0FDE12" wp14:editId="21C7414A">
            <wp:simplePos x="0" y="0"/>
            <wp:positionH relativeFrom="column">
              <wp:posOffset>19051</wp:posOffset>
            </wp:positionH>
            <wp:positionV relativeFrom="paragraph">
              <wp:posOffset>30863</wp:posOffset>
            </wp:positionV>
            <wp:extent cx="5731510" cy="1543050"/>
            <wp:effectExtent l="0" t="0" r="0" b="0"/>
            <wp:wrapSquare wrapText="bothSides" distT="0" distB="0" distL="114300" distR="114300"/>
            <wp:docPr id="214140193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2"/>
                    <a:srcRect/>
                    <a:stretch>
                      <a:fillRect/>
                    </a:stretch>
                  </pic:blipFill>
                  <pic:spPr>
                    <a:xfrm>
                      <a:off x="0" y="0"/>
                      <a:ext cx="5731510" cy="1543050"/>
                    </a:xfrm>
                    <a:prstGeom prst="rect">
                      <a:avLst/>
                    </a:prstGeom>
                    <a:ln/>
                  </pic:spPr>
                </pic:pic>
              </a:graphicData>
            </a:graphic>
          </wp:anchor>
        </w:drawing>
      </w:r>
    </w:p>
    <w:p w14:paraId="0660FEAB" w14:textId="77777777" w:rsidR="00670FD4" w:rsidRDefault="00670FD4" w:rsidP="00670FD4">
      <w:pPr>
        <w:spacing w:before="0"/>
        <w:ind w:firstLine="567"/>
        <w:rPr>
          <w:rFonts w:eastAsia="Times New Roman" w:cs="Times New Roman"/>
        </w:rPr>
      </w:pPr>
      <w:r>
        <w:rPr>
          <w:rFonts w:eastAsia="Times New Roman" w:cs="Times New Roman"/>
        </w:rPr>
        <w:t>Cantitățile medii anuale de precipitații înregistrate în perioada 1991-2020 sunt cuprinse între 240 și 494 mm, cu medii lunare semnificativ mai coborâte în Sulina și mai ridicate în Constanța și Mangalia (Tabel 2.4.1.2). Mediile lunare raportate la perioada 1991-2020 arată două maxime; un maxim în perioada mai-iunie, iar cel de al doilea în octombrie. Valorile medii lunare minime se înregistrează în luna februarie (Tabel 2.4.1.1.2).</w:t>
      </w:r>
    </w:p>
    <w:p w14:paraId="52168883" w14:textId="77777777" w:rsidR="00670FD4" w:rsidRDefault="00670FD4" w:rsidP="00670FD4">
      <w:pPr>
        <w:spacing w:before="0" w:line="240" w:lineRule="auto"/>
        <w:ind w:right="-46"/>
        <w:jc w:val="center"/>
        <w:rPr>
          <w:rFonts w:eastAsia="Times New Roman" w:cs="Times New Roman"/>
          <w:b/>
          <w:color w:val="000000"/>
          <w:sz w:val="20"/>
          <w:szCs w:val="20"/>
        </w:rPr>
      </w:pPr>
    </w:p>
    <w:p w14:paraId="457FF1BD" w14:textId="77777777" w:rsidR="00670FD4" w:rsidRPr="004F3BB9" w:rsidRDefault="00670FD4" w:rsidP="00670FD4">
      <w:pPr>
        <w:spacing w:before="0" w:after="0" w:line="240" w:lineRule="auto"/>
        <w:ind w:right="-45"/>
        <w:jc w:val="center"/>
        <w:rPr>
          <w:rFonts w:eastAsia="Times New Roman" w:cs="Times New Roman"/>
          <w:b/>
          <w:color w:val="000000"/>
        </w:rPr>
      </w:pPr>
      <w:r>
        <w:rPr>
          <w:rFonts w:eastAsia="Times New Roman" w:cs="Times New Roman"/>
          <w:b/>
          <w:color w:val="000000"/>
        </w:rPr>
        <w:lastRenderedPageBreak/>
        <w:t>Tabel 2.4.1.1.2 Cantități de precipitații medii lunare multianuale - perioada 1991-2020 (</w:t>
      </w:r>
      <w:r>
        <w:rPr>
          <w:rFonts w:eastAsia="Times New Roman" w:cs="Times New Roman"/>
          <w:b/>
          <w:i/>
          <w:color w:val="000000"/>
        </w:rPr>
        <w:t>sursa Administrația Națională de Meteorologie)</w:t>
      </w:r>
    </w:p>
    <w:tbl>
      <w:tblPr>
        <w:tblW w:w="9067" w:type="dxa"/>
        <w:tblLayout w:type="fixed"/>
        <w:tblLook w:val="0400" w:firstRow="0" w:lastRow="0" w:firstColumn="0" w:lastColumn="0" w:noHBand="0" w:noVBand="1"/>
      </w:tblPr>
      <w:tblGrid>
        <w:gridCol w:w="1270"/>
        <w:gridCol w:w="579"/>
        <w:gridCol w:w="568"/>
        <w:gridCol w:w="588"/>
        <w:gridCol w:w="589"/>
        <w:gridCol w:w="589"/>
        <w:gridCol w:w="569"/>
        <w:gridCol w:w="589"/>
        <w:gridCol w:w="663"/>
        <w:gridCol w:w="589"/>
        <w:gridCol w:w="589"/>
        <w:gridCol w:w="589"/>
        <w:gridCol w:w="596"/>
        <w:gridCol w:w="700"/>
      </w:tblGrid>
      <w:tr w:rsidR="00670FD4" w14:paraId="11325D26" w14:textId="77777777" w:rsidTr="001925BA">
        <w:trPr>
          <w:trHeight w:val="467"/>
        </w:trPr>
        <w:tc>
          <w:tcPr>
            <w:tcW w:w="127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869CBEE" w14:textId="77777777" w:rsidR="00670FD4" w:rsidRDefault="00670FD4" w:rsidP="001925BA">
            <w:pPr>
              <w:spacing w:after="0" w:line="240" w:lineRule="auto"/>
              <w:ind w:left="300" w:right="60" w:firstLine="0"/>
              <w:rPr>
                <w:rFonts w:eastAsia="Times New Roman" w:cs="Times New Roman"/>
              </w:rPr>
            </w:pPr>
            <w:r>
              <w:rPr>
                <w:rFonts w:eastAsia="Times New Roman" w:cs="Times New Roman"/>
                <w:color w:val="000000"/>
                <w:sz w:val="20"/>
                <w:szCs w:val="20"/>
              </w:rPr>
              <w:t>Stația</w:t>
            </w:r>
          </w:p>
        </w:tc>
        <w:tc>
          <w:tcPr>
            <w:tcW w:w="57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DC1555B" w14:textId="77777777" w:rsidR="00670FD4" w:rsidRDefault="00670FD4" w:rsidP="001925BA">
            <w:pPr>
              <w:spacing w:after="0" w:line="240" w:lineRule="auto"/>
              <w:ind w:firstLine="0"/>
              <w:rPr>
                <w:rFonts w:eastAsia="Times New Roman" w:cs="Times New Roman"/>
              </w:rPr>
            </w:pPr>
            <w:r>
              <w:rPr>
                <w:rFonts w:eastAsia="Times New Roman" w:cs="Times New Roman"/>
                <w:color w:val="000000"/>
                <w:sz w:val="20"/>
                <w:szCs w:val="20"/>
              </w:rPr>
              <w:t>I</w:t>
            </w:r>
          </w:p>
        </w:tc>
        <w:tc>
          <w:tcPr>
            <w:tcW w:w="568"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CF4737A" w14:textId="77777777" w:rsidR="00670FD4" w:rsidRDefault="00670FD4" w:rsidP="001925BA">
            <w:pPr>
              <w:spacing w:after="0" w:line="240" w:lineRule="auto"/>
              <w:ind w:right="60" w:firstLine="0"/>
              <w:rPr>
                <w:rFonts w:eastAsia="Times New Roman" w:cs="Times New Roman"/>
              </w:rPr>
            </w:pPr>
            <w:r>
              <w:rPr>
                <w:rFonts w:eastAsia="Times New Roman" w:cs="Times New Roman"/>
                <w:color w:val="000000"/>
                <w:sz w:val="20"/>
                <w:szCs w:val="20"/>
              </w:rPr>
              <w:t>II</w:t>
            </w:r>
          </w:p>
        </w:tc>
        <w:tc>
          <w:tcPr>
            <w:tcW w:w="588"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8FEED0E" w14:textId="77777777" w:rsidR="00670FD4" w:rsidRDefault="00670FD4" w:rsidP="001925BA">
            <w:pPr>
              <w:spacing w:after="0" w:line="240" w:lineRule="auto"/>
              <w:ind w:right="60" w:firstLine="0"/>
              <w:rPr>
                <w:rFonts w:eastAsia="Times New Roman" w:cs="Times New Roman"/>
              </w:rPr>
            </w:pPr>
            <w:r>
              <w:rPr>
                <w:rFonts w:eastAsia="Times New Roman" w:cs="Times New Roman"/>
                <w:color w:val="000000"/>
                <w:sz w:val="20"/>
                <w:szCs w:val="20"/>
              </w:rPr>
              <w:t>III</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6D914D8" w14:textId="77777777" w:rsidR="00670FD4" w:rsidRDefault="00670FD4" w:rsidP="001925BA">
            <w:pPr>
              <w:spacing w:after="0" w:line="240" w:lineRule="auto"/>
              <w:ind w:right="160" w:firstLine="0"/>
              <w:rPr>
                <w:rFonts w:eastAsia="Times New Roman" w:cs="Times New Roman"/>
              </w:rPr>
            </w:pPr>
            <w:r>
              <w:rPr>
                <w:rFonts w:eastAsia="Times New Roman" w:cs="Times New Roman"/>
                <w:color w:val="000000"/>
                <w:sz w:val="20"/>
                <w:szCs w:val="20"/>
              </w:rPr>
              <w:t>IV</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1016561" w14:textId="77777777" w:rsidR="00670FD4" w:rsidRDefault="00670FD4" w:rsidP="001925BA">
            <w:pPr>
              <w:spacing w:after="0" w:line="240" w:lineRule="auto"/>
              <w:ind w:firstLine="0"/>
              <w:rPr>
                <w:rFonts w:eastAsia="Times New Roman" w:cs="Times New Roman"/>
              </w:rPr>
            </w:pPr>
            <w:r>
              <w:rPr>
                <w:rFonts w:eastAsia="Times New Roman" w:cs="Times New Roman"/>
                <w:color w:val="000000"/>
                <w:sz w:val="20"/>
                <w:szCs w:val="20"/>
              </w:rPr>
              <w:t>V</w:t>
            </w:r>
          </w:p>
        </w:tc>
        <w:tc>
          <w:tcPr>
            <w:tcW w:w="56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D9B1BF1" w14:textId="77777777" w:rsidR="00670FD4" w:rsidRDefault="00670FD4" w:rsidP="001925BA">
            <w:pPr>
              <w:spacing w:after="0" w:line="240" w:lineRule="auto"/>
              <w:ind w:right="100" w:firstLine="0"/>
              <w:rPr>
                <w:rFonts w:eastAsia="Times New Roman" w:cs="Times New Roman"/>
              </w:rPr>
            </w:pPr>
            <w:r>
              <w:rPr>
                <w:rFonts w:eastAsia="Times New Roman" w:cs="Times New Roman"/>
                <w:color w:val="000000"/>
                <w:sz w:val="20"/>
                <w:szCs w:val="20"/>
              </w:rPr>
              <w:t>VI</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28BE75C" w14:textId="77777777" w:rsidR="00670FD4" w:rsidRDefault="00670FD4" w:rsidP="001925BA">
            <w:pPr>
              <w:spacing w:after="0" w:line="240" w:lineRule="auto"/>
              <w:ind w:right="60" w:firstLine="0"/>
              <w:rPr>
                <w:rFonts w:eastAsia="Times New Roman" w:cs="Times New Roman"/>
              </w:rPr>
            </w:pPr>
            <w:r>
              <w:rPr>
                <w:rFonts w:eastAsia="Times New Roman" w:cs="Times New Roman"/>
                <w:color w:val="000000"/>
                <w:sz w:val="20"/>
                <w:szCs w:val="20"/>
              </w:rPr>
              <w:t>VII</w:t>
            </w:r>
          </w:p>
        </w:tc>
        <w:tc>
          <w:tcPr>
            <w:tcW w:w="663"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C378318" w14:textId="77777777" w:rsidR="00670FD4" w:rsidRDefault="00670FD4" w:rsidP="001925BA">
            <w:pPr>
              <w:spacing w:after="0" w:line="240" w:lineRule="auto"/>
              <w:ind w:right="120" w:firstLine="0"/>
              <w:rPr>
                <w:rFonts w:eastAsia="Times New Roman" w:cs="Times New Roman"/>
              </w:rPr>
            </w:pPr>
            <w:r>
              <w:rPr>
                <w:rFonts w:eastAsia="Times New Roman" w:cs="Times New Roman"/>
                <w:color w:val="000000"/>
                <w:sz w:val="20"/>
                <w:szCs w:val="20"/>
              </w:rPr>
              <w:t>VII</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8AD2548" w14:textId="77777777" w:rsidR="00670FD4" w:rsidRDefault="00670FD4" w:rsidP="001925BA">
            <w:pPr>
              <w:spacing w:after="0" w:line="240" w:lineRule="auto"/>
              <w:ind w:right="120" w:firstLine="0"/>
              <w:rPr>
                <w:rFonts w:eastAsia="Times New Roman" w:cs="Times New Roman"/>
              </w:rPr>
            </w:pPr>
            <w:r>
              <w:rPr>
                <w:rFonts w:eastAsia="Times New Roman" w:cs="Times New Roman"/>
                <w:color w:val="000000"/>
                <w:sz w:val="20"/>
                <w:szCs w:val="20"/>
              </w:rPr>
              <w:t>IX</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57C14D9" w14:textId="77777777" w:rsidR="00670FD4" w:rsidRDefault="00670FD4" w:rsidP="001925BA">
            <w:pPr>
              <w:spacing w:after="0" w:line="240" w:lineRule="auto"/>
              <w:ind w:firstLine="0"/>
              <w:rPr>
                <w:rFonts w:eastAsia="Times New Roman" w:cs="Times New Roman"/>
              </w:rPr>
            </w:pPr>
            <w:r>
              <w:rPr>
                <w:rFonts w:eastAsia="Times New Roman" w:cs="Times New Roman"/>
                <w:color w:val="000000"/>
                <w:sz w:val="20"/>
                <w:szCs w:val="20"/>
              </w:rPr>
              <w:t>X</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4388C91" w14:textId="77777777" w:rsidR="00670FD4" w:rsidRDefault="00670FD4" w:rsidP="001925BA">
            <w:pPr>
              <w:spacing w:after="0" w:line="240" w:lineRule="auto"/>
              <w:ind w:right="120" w:firstLine="0"/>
              <w:rPr>
                <w:rFonts w:eastAsia="Times New Roman" w:cs="Times New Roman"/>
              </w:rPr>
            </w:pPr>
            <w:r>
              <w:rPr>
                <w:rFonts w:eastAsia="Times New Roman" w:cs="Times New Roman"/>
                <w:color w:val="000000"/>
                <w:sz w:val="20"/>
                <w:szCs w:val="20"/>
              </w:rPr>
              <w:t>XI</w:t>
            </w:r>
          </w:p>
        </w:tc>
        <w:tc>
          <w:tcPr>
            <w:tcW w:w="59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875784F" w14:textId="77777777" w:rsidR="00670FD4" w:rsidRDefault="00670FD4" w:rsidP="001925BA">
            <w:pPr>
              <w:spacing w:after="0" w:line="240" w:lineRule="auto"/>
              <w:ind w:right="120" w:firstLine="0"/>
              <w:rPr>
                <w:rFonts w:eastAsia="Times New Roman" w:cs="Times New Roman"/>
              </w:rPr>
            </w:pPr>
            <w:r>
              <w:rPr>
                <w:rFonts w:eastAsia="Times New Roman" w:cs="Times New Roman"/>
                <w:color w:val="000000"/>
                <w:sz w:val="20"/>
                <w:szCs w:val="20"/>
              </w:rPr>
              <w:t>XI</w:t>
            </w:r>
          </w:p>
        </w:tc>
        <w:tc>
          <w:tcPr>
            <w:tcW w:w="70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D953C2C" w14:textId="77777777" w:rsidR="00670FD4" w:rsidRDefault="00670FD4" w:rsidP="001925BA">
            <w:pPr>
              <w:spacing w:after="0" w:line="240" w:lineRule="auto"/>
              <w:ind w:firstLine="0"/>
              <w:rPr>
                <w:rFonts w:eastAsia="Times New Roman" w:cs="Times New Roman"/>
              </w:rPr>
            </w:pPr>
            <w:r>
              <w:rPr>
                <w:rFonts w:eastAsia="Times New Roman" w:cs="Times New Roman"/>
                <w:color w:val="000000"/>
                <w:sz w:val="20"/>
                <w:szCs w:val="20"/>
              </w:rPr>
              <w:t>Anual</w:t>
            </w:r>
          </w:p>
        </w:tc>
      </w:tr>
      <w:tr w:rsidR="00670FD4" w14:paraId="5C16BE2F" w14:textId="77777777" w:rsidTr="001925BA">
        <w:trPr>
          <w:trHeight w:val="362"/>
        </w:trPr>
        <w:tc>
          <w:tcPr>
            <w:tcW w:w="127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42C2357" w14:textId="77777777" w:rsidR="00670FD4" w:rsidRDefault="00670FD4" w:rsidP="001925BA">
            <w:pPr>
              <w:spacing w:after="0" w:line="240" w:lineRule="auto"/>
              <w:ind w:right="60" w:firstLine="0"/>
              <w:rPr>
                <w:rFonts w:eastAsia="Times New Roman" w:cs="Times New Roman"/>
              </w:rPr>
            </w:pPr>
            <w:r>
              <w:rPr>
                <w:rFonts w:eastAsia="Times New Roman" w:cs="Times New Roman"/>
                <w:color w:val="000000"/>
                <w:sz w:val="20"/>
                <w:szCs w:val="20"/>
              </w:rPr>
              <w:t>Constanța</w:t>
            </w:r>
          </w:p>
        </w:tc>
        <w:tc>
          <w:tcPr>
            <w:tcW w:w="57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C54A4B6" w14:textId="77777777" w:rsidR="00670FD4" w:rsidRDefault="00670FD4" w:rsidP="001925BA">
            <w:pPr>
              <w:spacing w:after="0" w:line="240" w:lineRule="auto"/>
              <w:ind w:right="40" w:firstLine="0"/>
              <w:rPr>
                <w:rFonts w:eastAsia="Times New Roman" w:cs="Times New Roman"/>
                <w:sz w:val="18"/>
                <w:szCs w:val="18"/>
              </w:rPr>
            </w:pPr>
            <w:r>
              <w:rPr>
                <w:rFonts w:eastAsia="Times New Roman" w:cs="Times New Roman"/>
                <w:color w:val="000000"/>
                <w:sz w:val="18"/>
                <w:szCs w:val="18"/>
              </w:rPr>
              <w:t>35,6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63FA75F" w14:textId="77777777" w:rsidR="00670FD4" w:rsidRDefault="00670FD4" w:rsidP="001925BA">
            <w:pPr>
              <w:spacing w:after="0" w:line="240" w:lineRule="auto"/>
              <w:ind w:right="20" w:firstLine="0"/>
              <w:rPr>
                <w:rFonts w:eastAsia="Times New Roman" w:cs="Times New Roman"/>
                <w:sz w:val="18"/>
                <w:szCs w:val="18"/>
              </w:rPr>
            </w:pPr>
            <w:r>
              <w:rPr>
                <w:rFonts w:eastAsia="Times New Roman" w:cs="Times New Roman"/>
                <w:color w:val="000000"/>
                <w:sz w:val="18"/>
                <w:szCs w:val="18"/>
              </w:rPr>
              <w:t>26,9</w:t>
            </w:r>
          </w:p>
        </w:tc>
        <w:tc>
          <w:tcPr>
            <w:tcW w:w="588"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304A568" w14:textId="77777777" w:rsidR="00670FD4" w:rsidRDefault="00670FD4" w:rsidP="001925BA">
            <w:pPr>
              <w:spacing w:after="0" w:line="240" w:lineRule="auto"/>
              <w:ind w:right="40" w:firstLine="0"/>
              <w:rPr>
                <w:rFonts w:eastAsia="Times New Roman" w:cs="Times New Roman"/>
                <w:sz w:val="18"/>
                <w:szCs w:val="18"/>
              </w:rPr>
            </w:pPr>
            <w:r>
              <w:rPr>
                <w:rFonts w:eastAsia="Times New Roman" w:cs="Times New Roman"/>
                <w:color w:val="000000"/>
                <w:sz w:val="18"/>
                <w:szCs w:val="18"/>
              </w:rPr>
              <w:t>37,4</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44A3B9C" w14:textId="77777777" w:rsidR="00670FD4" w:rsidRDefault="00670FD4" w:rsidP="001925BA">
            <w:pPr>
              <w:spacing w:after="0" w:line="240" w:lineRule="auto"/>
              <w:ind w:right="40" w:firstLine="0"/>
              <w:rPr>
                <w:rFonts w:eastAsia="Times New Roman" w:cs="Times New Roman"/>
                <w:sz w:val="18"/>
                <w:szCs w:val="18"/>
              </w:rPr>
            </w:pPr>
            <w:r>
              <w:rPr>
                <w:rFonts w:eastAsia="Times New Roman" w:cs="Times New Roman"/>
                <w:color w:val="000000"/>
                <w:sz w:val="18"/>
                <w:szCs w:val="18"/>
              </w:rPr>
              <w:t>31,9</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EDD8552" w14:textId="77777777" w:rsidR="00670FD4" w:rsidRDefault="00670FD4" w:rsidP="001925BA">
            <w:pPr>
              <w:spacing w:after="0" w:line="240" w:lineRule="auto"/>
              <w:ind w:right="40" w:firstLine="0"/>
              <w:rPr>
                <w:rFonts w:eastAsia="Times New Roman" w:cs="Times New Roman"/>
                <w:sz w:val="18"/>
                <w:szCs w:val="18"/>
              </w:rPr>
            </w:pPr>
            <w:r>
              <w:rPr>
                <w:rFonts w:eastAsia="Times New Roman" w:cs="Times New Roman"/>
                <w:color w:val="000000"/>
                <w:sz w:val="18"/>
                <w:szCs w:val="18"/>
              </w:rPr>
              <w:t>44,8</w:t>
            </w:r>
          </w:p>
        </w:tc>
        <w:tc>
          <w:tcPr>
            <w:tcW w:w="56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35076BB" w14:textId="77777777" w:rsidR="00670FD4" w:rsidRDefault="00670FD4" w:rsidP="001925BA">
            <w:pPr>
              <w:spacing w:after="0" w:line="240" w:lineRule="auto"/>
              <w:ind w:right="20" w:firstLine="0"/>
              <w:rPr>
                <w:rFonts w:eastAsia="Times New Roman" w:cs="Times New Roman"/>
                <w:sz w:val="18"/>
                <w:szCs w:val="18"/>
              </w:rPr>
            </w:pPr>
            <w:r>
              <w:rPr>
                <w:rFonts w:eastAsia="Times New Roman" w:cs="Times New Roman"/>
                <w:color w:val="000000"/>
                <w:sz w:val="18"/>
                <w:szCs w:val="18"/>
              </w:rPr>
              <w:t>42,3</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0E7928A" w14:textId="77777777" w:rsidR="00670FD4" w:rsidRDefault="00670FD4" w:rsidP="001925BA">
            <w:pPr>
              <w:spacing w:after="0" w:line="240" w:lineRule="auto"/>
              <w:ind w:right="40" w:firstLine="0"/>
              <w:rPr>
                <w:rFonts w:eastAsia="Times New Roman" w:cs="Times New Roman"/>
                <w:sz w:val="18"/>
                <w:szCs w:val="18"/>
              </w:rPr>
            </w:pPr>
            <w:r>
              <w:rPr>
                <w:rFonts w:eastAsia="Times New Roman" w:cs="Times New Roman"/>
                <w:color w:val="000000"/>
                <w:sz w:val="18"/>
                <w:szCs w:val="18"/>
              </w:rPr>
              <w:t>41,9</w:t>
            </w:r>
          </w:p>
        </w:tc>
        <w:tc>
          <w:tcPr>
            <w:tcW w:w="663"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EED913A" w14:textId="77777777" w:rsidR="00670FD4" w:rsidRDefault="00670FD4" w:rsidP="001925BA">
            <w:pPr>
              <w:spacing w:after="0" w:line="240" w:lineRule="auto"/>
              <w:ind w:firstLine="0"/>
              <w:rPr>
                <w:rFonts w:eastAsia="Times New Roman" w:cs="Times New Roman"/>
                <w:sz w:val="18"/>
                <w:szCs w:val="18"/>
              </w:rPr>
            </w:pPr>
            <w:r>
              <w:rPr>
                <w:rFonts w:eastAsia="Times New Roman" w:cs="Times New Roman"/>
                <w:color w:val="000000"/>
                <w:sz w:val="18"/>
                <w:szCs w:val="18"/>
              </w:rPr>
              <w:t>36,3</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AE9276D" w14:textId="77777777" w:rsidR="00670FD4" w:rsidRDefault="00670FD4" w:rsidP="001925BA">
            <w:pPr>
              <w:spacing w:after="0" w:line="240" w:lineRule="auto"/>
              <w:ind w:right="40" w:firstLine="0"/>
              <w:rPr>
                <w:rFonts w:eastAsia="Times New Roman" w:cs="Times New Roman"/>
                <w:sz w:val="18"/>
                <w:szCs w:val="18"/>
              </w:rPr>
            </w:pPr>
            <w:r>
              <w:rPr>
                <w:rFonts w:eastAsia="Times New Roman" w:cs="Times New Roman"/>
                <w:color w:val="000000"/>
                <w:sz w:val="18"/>
                <w:szCs w:val="18"/>
              </w:rPr>
              <w:t>44,0</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D9A53C4" w14:textId="77777777" w:rsidR="00670FD4" w:rsidRDefault="00670FD4" w:rsidP="001925BA">
            <w:pPr>
              <w:spacing w:after="0" w:line="240" w:lineRule="auto"/>
              <w:ind w:right="40" w:firstLine="0"/>
              <w:rPr>
                <w:rFonts w:eastAsia="Times New Roman" w:cs="Times New Roman"/>
                <w:sz w:val="18"/>
                <w:szCs w:val="18"/>
              </w:rPr>
            </w:pPr>
            <w:r>
              <w:rPr>
                <w:rFonts w:eastAsia="Times New Roman" w:cs="Times New Roman"/>
                <w:color w:val="000000"/>
                <w:sz w:val="18"/>
                <w:szCs w:val="18"/>
              </w:rPr>
              <w:t>44,4</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48C77DE" w14:textId="77777777" w:rsidR="00670FD4" w:rsidRDefault="00670FD4" w:rsidP="001925BA">
            <w:pPr>
              <w:spacing w:after="0" w:line="240" w:lineRule="auto"/>
              <w:ind w:right="40" w:firstLine="0"/>
              <w:rPr>
                <w:rFonts w:eastAsia="Times New Roman" w:cs="Times New Roman"/>
                <w:sz w:val="18"/>
                <w:szCs w:val="18"/>
              </w:rPr>
            </w:pPr>
            <w:r>
              <w:rPr>
                <w:rFonts w:eastAsia="Times New Roman" w:cs="Times New Roman"/>
                <w:color w:val="000000"/>
                <w:sz w:val="18"/>
                <w:szCs w:val="18"/>
              </w:rPr>
              <w:t>41,5</w:t>
            </w:r>
          </w:p>
        </w:tc>
        <w:tc>
          <w:tcPr>
            <w:tcW w:w="59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BDF6E9E" w14:textId="77777777" w:rsidR="00670FD4" w:rsidRDefault="00670FD4" w:rsidP="001925BA">
            <w:pPr>
              <w:spacing w:after="0" w:line="240" w:lineRule="auto"/>
              <w:ind w:right="20" w:firstLine="0"/>
              <w:rPr>
                <w:rFonts w:eastAsia="Times New Roman" w:cs="Times New Roman"/>
                <w:sz w:val="18"/>
                <w:szCs w:val="18"/>
              </w:rPr>
            </w:pPr>
            <w:r>
              <w:rPr>
                <w:rFonts w:eastAsia="Times New Roman" w:cs="Times New Roman"/>
                <w:color w:val="000000"/>
                <w:sz w:val="18"/>
                <w:szCs w:val="18"/>
              </w:rPr>
              <w:t>41,1</w:t>
            </w:r>
          </w:p>
        </w:tc>
        <w:tc>
          <w:tcPr>
            <w:tcW w:w="70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5A37D9D" w14:textId="77777777" w:rsidR="00670FD4" w:rsidRDefault="00670FD4" w:rsidP="001925BA">
            <w:pPr>
              <w:spacing w:after="0" w:line="240" w:lineRule="auto"/>
              <w:ind w:right="-5" w:firstLine="0"/>
              <w:rPr>
                <w:rFonts w:eastAsia="Times New Roman" w:cs="Times New Roman"/>
                <w:sz w:val="18"/>
                <w:szCs w:val="18"/>
              </w:rPr>
            </w:pPr>
            <w:r>
              <w:rPr>
                <w:rFonts w:eastAsia="Times New Roman" w:cs="Times New Roman"/>
                <w:color w:val="000000"/>
                <w:sz w:val="18"/>
                <w:szCs w:val="18"/>
              </w:rPr>
              <w:t>468,0</w:t>
            </w:r>
          </w:p>
        </w:tc>
      </w:tr>
      <w:tr w:rsidR="00670FD4" w14:paraId="5914E18C" w14:textId="77777777" w:rsidTr="001925BA">
        <w:trPr>
          <w:trHeight w:val="484"/>
        </w:trPr>
        <w:tc>
          <w:tcPr>
            <w:tcW w:w="127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F8AFC38" w14:textId="77777777" w:rsidR="00670FD4" w:rsidRDefault="00670FD4" w:rsidP="001925BA">
            <w:pPr>
              <w:spacing w:after="0" w:line="240" w:lineRule="auto"/>
              <w:ind w:right="60" w:firstLine="0"/>
              <w:rPr>
                <w:rFonts w:eastAsia="Times New Roman" w:cs="Times New Roman"/>
              </w:rPr>
            </w:pPr>
            <w:r>
              <w:rPr>
                <w:rFonts w:eastAsia="Times New Roman" w:cs="Times New Roman"/>
                <w:color w:val="000000"/>
                <w:sz w:val="20"/>
                <w:szCs w:val="20"/>
              </w:rPr>
              <w:t>Gura Portiței</w:t>
            </w:r>
          </w:p>
        </w:tc>
        <w:tc>
          <w:tcPr>
            <w:tcW w:w="57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1FAE6CE" w14:textId="77777777" w:rsidR="00670FD4" w:rsidRDefault="00670FD4" w:rsidP="001925BA">
            <w:pPr>
              <w:spacing w:after="0" w:line="240" w:lineRule="auto"/>
              <w:ind w:right="20" w:firstLine="0"/>
              <w:rPr>
                <w:rFonts w:eastAsia="Times New Roman" w:cs="Times New Roman"/>
                <w:sz w:val="18"/>
                <w:szCs w:val="18"/>
              </w:rPr>
            </w:pPr>
            <w:r>
              <w:rPr>
                <w:rFonts w:eastAsia="Times New Roman" w:cs="Times New Roman"/>
                <w:color w:val="000000"/>
                <w:sz w:val="18"/>
                <w:szCs w:val="18"/>
              </w:rPr>
              <w:t>24,1</w:t>
            </w:r>
          </w:p>
        </w:tc>
        <w:tc>
          <w:tcPr>
            <w:tcW w:w="568"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1754D6B" w14:textId="77777777" w:rsidR="00670FD4" w:rsidRDefault="00670FD4" w:rsidP="001925BA">
            <w:pPr>
              <w:spacing w:after="0" w:line="240" w:lineRule="auto"/>
              <w:ind w:right="20" w:firstLine="0"/>
              <w:rPr>
                <w:rFonts w:eastAsia="Times New Roman" w:cs="Times New Roman"/>
                <w:sz w:val="18"/>
                <w:szCs w:val="18"/>
              </w:rPr>
            </w:pPr>
            <w:r>
              <w:rPr>
                <w:rFonts w:eastAsia="Times New Roman" w:cs="Times New Roman"/>
                <w:color w:val="000000"/>
                <w:sz w:val="18"/>
                <w:szCs w:val="18"/>
              </w:rPr>
              <w:t>20,3</w:t>
            </w:r>
          </w:p>
        </w:tc>
        <w:tc>
          <w:tcPr>
            <w:tcW w:w="588"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C27E0E2" w14:textId="77777777" w:rsidR="00670FD4" w:rsidRDefault="00670FD4" w:rsidP="001925BA">
            <w:pPr>
              <w:spacing w:after="0" w:line="240" w:lineRule="auto"/>
              <w:ind w:right="40" w:firstLine="0"/>
              <w:rPr>
                <w:rFonts w:eastAsia="Times New Roman" w:cs="Times New Roman"/>
                <w:sz w:val="18"/>
                <w:szCs w:val="18"/>
              </w:rPr>
            </w:pPr>
            <w:r>
              <w:rPr>
                <w:rFonts w:eastAsia="Times New Roman" w:cs="Times New Roman"/>
                <w:color w:val="000000"/>
                <w:sz w:val="18"/>
                <w:szCs w:val="18"/>
              </w:rPr>
              <w:t>25,9</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0EAFDDE" w14:textId="77777777" w:rsidR="00670FD4" w:rsidRDefault="00670FD4" w:rsidP="001925BA">
            <w:pPr>
              <w:spacing w:after="0" w:line="240" w:lineRule="auto"/>
              <w:ind w:right="40" w:firstLine="0"/>
              <w:rPr>
                <w:rFonts w:eastAsia="Times New Roman" w:cs="Times New Roman"/>
                <w:sz w:val="18"/>
                <w:szCs w:val="18"/>
              </w:rPr>
            </w:pPr>
            <w:r>
              <w:rPr>
                <w:rFonts w:eastAsia="Times New Roman" w:cs="Times New Roman"/>
                <w:color w:val="000000"/>
                <w:sz w:val="18"/>
                <w:szCs w:val="18"/>
              </w:rPr>
              <w:t>27,7</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219F73B" w14:textId="77777777" w:rsidR="00670FD4" w:rsidRDefault="00670FD4" w:rsidP="001925BA">
            <w:pPr>
              <w:spacing w:after="0" w:line="240" w:lineRule="auto"/>
              <w:ind w:right="40" w:firstLine="0"/>
              <w:rPr>
                <w:rFonts w:eastAsia="Times New Roman" w:cs="Times New Roman"/>
                <w:sz w:val="18"/>
                <w:szCs w:val="18"/>
              </w:rPr>
            </w:pPr>
            <w:r>
              <w:rPr>
                <w:rFonts w:eastAsia="Times New Roman" w:cs="Times New Roman"/>
                <w:color w:val="000000"/>
                <w:sz w:val="18"/>
                <w:szCs w:val="18"/>
              </w:rPr>
              <w:t>32,9</w:t>
            </w:r>
          </w:p>
        </w:tc>
        <w:tc>
          <w:tcPr>
            <w:tcW w:w="56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92E5426" w14:textId="77777777" w:rsidR="00670FD4" w:rsidRDefault="00670FD4" w:rsidP="001925BA">
            <w:pPr>
              <w:spacing w:after="0" w:line="240" w:lineRule="auto"/>
              <w:ind w:right="20" w:firstLine="0"/>
              <w:rPr>
                <w:rFonts w:eastAsia="Times New Roman" w:cs="Times New Roman"/>
                <w:sz w:val="18"/>
                <w:szCs w:val="18"/>
              </w:rPr>
            </w:pPr>
            <w:r>
              <w:rPr>
                <w:rFonts w:eastAsia="Times New Roman" w:cs="Times New Roman"/>
                <w:color w:val="000000"/>
                <w:sz w:val="18"/>
                <w:szCs w:val="18"/>
              </w:rPr>
              <w:t>35,2</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15EF4BE" w14:textId="77777777" w:rsidR="00670FD4" w:rsidRDefault="00670FD4" w:rsidP="001925BA">
            <w:pPr>
              <w:spacing w:after="0" w:line="240" w:lineRule="auto"/>
              <w:ind w:right="20" w:firstLine="0"/>
              <w:rPr>
                <w:rFonts w:eastAsia="Times New Roman" w:cs="Times New Roman"/>
                <w:sz w:val="18"/>
                <w:szCs w:val="18"/>
              </w:rPr>
            </w:pPr>
            <w:r>
              <w:rPr>
                <w:rFonts w:eastAsia="Times New Roman" w:cs="Times New Roman"/>
                <w:color w:val="000000"/>
                <w:sz w:val="18"/>
                <w:szCs w:val="18"/>
              </w:rPr>
              <w:t>26,3</w:t>
            </w:r>
          </w:p>
        </w:tc>
        <w:tc>
          <w:tcPr>
            <w:tcW w:w="663"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2E00D0B" w14:textId="77777777" w:rsidR="00670FD4" w:rsidRDefault="00670FD4" w:rsidP="001925BA">
            <w:pPr>
              <w:spacing w:after="0" w:line="240" w:lineRule="auto"/>
              <w:ind w:firstLine="0"/>
              <w:rPr>
                <w:rFonts w:eastAsia="Times New Roman" w:cs="Times New Roman"/>
                <w:sz w:val="18"/>
                <w:szCs w:val="18"/>
              </w:rPr>
            </w:pPr>
            <w:r>
              <w:rPr>
                <w:rFonts w:eastAsia="Times New Roman" w:cs="Times New Roman"/>
                <w:color w:val="000000"/>
                <w:sz w:val="18"/>
                <w:szCs w:val="18"/>
              </w:rPr>
              <w:t>28,3</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86127AE" w14:textId="77777777" w:rsidR="00670FD4" w:rsidRDefault="00670FD4" w:rsidP="001925BA">
            <w:pPr>
              <w:spacing w:after="0" w:line="240" w:lineRule="auto"/>
              <w:ind w:right="40" w:firstLine="0"/>
              <w:rPr>
                <w:rFonts w:eastAsia="Times New Roman" w:cs="Times New Roman"/>
                <w:sz w:val="18"/>
                <w:szCs w:val="18"/>
              </w:rPr>
            </w:pPr>
            <w:r>
              <w:rPr>
                <w:rFonts w:eastAsia="Times New Roman" w:cs="Times New Roman"/>
                <w:color w:val="000000"/>
                <w:sz w:val="18"/>
                <w:szCs w:val="18"/>
              </w:rPr>
              <w:t>37,6</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23BF908" w14:textId="77777777" w:rsidR="00670FD4" w:rsidRDefault="00670FD4" w:rsidP="001925BA">
            <w:pPr>
              <w:spacing w:after="0" w:line="240" w:lineRule="auto"/>
              <w:ind w:right="40" w:firstLine="0"/>
              <w:rPr>
                <w:rFonts w:eastAsia="Times New Roman" w:cs="Times New Roman"/>
                <w:sz w:val="18"/>
                <w:szCs w:val="18"/>
              </w:rPr>
            </w:pPr>
            <w:r>
              <w:rPr>
                <w:rFonts w:eastAsia="Times New Roman" w:cs="Times New Roman"/>
                <w:color w:val="000000"/>
                <w:sz w:val="18"/>
                <w:szCs w:val="18"/>
              </w:rPr>
              <w:t>40,3</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1CD71F0" w14:textId="77777777" w:rsidR="00670FD4" w:rsidRDefault="00670FD4" w:rsidP="001925BA">
            <w:pPr>
              <w:spacing w:after="0" w:line="240" w:lineRule="auto"/>
              <w:ind w:right="40" w:firstLine="0"/>
              <w:rPr>
                <w:rFonts w:eastAsia="Times New Roman" w:cs="Times New Roman"/>
                <w:sz w:val="18"/>
                <w:szCs w:val="18"/>
              </w:rPr>
            </w:pPr>
            <w:r>
              <w:rPr>
                <w:rFonts w:eastAsia="Times New Roman" w:cs="Times New Roman"/>
                <w:color w:val="000000"/>
                <w:sz w:val="18"/>
                <w:szCs w:val="18"/>
              </w:rPr>
              <w:t>37,6</w:t>
            </w:r>
          </w:p>
        </w:tc>
        <w:tc>
          <w:tcPr>
            <w:tcW w:w="59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198C95A" w14:textId="77777777" w:rsidR="00670FD4" w:rsidRDefault="00670FD4" w:rsidP="001925BA">
            <w:pPr>
              <w:spacing w:after="0" w:line="240" w:lineRule="auto"/>
              <w:ind w:right="20" w:firstLine="0"/>
              <w:rPr>
                <w:rFonts w:eastAsia="Times New Roman" w:cs="Times New Roman"/>
                <w:sz w:val="18"/>
                <w:szCs w:val="18"/>
              </w:rPr>
            </w:pPr>
            <w:r>
              <w:rPr>
                <w:rFonts w:eastAsia="Times New Roman" w:cs="Times New Roman"/>
                <w:color w:val="000000"/>
                <w:sz w:val="18"/>
                <w:szCs w:val="18"/>
              </w:rPr>
              <w:t>35,4</w:t>
            </w:r>
          </w:p>
        </w:tc>
        <w:tc>
          <w:tcPr>
            <w:tcW w:w="70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D7127E8" w14:textId="77777777" w:rsidR="00670FD4" w:rsidRDefault="00670FD4" w:rsidP="001925BA">
            <w:pPr>
              <w:spacing w:after="0" w:line="240" w:lineRule="auto"/>
              <w:ind w:right="-5" w:firstLine="0"/>
              <w:rPr>
                <w:rFonts w:eastAsia="Times New Roman" w:cs="Times New Roman"/>
                <w:sz w:val="18"/>
                <w:szCs w:val="18"/>
              </w:rPr>
            </w:pPr>
            <w:r>
              <w:rPr>
                <w:rFonts w:eastAsia="Times New Roman" w:cs="Times New Roman"/>
                <w:color w:val="000000"/>
                <w:sz w:val="18"/>
                <w:szCs w:val="18"/>
              </w:rPr>
              <w:t>372,1</w:t>
            </w:r>
          </w:p>
        </w:tc>
      </w:tr>
      <w:tr w:rsidR="00670FD4" w14:paraId="6E3666A6" w14:textId="77777777" w:rsidTr="001925BA">
        <w:trPr>
          <w:trHeight w:val="366"/>
        </w:trPr>
        <w:tc>
          <w:tcPr>
            <w:tcW w:w="127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11D9D3E" w14:textId="77777777" w:rsidR="00670FD4" w:rsidRDefault="00670FD4" w:rsidP="001925BA">
            <w:pPr>
              <w:spacing w:after="0" w:line="240" w:lineRule="auto"/>
              <w:ind w:right="60" w:firstLine="0"/>
              <w:rPr>
                <w:rFonts w:eastAsia="Times New Roman" w:cs="Times New Roman"/>
              </w:rPr>
            </w:pPr>
            <w:r>
              <w:rPr>
                <w:rFonts w:eastAsia="Times New Roman" w:cs="Times New Roman"/>
                <w:color w:val="000000"/>
                <w:sz w:val="20"/>
                <w:szCs w:val="20"/>
              </w:rPr>
              <w:t>Jurilovca</w:t>
            </w:r>
          </w:p>
        </w:tc>
        <w:tc>
          <w:tcPr>
            <w:tcW w:w="57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825FDC9" w14:textId="77777777" w:rsidR="00670FD4" w:rsidRDefault="00670FD4" w:rsidP="001925BA">
            <w:pPr>
              <w:spacing w:after="0" w:line="240" w:lineRule="auto"/>
              <w:ind w:right="20" w:firstLine="0"/>
              <w:rPr>
                <w:rFonts w:eastAsia="Times New Roman" w:cs="Times New Roman"/>
                <w:sz w:val="18"/>
                <w:szCs w:val="18"/>
              </w:rPr>
            </w:pPr>
            <w:r>
              <w:rPr>
                <w:rFonts w:eastAsia="Times New Roman" w:cs="Times New Roman"/>
                <w:color w:val="000000"/>
                <w:sz w:val="18"/>
                <w:szCs w:val="18"/>
              </w:rPr>
              <w:t>25,6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485CC95" w14:textId="77777777" w:rsidR="00670FD4" w:rsidRDefault="00670FD4" w:rsidP="001925BA">
            <w:pPr>
              <w:spacing w:after="0" w:line="240" w:lineRule="auto"/>
              <w:ind w:firstLine="0"/>
              <w:rPr>
                <w:rFonts w:eastAsia="Times New Roman" w:cs="Times New Roman"/>
                <w:sz w:val="18"/>
                <w:szCs w:val="18"/>
              </w:rPr>
            </w:pPr>
            <w:r>
              <w:rPr>
                <w:rFonts w:eastAsia="Times New Roman" w:cs="Times New Roman"/>
                <w:color w:val="000000"/>
                <w:sz w:val="18"/>
                <w:szCs w:val="18"/>
              </w:rPr>
              <w:t>20,9</w:t>
            </w:r>
          </w:p>
        </w:tc>
        <w:tc>
          <w:tcPr>
            <w:tcW w:w="588"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C062B53" w14:textId="77777777" w:rsidR="00670FD4" w:rsidRDefault="00670FD4" w:rsidP="001925BA">
            <w:pPr>
              <w:spacing w:after="0" w:line="240" w:lineRule="auto"/>
              <w:ind w:right="40" w:firstLine="0"/>
              <w:rPr>
                <w:rFonts w:eastAsia="Times New Roman" w:cs="Times New Roman"/>
                <w:sz w:val="18"/>
                <w:szCs w:val="18"/>
              </w:rPr>
            </w:pPr>
            <w:r>
              <w:rPr>
                <w:rFonts w:eastAsia="Times New Roman" w:cs="Times New Roman"/>
                <w:color w:val="000000"/>
                <w:sz w:val="18"/>
                <w:szCs w:val="18"/>
              </w:rPr>
              <w:t>25,7</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3B8D5A9" w14:textId="77777777" w:rsidR="00670FD4" w:rsidRDefault="00670FD4" w:rsidP="001925BA">
            <w:pPr>
              <w:spacing w:after="0" w:line="240" w:lineRule="auto"/>
              <w:ind w:firstLine="0"/>
              <w:rPr>
                <w:rFonts w:eastAsia="Times New Roman" w:cs="Times New Roman"/>
                <w:sz w:val="18"/>
                <w:szCs w:val="18"/>
              </w:rPr>
            </w:pPr>
            <w:r>
              <w:rPr>
                <w:rFonts w:eastAsia="Times New Roman" w:cs="Times New Roman"/>
                <w:color w:val="000000"/>
                <w:sz w:val="18"/>
                <w:szCs w:val="18"/>
              </w:rPr>
              <w:t>29,4</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4E98B4F" w14:textId="77777777" w:rsidR="00670FD4" w:rsidRDefault="00670FD4" w:rsidP="001925BA">
            <w:pPr>
              <w:spacing w:after="0" w:line="240" w:lineRule="auto"/>
              <w:ind w:right="20" w:firstLine="0"/>
              <w:rPr>
                <w:rFonts w:eastAsia="Times New Roman" w:cs="Times New Roman"/>
                <w:sz w:val="18"/>
                <w:szCs w:val="18"/>
              </w:rPr>
            </w:pPr>
            <w:r>
              <w:rPr>
                <w:rFonts w:eastAsia="Times New Roman" w:cs="Times New Roman"/>
                <w:color w:val="000000"/>
                <w:sz w:val="18"/>
                <w:szCs w:val="18"/>
              </w:rPr>
              <w:t>36,0</w:t>
            </w:r>
          </w:p>
        </w:tc>
        <w:tc>
          <w:tcPr>
            <w:tcW w:w="56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E924A83" w14:textId="77777777" w:rsidR="00670FD4" w:rsidRDefault="00670FD4" w:rsidP="001925BA">
            <w:pPr>
              <w:spacing w:after="0" w:line="240" w:lineRule="auto"/>
              <w:ind w:right="20" w:firstLine="0"/>
              <w:rPr>
                <w:rFonts w:eastAsia="Times New Roman" w:cs="Times New Roman"/>
                <w:sz w:val="18"/>
                <w:szCs w:val="18"/>
              </w:rPr>
            </w:pPr>
            <w:r>
              <w:rPr>
                <w:rFonts w:eastAsia="Times New Roman" w:cs="Times New Roman"/>
                <w:color w:val="000000"/>
                <w:sz w:val="18"/>
                <w:szCs w:val="18"/>
              </w:rPr>
              <w:t>45,0</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D416453" w14:textId="77777777" w:rsidR="00670FD4" w:rsidRDefault="00670FD4" w:rsidP="001925BA">
            <w:pPr>
              <w:spacing w:after="0" w:line="240" w:lineRule="auto"/>
              <w:ind w:right="20" w:firstLine="0"/>
              <w:rPr>
                <w:rFonts w:eastAsia="Times New Roman" w:cs="Times New Roman"/>
                <w:sz w:val="18"/>
                <w:szCs w:val="18"/>
              </w:rPr>
            </w:pPr>
            <w:r>
              <w:rPr>
                <w:rFonts w:eastAsia="Times New Roman" w:cs="Times New Roman"/>
                <w:color w:val="000000"/>
                <w:sz w:val="18"/>
                <w:szCs w:val="18"/>
              </w:rPr>
              <w:t>32,9</w:t>
            </w:r>
          </w:p>
        </w:tc>
        <w:tc>
          <w:tcPr>
            <w:tcW w:w="663"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0B28ABD" w14:textId="77777777" w:rsidR="00670FD4" w:rsidRDefault="00670FD4" w:rsidP="001925BA">
            <w:pPr>
              <w:spacing w:after="0" w:line="240" w:lineRule="auto"/>
              <w:ind w:firstLine="0"/>
              <w:rPr>
                <w:rFonts w:eastAsia="Times New Roman" w:cs="Times New Roman"/>
                <w:sz w:val="18"/>
                <w:szCs w:val="18"/>
              </w:rPr>
            </w:pPr>
            <w:r>
              <w:rPr>
                <w:rFonts w:eastAsia="Times New Roman" w:cs="Times New Roman"/>
                <w:color w:val="000000"/>
                <w:sz w:val="18"/>
                <w:szCs w:val="18"/>
              </w:rPr>
              <w:t>30,1</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C812C2E" w14:textId="77777777" w:rsidR="00670FD4" w:rsidRDefault="00670FD4" w:rsidP="001925BA">
            <w:pPr>
              <w:spacing w:after="0" w:line="240" w:lineRule="auto"/>
              <w:ind w:right="40" w:firstLine="0"/>
              <w:rPr>
                <w:rFonts w:eastAsia="Times New Roman" w:cs="Times New Roman"/>
                <w:sz w:val="18"/>
                <w:szCs w:val="18"/>
              </w:rPr>
            </w:pPr>
            <w:r>
              <w:rPr>
                <w:rFonts w:eastAsia="Times New Roman" w:cs="Times New Roman"/>
                <w:color w:val="000000"/>
                <w:sz w:val="18"/>
                <w:szCs w:val="18"/>
              </w:rPr>
              <w:t>38,5</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288D168" w14:textId="77777777" w:rsidR="00670FD4" w:rsidRDefault="00670FD4" w:rsidP="001925BA">
            <w:pPr>
              <w:spacing w:after="0" w:line="240" w:lineRule="auto"/>
              <w:ind w:right="40" w:firstLine="0"/>
              <w:rPr>
                <w:rFonts w:eastAsia="Times New Roman" w:cs="Times New Roman"/>
                <w:sz w:val="18"/>
                <w:szCs w:val="18"/>
              </w:rPr>
            </w:pPr>
            <w:r>
              <w:rPr>
                <w:rFonts w:eastAsia="Times New Roman" w:cs="Times New Roman"/>
                <w:color w:val="000000"/>
                <w:sz w:val="18"/>
                <w:szCs w:val="18"/>
              </w:rPr>
              <w:t>32,9</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5D63D73" w14:textId="77777777" w:rsidR="00670FD4" w:rsidRDefault="00670FD4" w:rsidP="001925BA">
            <w:pPr>
              <w:spacing w:after="0" w:line="240" w:lineRule="auto"/>
              <w:ind w:right="40" w:firstLine="0"/>
              <w:rPr>
                <w:rFonts w:eastAsia="Times New Roman" w:cs="Times New Roman"/>
                <w:sz w:val="18"/>
                <w:szCs w:val="18"/>
              </w:rPr>
            </w:pPr>
            <w:r>
              <w:rPr>
                <w:rFonts w:eastAsia="Times New Roman" w:cs="Times New Roman"/>
                <w:color w:val="000000"/>
                <w:sz w:val="18"/>
                <w:szCs w:val="18"/>
              </w:rPr>
              <w:t>32,6</w:t>
            </w:r>
          </w:p>
        </w:tc>
        <w:tc>
          <w:tcPr>
            <w:tcW w:w="59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700473D" w14:textId="77777777" w:rsidR="00670FD4" w:rsidRDefault="00670FD4" w:rsidP="001925BA">
            <w:pPr>
              <w:spacing w:after="0" w:line="240" w:lineRule="auto"/>
              <w:ind w:right="20" w:firstLine="0"/>
              <w:rPr>
                <w:rFonts w:eastAsia="Times New Roman" w:cs="Times New Roman"/>
                <w:sz w:val="18"/>
                <w:szCs w:val="18"/>
              </w:rPr>
            </w:pPr>
            <w:r>
              <w:rPr>
                <w:rFonts w:eastAsia="Times New Roman" w:cs="Times New Roman"/>
                <w:color w:val="000000"/>
                <w:sz w:val="18"/>
                <w:szCs w:val="18"/>
              </w:rPr>
              <w:t>30,6</w:t>
            </w:r>
          </w:p>
        </w:tc>
        <w:tc>
          <w:tcPr>
            <w:tcW w:w="70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0B9AD34" w14:textId="77777777" w:rsidR="00670FD4" w:rsidRDefault="00670FD4" w:rsidP="001925BA">
            <w:pPr>
              <w:spacing w:after="0" w:line="240" w:lineRule="auto"/>
              <w:ind w:right="-5" w:firstLine="0"/>
              <w:rPr>
                <w:rFonts w:eastAsia="Times New Roman" w:cs="Times New Roman"/>
                <w:sz w:val="18"/>
                <w:szCs w:val="18"/>
              </w:rPr>
            </w:pPr>
            <w:r>
              <w:rPr>
                <w:rFonts w:eastAsia="Times New Roman" w:cs="Times New Roman"/>
                <w:color w:val="000000"/>
                <w:sz w:val="18"/>
                <w:szCs w:val="18"/>
              </w:rPr>
              <w:t>361,6</w:t>
            </w:r>
          </w:p>
        </w:tc>
      </w:tr>
      <w:tr w:rsidR="00670FD4" w14:paraId="5581A644" w14:textId="77777777" w:rsidTr="001925BA">
        <w:trPr>
          <w:trHeight w:val="346"/>
        </w:trPr>
        <w:tc>
          <w:tcPr>
            <w:tcW w:w="127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80CE871" w14:textId="77777777" w:rsidR="00670FD4" w:rsidRDefault="00670FD4" w:rsidP="001925BA">
            <w:pPr>
              <w:spacing w:after="0" w:line="240" w:lineRule="auto"/>
              <w:ind w:right="60" w:firstLine="0"/>
              <w:rPr>
                <w:rFonts w:eastAsia="Times New Roman" w:cs="Times New Roman"/>
              </w:rPr>
            </w:pPr>
            <w:r>
              <w:rPr>
                <w:rFonts w:eastAsia="Times New Roman" w:cs="Times New Roman"/>
                <w:color w:val="000000"/>
                <w:sz w:val="20"/>
                <w:szCs w:val="20"/>
              </w:rPr>
              <w:t>Mangalia</w:t>
            </w:r>
          </w:p>
        </w:tc>
        <w:tc>
          <w:tcPr>
            <w:tcW w:w="57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23DF8E9" w14:textId="77777777" w:rsidR="00670FD4" w:rsidRDefault="00670FD4" w:rsidP="001925BA">
            <w:pPr>
              <w:spacing w:after="0" w:line="240" w:lineRule="auto"/>
              <w:ind w:right="20" w:firstLine="0"/>
              <w:rPr>
                <w:rFonts w:eastAsia="Times New Roman" w:cs="Times New Roman"/>
                <w:sz w:val="18"/>
                <w:szCs w:val="18"/>
              </w:rPr>
            </w:pPr>
            <w:r>
              <w:rPr>
                <w:rFonts w:eastAsia="Times New Roman" w:cs="Times New Roman"/>
                <w:color w:val="000000"/>
                <w:sz w:val="18"/>
                <w:szCs w:val="18"/>
              </w:rPr>
              <w:t>37,9</w:t>
            </w:r>
          </w:p>
        </w:tc>
        <w:tc>
          <w:tcPr>
            <w:tcW w:w="568"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E82F5E1" w14:textId="77777777" w:rsidR="00670FD4" w:rsidRDefault="00670FD4" w:rsidP="001925BA">
            <w:pPr>
              <w:spacing w:after="0" w:line="240" w:lineRule="auto"/>
              <w:ind w:right="20" w:firstLine="0"/>
              <w:rPr>
                <w:rFonts w:eastAsia="Times New Roman" w:cs="Times New Roman"/>
                <w:sz w:val="18"/>
                <w:szCs w:val="18"/>
              </w:rPr>
            </w:pPr>
            <w:r>
              <w:rPr>
                <w:rFonts w:eastAsia="Times New Roman" w:cs="Times New Roman"/>
                <w:color w:val="000000"/>
                <w:sz w:val="18"/>
                <w:szCs w:val="18"/>
              </w:rPr>
              <w:t>24,5</w:t>
            </w:r>
          </w:p>
        </w:tc>
        <w:tc>
          <w:tcPr>
            <w:tcW w:w="588"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11FC6E2" w14:textId="77777777" w:rsidR="00670FD4" w:rsidRDefault="00670FD4" w:rsidP="001925BA">
            <w:pPr>
              <w:spacing w:after="0" w:line="240" w:lineRule="auto"/>
              <w:ind w:right="40" w:firstLine="0"/>
              <w:rPr>
                <w:rFonts w:eastAsia="Times New Roman" w:cs="Times New Roman"/>
                <w:sz w:val="18"/>
                <w:szCs w:val="18"/>
              </w:rPr>
            </w:pPr>
            <w:r>
              <w:rPr>
                <w:rFonts w:eastAsia="Times New Roman" w:cs="Times New Roman"/>
                <w:color w:val="000000"/>
                <w:sz w:val="18"/>
                <w:szCs w:val="18"/>
              </w:rPr>
              <w:t>32,2</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B1D6F3E" w14:textId="77777777" w:rsidR="00670FD4" w:rsidRDefault="00670FD4" w:rsidP="001925BA">
            <w:pPr>
              <w:spacing w:after="0" w:line="240" w:lineRule="auto"/>
              <w:ind w:firstLine="0"/>
              <w:rPr>
                <w:rFonts w:eastAsia="Times New Roman" w:cs="Times New Roman"/>
                <w:sz w:val="18"/>
                <w:szCs w:val="18"/>
              </w:rPr>
            </w:pPr>
            <w:r>
              <w:rPr>
                <w:rFonts w:eastAsia="Times New Roman" w:cs="Times New Roman"/>
                <w:color w:val="000000"/>
                <w:sz w:val="18"/>
                <w:szCs w:val="18"/>
              </w:rPr>
              <w:t>29,4</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3417EA1" w14:textId="77777777" w:rsidR="00670FD4" w:rsidRDefault="00670FD4" w:rsidP="001925BA">
            <w:pPr>
              <w:spacing w:after="0" w:line="240" w:lineRule="auto"/>
              <w:ind w:right="20" w:firstLine="0"/>
              <w:rPr>
                <w:rFonts w:eastAsia="Times New Roman" w:cs="Times New Roman"/>
                <w:sz w:val="18"/>
                <w:szCs w:val="18"/>
              </w:rPr>
            </w:pPr>
            <w:r>
              <w:rPr>
                <w:rFonts w:eastAsia="Times New Roman" w:cs="Times New Roman"/>
                <w:color w:val="000000"/>
                <w:sz w:val="18"/>
                <w:szCs w:val="18"/>
              </w:rPr>
              <w:t>42,7</w:t>
            </w:r>
          </w:p>
        </w:tc>
        <w:tc>
          <w:tcPr>
            <w:tcW w:w="56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2A3DB61" w14:textId="77777777" w:rsidR="00670FD4" w:rsidRDefault="00670FD4" w:rsidP="001925BA">
            <w:pPr>
              <w:spacing w:after="0" w:line="240" w:lineRule="auto"/>
              <w:ind w:right="20" w:firstLine="0"/>
              <w:rPr>
                <w:rFonts w:eastAsia="Times New Roman" w:cs="Times New Roman"/>
                <w:sz w:val="18"/>
                <w:szCs w:val="18"/>
              </w:rPr>
            </w:pPr>
            <w:r>
              <w:rPr>
                <w:rFonts w:eastAsia="Times New Roman" w:cs="Times New Roman"/>
                <w:color w:val="000000"/>
                <w:sz w:val="18"/>
                <w:szCs w:val="18"/>
              </w:rPr>
              <w:t>43,0</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323D980" w14:textId="77777777" w:rsidR="00670FD4" w:rsidRDefault="00670FD4" w:rsidP="001925BA">
            <w:pPr>
              <w:spacing w:after="0" w:line="240" w:lineRule="auto"/>
              <w:ind w:right="20" w:firstLine="0"/>
              <w:rPr>
                <w:rFonts w:eastAsia="Times New Roman" w:cs="Times New Roman"/>
                <w:sz w:val="18"/>
                <w:szCs w:val="18"/>
              </w:rPr>
            </w:pPr>
            <w:r>
              <w:rPr>
                <w:rFonts w:eastAsia="Times New Roman" w:cs="Times New Roman"/>
                <w:color w:val="000000"/>
                <w:sz w:val="18"/>
                <w:szCs w:val="18"/>
              </w:rPr>
              <w:t>41,0</w:t>
            </w:r>
          </w:p>
        </w:tc>
        <w:tc>
          <w:tcPr>
            <w:tcW w:w="663"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15BE55C" w14:textId="77777777" w:rsidR="00670FD4" w:rsidRDefault="00670FD4" w:rsidP="001925BA">
            <w:pPr>
              <w:spacing w:after="0" w:line="240" w:lineRule="auto"/>
              <w:ind w:firstLine="0"/>
              <w:rPr>
                <w:rFonts w:eastAsia="Times New Roman" w:cs="Times New Roman"/>
                <w:sz w:val="18"/>
                <w:szCs w:val="18"/>
              </w:rPr>
            </w:pPr>
            <w:r>
              <w:rPr>
                <w:rFonts w:eastAsia="Times New Roman" w:cs="Times New Roman"/>
                <w:color w:val="000000"/>
                <w:sz w:val="18"/>
                <w:szCs w:val="18"/>
              </w:rPr>
              <w:t>31,6</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D7AB670" w14:textId="77777777" w:rsidR="00670FD4" w:rsidRDefault="00670FD4" w:rsidP="001925BA">
            <w:pPr>
              <w:spacing w:after="0" w:line="240" w:lineRule="auto"/>
              <w:ind w:right="40" w:firstLine="0"/>
              <w:rPr>
                <w:rFonts w:eastAsia="Times New Roman" w:cs="Times New Roman"/>
                <w:sz w:val="18"/>
                <w:szCs w:val="18"/>
              </w:rPr>
            </w:pPr>
            <w:r>
              <w:rPr>
                <w:rFonts w:eastAsia="Times New Roman" w:cs="Times New Roman"/>
                <w:color w:val="000000"/>
                <w:sz w:val="18"/>
                <w:szCs w:val="18"/>
              </w:rPr>
              <w:t>58,3</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7B5D37C" w14:textId="77777777" w:rsidR="00670FD4" w:rsidRDefault="00670FD4" w:rsidP="001925BA">
            <w:pPr>
              <w:spacing w:after="0" w:line="240" w:lineRule="auto"/>
              <w:ind w:right="40" w:firstLine="0"/>
              <w:rPr>
                <w:rFonts w:eastAsia="Times New Roman" w:cs="Times New Roman"/>
                <w:sz w:val="18"/>
                <w:szCs w:val="18"/>
              </w:rPr>
            </w:pPr>
            <w:r>
              <w:rPr>
                <w:rFonts w:eastAsia="Times New Roman" w:cs="Times New Roman"/>
                <w:color w:val="000000"/>
                <w:sz w:val="18"/>
                <w:szCs w:val="18"/>
              </w:rPr>
              <w:t>48,2</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57F0BFF" w14:textId="77777777" w:rsidR="00670FD4" w:rsidRDefault="00670FD4" w:rsidP="001925BA">
            <w:pPr>
              <w:spacing w:after="0" w:line="240" w:lineRule="auto"/>
              <w:ind w:right="20" w:firstLine="0"/>
              <w:rPr>
                <w:rFonts w:eastAsia="Times New Roman" w:cs="Times New Roman"/>
                <w:sz w:val="18"/>
                <w:szCs w:val="18"/>
              </w:rPr>
            </w:pPr>
            <w:r>
              <w:rPr>
                <w:rFonts w:eastAsia="Times New Roman" w:cs="Times New Roman"/>
                <w:color w:val="000000"/>
                <w:sz w:val="18"/>
                <w:szCs w:val="18"/>
              </w:rPr>
              <w:t>37,4</w:t>
            </w:r>
          </w:p>
        </w:tc>
        <w:tc>
          <w:tcPr>
            <w:tcW w:w="59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5FC0836" w14:textId="77777777" w:rsidR="00670FD4" w:rsidRDefault="00670FD4" w:rsidP="001925BA">
            <w:pPr>
              <w:spacing w:after="0" w:line="240" w:lineRule="auto"/>
              <w:ind w:right="20" w:firstLine="0"/>
              <w:rPr>
                <w:rFonts w:eastAsia="Times New Roman" w:cs="Times New Roman"/>
                <w:sz w:val="18"/>
                <w:szCs w:val="18"/>
              </w:rPr>
            </w:pPr>
            <w:r>
              <w:rPr>
                <w:rFonts w:eastAsia="Times New Roman" w:cs="Times New Roman"/>
                <w:color w:val="000000"/>
                <w:sz w:val="18"/>
                <w:szCs w:val="18"/>
              </w:rPr>
              <w:t>37,9</w:t>
            </w:r>
          </w:p>
        </w:tc>
        <w:tc>
          <w:tcPr>
            <w:tcW w:w="70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0D3B98A" w14:textId="77777777" w:rsidR="00670FD4" w:rsidRDefault="00670FD4" w:rsidP="001925BA">
            <w:pPr>
              <w:spacing w:after="0" w:line="240" w:lineRule="auto"/>
              <w:ind w:right="-5" w:firstLine="0"/>
              <w:rPr>
                <w:rFonts w:eastAsia="Times New Roman" w:cs="Times New Roman"/>
                <w:sz w:val="18"/>
                <w:szCs w:val="18"/>
              </w:rPr>
            </w:pPr>
            <w:r>
              <w:rPr>
                <w:rFonts w:eastAsia="Times New Roman" w:cs="Times New Roman"/>
                <w:color w:val="000000"/>
                <w:sz w:val="18"/>
                <w:szCs w:val="18"/>
              </w:rPr>
              <w:t>464,3</w:t>
            </w:r>
          </w:p>
        </w:tc>
      </w:tr>
      <w:tr w:rsidR="00670FD4" w14:paraId="25D87E6C" w14:textId="77777777" w:rsidTr="001925BA">
        <w:trPr>
          <w:trHeight w:val="368"/>
        </w:trPr>
        <w:tc>
          <w:tcPr>
            <w:tcW w:w="127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9D47550" w14:textId="77777777" w:rsidR="00670FD4" w:rsidRDefault="00670FD4" w:rsidP="001925BA">
            <w:pPr>
              <w:spacing w:after="0" w:line="240" w:lineRule="auto"/>
              <w:ind w:firstLine="0"/>
              <w:rPr>
                <w:rFonts w:eastAsia="Times New Roman" w:cs="Times New Roman"/>
              </w:rPr>
            </w:pPr>
            <w:r>
              <w:rPr>
                <w:rFonts w:eastAsia="Times New Roman" w:cs="Times New Roman"/>
                <w:color w:val="000000"/>
                <w:sz w:val="20"/>
                <w:szCs w:val="20"/>
              </w:rPr>
              <w:t>Sf.Gheorghe </w:t>
            </w:r>
          </w:p>
        </w:tc>
        <w:tc>
          <w:tcPr>
            <w:tcW w:w="57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6A577F9" w14:textId="77777777" w:rsidR="00670FD4" w:rsidRDefault="00670FD4" w:rsidP="001925BA">
            <w:pPr>
              <w:spacing w:after="0" w:line="240" w:lineRule="auto"/>
              <w:ind w:firstLine="0"/>
              <w:rPr>
                <w:rFonts w:eastAsia="Times New Roman" w:cs="Times New Roman"/>
                <w:sz w:val="18"/>
                <w:szCs w:val="18"/>
              </w:rPr>
            </w:pPr>
            <w:r>
              <w:rPr>
                <w:rFonts w:eastAsia="Times New Roman" w:cs="Times New Roman"/>
                <w:color w:val="000000"/>
                <w:sz w:val="18"/>
                <w:szCs w:val="18"/>
              </w:rPr>
              <w:t>24,2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4F8533D" w14:textId="77777777" w:rsidR="00670FD4" w:rsidRDefault="00670FD4" w:rsidP="001925BA">
            <w:pPr>
              <w:spacing w:after="0" w:line="240" w:lineRule="auto"/>
              <w:ind w:firstLine="0"/>
              <w:rPr>
                <w:rFonts w:eastAsia="Times New Roman" w:cs="Times New Roman"/>
                <w:sz w:val="18"/>
                <w:szCs w:val="18"/>
              </w:rPr>
            </w:pPr>
            <w:r>
              <w:rPr>
                <w:rFonts w:eastAsia="Times New Roman" w:cs="Times New Roman"/>
                <w:color w:val="000000"/>
                <w:sz w:val="18"/>
                <w:szCs w:val="18"/>
              </w:rPr>
              <w:t>18,0</w:t>
            </w:r>
          </w:p>
        </w:tc>
        <w:tc>
          <w:tcPr>
            <w:tcW w:w="588"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59E2573" w14:textId="77777777" w:rsidR="00670FD4" w:rsidRDefault="00670FD4" w:rsidP="001925BA">
            <w:pPr>
              <w:spacing w:after="0" w:line="240" w:lineRule="auto"/>
              <w:ind w:firstLine="0"/>
              <w:rPr>
                <w:rFonts w:eastAsia="Times New Roman" w:cs="Times New Roman"/>
                <w:sz w:val="18"/>
                <w:szCs w:val="18"/>
              </w:rPr>
            </w:pPr>
            <w:r>
              <w:rPr>
                <w:rFonts w:eastAsia="Times New Roman" w:cs="Times New Roman"/>
                <w:color w:val="000000"/>
                <w:sz w:val="18"/>
                <w:szCs w:val="18"/>
              </w:rPr>
              <w:t>21,8</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F0F81E5" w14:textId="77777777" w:rsidR="00670FD4" w:rsidRDefault="00670FD4" w:rsidP="001925BA">
            <w:pPr>
              <w:spacing w:after="0" w:line="240" w:lineRule="auto"/>
              <w:ind w:firstLine="0"/>
              <w:rPr>
                <w:rFonts w:eastAsia="Times New Roman" w:cs="Times New Roman"/>
                <w:sz w:val="18"/>
                <w:szCs w:val="18"/>
              </w:rPr>
            </w:pPr>
            <w:r>
              <w:rPr>
                <w:rFonts w:eastAsia="Times New Roman" w:cs="Times New Roman"/>
                <w:color w:val="000000"/>
                <w:sz w:val="18"/>
                <w:szCs w:val="18"/>
              </w:rPr>
              <w:t>22,9</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0F71538" w14:textId="77777777" w:rsidR="00670FD4" w:rsidRDefault="00670FD4" w:rsidP="001925BA">
            <w:pPr>
              <w:spacing w:after="0" w:line="240" w:lineRule="auto"/>
              <w:ind w:firstLine="0"/>
              <w:rPr>
                <w:rFonts w:eastAsia="Times New Roman" w:cs="Times New Roman"/>
                <w:sz w:val="18"/>
                <w:szCs w:val="18"/>
              </w:rPr>
            </w:pPr>
            <w:r>
              <w:rPr>
                <w:rFonts w:eastAsia="Times New Roman" w:cs="Times New Roman"/>
                <w:color w:val="000000"/>
                <w:sz w:val="18"/>
                <w:szCs w:val="18"/>
              </w:rPr>
              <w:t>24,2</w:t>
            </w:r>
          </w:p>
        </w:tc>
        <w:tc>
          <w:tcPr>
            <w:tcW w:w="56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1F5D5D1" w14:textId="77777777" w:rsidR="00670FD4" w:rsidRDefault="00670FD4" w:rsidP="001925BA">
            <w:pPr>
              <w:spacing w:after="0" w:line="240" w:lineRule="auto"/>
              <w:ind w:firstLine="0"/>
              <w:rPr>
                <w:rFonts w:eastAsia="Times New Roman" w:cs="Times New Roman"/>
                <w:sz w:val="18"/>
                <w:szCs w:val="18"/>
              </w:rPr>
            </w:pPr>
            <w:r>
              <w:rPr>
                <w:rFonts w:eastAsia="Times New Roman" w:cs="Times New Roman"/>
                <w:color w:val="000000"/>
                <w:sz w:val="18"/>
                <w:szCs w:val="18"/>
              </w:rPr>
              <w:t>29,4</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F188FEA" w14:textId="77777777" w:rsidR="00670FD4" w:rsidRDefault="00670FD4" w:rsidP="001925BA">
            <w:pPr>
              <w:spacing w:after="0" w:line="240" w:lineRule="auto"/>
              <w:ind w:firstLine="0"/>
              <w:rPr>
                <w:rFonts w:eastAsia="Times New Roman" w:cs="Times New Roman"/>
                <w:sz w:val="18"/>
                <w:szCs w:val="18"/>
              </w:rPr>
            </w:pPr>
            <w:r>
              <w:rPr>
                <w:rFonts w:eastAsia="Times New Roman" w:cs="Times New Roman"/>
                <w:color w:val="000000"/>
                <w:sz w:val="18"/>
                <w:szCs w:val="18"/>
              </w:rPr>
              <w:t>24,0</w:t>
            </w:r>
          </w:p>
        </w:tc>
        <w:tc>
          <w:tcPr>
            <w:tcW w:w="663"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C55C772" w14:textId="77777777" w:rsidR="00670FD4" w:rsidRDefault="00670FD4" w:rsidP="001925BA">
            <w:pPr>
              <w:spacing w:after="0" w:line="240" w:lineRule="auto"/>
              <w:ind w:firstLine="0"/>
              <w:rPr>
                <w:rFonts w:eastAsia="Times New Roman" w:cs="Times New Roman"/>
                <w:sz w:val="18"/>
                <w:szCs w:val="18"/>
              </w:rPr>
            </w:pPr>
            <w:r>
              <w:rPr>
                <w:rFonts w:eastAsia="Times New Roman" w:cs="Times New Roman"/>
                <w:color w:val="000000"/>
                <w:sz w:val="18"/>
                <w:szCs w:val="18"/>
              </w:rPr>
              <w:t>30,9</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1D1262B" w14:textId="77777777" w:rsidR="00670FD4" w:rsidRDefault="00670FD4" w:rsidP="001925BA">
            <w:pPr>
              <w:spacing w:after="0" w:line="240" w:lineRule="auto"/>
              <w:ind w:firstLine="0"/>
              <w:rPr>
                <w:rFonts w:eastAsia="Times New Roman" w:cs="Times New Roman"/>
                <w:sz w:val="18"/>
                <w:szCs w:val="18"/>
              </w:rPr>
            </w:pPr>
            <w:r>
              <w:rPr>
                <w:rFonts w:eastAsia="Times New Roman" w:cs="Times New Roman"/>
                <w:color w:val="000000"/>
                <w:sz w:val="18"/>
                <w:szCs w:val="18"/>
              </w:rPr>
              <w:t>38,3</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FB243F1" w14:textId="77777777" w:rsidR="00670FD4" w:rsidRDefault="00670FD4" w:rsidP="001925BA">
            <w:pPr>
              <w:spacing w:after="0" w:line="240" w:lineRule="auto"/>
              <w:ind w:firstLine="0"/>
              <w:rPr>
                <w:rFonts w:eastAsia="Times New Roman" w:cs="Times New Roman"/>
                <w:sz w:val="18"/>
                <w:szCs w:val="18"/>
              </w:rPr>
            </w:pPr>
            <w:r>
              <w:rPr>
                <w:rFonts w:eastAsia="Times New Roman" w:cs="Times New Roman"/>
                <w:color w:val="000000"/>
                <w:sz w:val="18"/>
                <w:szCs w:val="18"/>
              </w:rPr>
              <w:t>36,6</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4E56C5C" w14:textId="77777777" w:rsidR="00670FD4" w:rsidRDefault="00670FD4" w:rsidP="001925BA">
            <w:pPr>
              <w:spacing w:after="0" w:line="240" w:lineRule="auto"/>
              <w:ind w:firstLine="0"/>
              <w:rPr>
                <w:rFonts w:eastAsia="Times New Roman" w:cs="Times New Roman"/>
                <w:sz w:val="18"/>
                <w:szCs w:val="18"/>
              </w:rPr>
            </w:pPr>
            <w:r>
              <w:rPr>
                <w:rFonts w:eastAsia="Times New Roman" w:cs="Times New Roman"/>
                <w:color w:val="000000"/>
                <w:sz w:val="18"/>
                <w:szCs w:val="18"/>
              </w:rPr>
              <w:t>32,2</w:t>
            </w:r>
          </w:p>
        </w:tc>
        <w:tc>
          <w:tcPr>
            <w:tcW w:w="59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07AF059" w14:textId="77777777" w:rsidR="00670FD4" w:rsidRDefault="00670FD4" w:rsidP="001925BA">
            <w:pPr>
              <w:spacing w:after="0" w:line="240" w:lineRule="auto"/>
              <w:ind w:firstLine="0"/>
              <w:rPr>
                <w:rFonts w:eastAsia="Times New Roman" w:cs="Times New Roman"/>
                <w:sz w:val="18"/>
                <w:szCs w:val="18"/>
              </w:rPr>
            </w:pPr>
            <w:r>
              <w:rPr>
                <w:rFonts w:eastAsia="Times New Roman" w:cs="Times New Roman"/>
                <w:color w:val="000000"/>
                <w:sz w:val="18"/>
                <w:szCs w:val="18"/>
              </w:rPr>
              <w:t>25,2</w:t>
            </w:r>
          </w:p>
        </w:tc>
        <w:tc>
          <w:tcPr>
            <w:tcW w:w="70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763419A" w14:textId="77777777" w:rsidR="00670FD4" w:rsidRDefault="00670FD4" w:rsidP="001925BA">
            <w:pPr>
              <w:spacing w:after="0" w:line="240" w:lineRule="auto"/>
              <w:ind w:right="-5" w:firstLine="0"/>
              <w:rPr>
                <w:rFonts w:eastAsia="Times New Roman" w:cs="Times New Roman"/>
                <w:sz w:val="18"/>
                <w:szCs w:val="18"/>
              </w:rPr>
            </w:pPr>
            <w:r>
              <w:rPr>
                <w:rFonts w:eastAsia="Times New Roman" w:cs="Times New Roman"/>
                <w:color w:val="000000"/>
                <w:sz w:val="18"/>
                <w:szCs w:val="18"/>
              </w:rPr>
              <w:t>329,8</w:t>
            </w:r>
          </w:p>
        </w:tc>
      </w:tr>
      <w:tr w:rsidR="00670FD4" w14:paraId="30740D28" w14:textId="77777777" w:rsidTr="001925BA">
        <w:trPr>
          <w:trHeight w:val="362"/>
        </w:trPr>
        <w:tc>
          <w:tcPr>
            <w:tcW w:w="127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D76C807" w14:textId="77777777" w:rsidR="00670FD4" w:rsidRDefault="00670FD4" w:rsidP="001925BA">
            <w:pPr>
              <w:spacing w:after="0" w:line="240" w:lineRule="auto"/>
              <w:ind w:right="60" w:firstLine="0"/>
              <w:rPr>
                <w:rFonts w:eastAsia="Times New Roman" w:cs="Times New Roman"/>
              </w:rPr>
            </w:pPr>
            <w:r>
              <w:rPr>
                <w:rFonts w:eastAsia="Times New Roman" w:cs="Times New Roman"/>
                <w:color w:val="000000"/>
                <w:sz w:val="20"/>
                <w:szCs w:val="20"/>
              </w:rPr>
              <w:t>Sulina</w:t>
            </w:r>
          </w:p>
        </w:tc>
        <w:tc>
          <w:tcPr>
            <w:tcW w:w="57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0E4A9BB" w14:textId="77777777" w:rsidR="00670FD4" w:rsidRDefault="00670FD4" w:rsidP="001925BA">
            <w:pPr>
              <w:spacing w:after="0" w:line="240" w:lineRule="auto"/>
              <w:ind w:right="20" w:firstLine="0"/>
              <w:rPr>
                <w:rFonts w:eastAsia="Times New Roman" w:cs="Times New Roman"/>
                <w:sz w:val="18"/>
                <w:szCs w:val="18"/>
              </w:rPr>
            </w:pPr>
            <w:r>
              <w:rPr>
                <w:rFonts w:eastAsia="Times New Roman" w:cs="Times New Roman"/>
                <w:color w:val="000000"/>
                <w:sz w:val="18"/>
                <w:szCs w:val="18"/>
              </w:rPr>
              <w:t>16,0</w:t>
            </w:r>
          </w:p>
        </w:tc>
        <w:tc>
          <w:tcPr>
            <w:tcW w:w="568"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F504811" w14:textId="77777777" w:rsidR="00670FD4" w:rsidRDefault="00670FD4" w:rsidP="001925BA">
            <w:pPr>
              <w:spacing w:after="0" w:line="240" w:lineRule="auto"/>
              <w:ind w:right="20" w:firstLine="0"/>
              <w:rPr>
                <w:rFonts w:eastAsia="Times New Roman" w:cs="Times New Roman"/>
                <w:sz w:val="18"/>
                <w:szCs w:val="18"/>
              </w:rPr>
            </w:pPr>
            <w:r>
              <w:rPr>
                <w:rFonts w:eastAsia="Times New Roman" w:cs="Times New Roman"/>
                <w:color w:val="000000"/>
                <w:sz w:val="18"/>
                <w:szCs w:val="18"/>
              </w:rPr>
              <w:t>11,9</w:t>
            </w:r>
          </w:p>
        </w:tc>
        <w:tc>
          <w:tcPr>
            <w:tcW w:w="588"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5E9ABE9" w14:textId="77777777" w:rsidR="00670FD4" w:rsidRDefault="00670FD4" w:rsidP="001925BA">
            <w:pPr>
              <w:spacing w:after="0" w:line="240" w:lineRule="auto"/>
              <w:ind w:right="20" w:firstLine="0"/>
              <w:rPr>
                <w:rFonts w:eastAsia="Times New Roman" w:cs="Times New Roman"/>
                <w:sz w:val="18"/>
                <w:szCs w:val="18"/>
              </w:rPr>
            </w:pPr>
            <w:r>
              <w:rPr>
                <w:rFonts w:eastAsia="Times New Roman" w:cs="Times New Roman"/>
                <w:color w:val="000000"/>
                <w:sz w:val="18"/>
                <w:szCs w:val="18"/>
              </w:rPr>
              <w:t>17,4</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074EDAD" w14:textId="77777777" w:rsidR="00670FD4" w:rsidRDefault="00670FD4" w:rsidP="001925BA">
            <w:pPr>
              <w:spacing w:after="0" w:line="240" w:lineRule="auto"/>
              <w:ind w:right="20" w:firstLine="0"/>
              <w:rPr>
                <w:rFonts w:eastAsia="Times New Roman" w:cs="Times New Roman"/>
                <w:sz w:val="18"/>
                <w:szCs w:val="18"/>
              </w:rPr>
            </w:pPr>
            <w:r>
              <w:rPr>
                <w:rFonts w:eastAsia="Times New Roman" w:cs="Times New Roman"/>
                <w:color w:val="000000"/>
                <w:sz w:val="18"/>
                <w:szCs w:val="18"/>
              </w:rPr>
              <w:t>14,0</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0CECC35" w14:textId="77777777" w:rsidR="00670FD4" w:rsidRDefault="00670FD4" w:rsidP="001925BA">
            <w:pPr>
              <w:spacing w:after="0" w:line="240" w:lineRule="auto"/>
              <w:ind w:right="20" w:firstLine="0"/>
              <w:rPr>
                <w:rFonts w:eastAsia="Times New Roman" w:cs="Times New Roman"/>
                <w:sz w:val="18"/>
                <w:szCs w:val="18"/>
              </w:rPr>
            </w:pPr>
            <w:r>
              <w:rPr>
                <w:rFonts w:eastAsia="Times New Roman" w:cs="Times New Roman"/>
                <w:color w:val="000000"/>
                <w:sz w:val="18"/>
                <w:szCs w:val="18"/>
              </w:rPr>
              <w:t>20,3</w:t>
            </w:r>
          </w:p>
        </w:tc>
        <w:tc>
          <w:tcPr>
            <w:tcW w:w="56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87CD63C" w14:textId="77777777" w:rsidR="00670FD4" w:rsidRDefault="00670FD4" w:rsidP="001925BA">
            <w:pPr>
              <w:spacing w:after="0" w:line="240" w:lineRule="auto"/>
              <w:ind w:right="20" w:firstLine="0"/>
              <w:rPr>
                <w:rFonts w:eastAsia="Times New Roman" w:cs="Times New Roman"/>
                <w:sz w:val="18"/>
                <w:szCs w:val="18"/>
              </w:rPr>
            </w:pPr>
            <w:r>
              <w:rPr>
                <w:rFonts w:eastAsia="Times New Roman" w:cs="Times New Roman"/>
                <w:color w:val="000000"/>
                <w:sz w:val="18"/>
                <w:szCs w:val="18"/>
              </w:rPr>
              <w:t>28,3</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833927D" w14:textId="77777777" w:rsidR="00670FD4" w:rsidRDefault="00670FD4" w:rsidP="001925BA">
            <w:pPr>
              <w:spacing w:after="0" w:line="240" w:lineRule="auto"/>
              <w:ind w:right="20" w:firstLine="0"/>
              <w:rPr>
                <w:rFonts w:eastAsia="Times New Roman" w:cs="Times New Roman"/>
                <w:sz w:val="18"/>
                <w:szCs w:val="18"/>
              </w:rPr>
            </w:pPr>
            <w:r>
              <w:rPr>
                <w:rFonts w:eastAsia="Times New Roman" w:cs="Times New Roman"/>
                <w:color w:val="000000"/>
                <w:sz w:val="18"/>
                <w:szCs w:val="18"/>
              </w:rPr>
              <w:t>18,9</w:t>
            </w:r>
          </w:p>
        </w:tc>
        <w:tc>
          <w:tcPr>
            <w:tcW w:w="663"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D87A551" w14:textId="77777777" w:rsidR="00670FD4" w:rsidRDefault="00670FD4" w:rsidP="001925BA">
            <w:pPr>
              <w:spacing w:after="0" w:line="240" w:lineRule="auto"/>
              <w:ind w:firstLine="0"/>
              <w:rPr>
                <w:rFonts w:eastAsia="Times New Roman" w:cs="Times New Roman"/>
                <w:sz w:val="18"/>
                <w:szCs w:val="18"/>
              </w:rPr>
            </w:pPr>
            <w:r>
              <w:rPr>
                <w:rFonts w:eastAsia="Times New Roman" w:cs="Times New Roman"/>
                <w:color w:val="000000"/>
                <w:sz w:val="18"/>
                <w:szCs w:val="18"/>
              </w:rPr>
              <w:t>23,5</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7DE0172" w14:textId="77777777" w:rsidR="00670FD4" w:rsidRDefault="00670FD4" w:rsidP="001925BA">
            <w:pPr>
              <w:spacing w:after="0" w:line="240" w:lineRule="auto"/>
              <w:ind w:right="40" w:firstLine="0"/>
              <w:rPr>
                <w:rFonts w:eastAsia="Times New Roman" w:cs="Times New Roman"/>
                <w:sz w:val="18"/>
                <w:szCs w:val="18"/>
              </w:rPr>
            </w:pPr>
            <w:r>
              <w:rPr>
                <w:rFonts w:eastAsia="Times New Roman" w:cs="Times New Roman"/>
                <w:color w:val="000000"/>
                <w:sz w:val="18"/>
                <w:szCs w:val="18"/>
              </w:rPr>
              <w:t>21,5</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AEA5757" w14:textId="77777777" w:rsidR="00670FD4" w:rsidRDefault="00670FD4" w:rsidP="001925BA">
            <w:pPr>
              <w:spacing w:after="0" w:line="240" w:lineRule="auto"/>
              <w:ind w:right="20" w:firstLine="0"/>
              <w:rPr>
                <w:rFonts w:eastAsia="Times New Roman" w:cs="Times New Roman"/>
                <w:sz w:val="18"/>
                <w:szCs w:val="18"/>
              </w:rPr>
            </w:pPr>
            <w:r>
              <w:rPr>
                <w:rFonts w:eastAsia="Times New Roman" w:cs="Times New Roman"/>
                <w:color w:val="000000"/>
                <w:sz w:val="18"/>
                <w:szCs w:val="18"/>
              </w:rPr>
              <w:t>24,3</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B259826" w14:textId="77777777" w:rsidR="00670FD4" w:rsidRDefault="00670FD4" w:rsidP="001925BA">
            <w:pPr>
              <w:spacing w:after="0" w:line="240" w:lineRule="auto"/>
              <w:ind w:right="40" w:firstLine="0"/>
              <w:rPr>
                <w:rFonts w:eastAsia="Times New Roman" w:cs="Times New Roman"/>
                <w:sz w:val="18"/>
                <w:szCs w:val="18"/>
              </w:rPr>
            </w:pPr>
            <w:r>
              <w:rPr>
                <w:rFonts w:eastAsia="Times New Roman" w:cs="Times New Roman"/>
                <w:color w:val="000000"/>
                <w:sz w:val="18"/>
                <w:szCs w:val="18"/>
              </w:rPr>
              <w:t>22,7</w:t>
            </w:r>
          </w:p>
        </w:tc>
        <w:tc>
          <w:tcPr>
            <w:tcW w:w="59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C4AA0E1" w14:textId="77777777" w:rsidR="00670FD4" w:rsidRDefault="00670FD4" w:rsidP="001925BA">
            <w:pPr>
              <w:spacing w:after="0" w:line="240" w:lineRule="auto"/>
              <w:ind w:right="20" w:firstLine="0"/>
              <w:rPr>
                <w:rFonts w:eastAsia="Times New Roman" w:cs="Times New Roman"/>
                <w:sz w:val="18"/>
                <w:szCs w:val="18"/>
              </w:rPr>
            </w:pPr>
            <w:r>
              <w:rPr>
                <w:rFonts w:eastAsia="Times New Roman" w:cs="Times New Roman"/>
                <w:color w:val="000000"/>
                <w:sz w:val="18"/>
                <w:szCs w:val="18"/>
              </w:rPr>
              <w:t>21,7</w:t>
            </w:r>
          </w:p>
        </w:tc>
        <w:tc>
          <w:tcPr>
            <w:tcW w:w="70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60A9EA0" w14:textId="77777777" w:rsidR="00670FD4" w:rsidRDefault="00670FD4" w:rsidP="001925BA">
            <w:pPr>
              <w:spacing w:after="0" w:line="240" w:lineRule="auto"/>
              <w:ind w:right="-5" w:firstLine="0"/>
              <w:rPr>
                <w:rFonts w:eastAsia="Times New Roman" w:cs="Times New Roman"/>
                <w:sz w:val="18"/>
                <w:szCs w:val="18"/>
              </w:rPr>
            </w:pPr>
            <w:r>
              <w:rPr>
                <w:rFonts w:eastAsia="Times New Roman" w:cs="Times New Roman"/>
                <w:color w:val="000000"/>
                <w:sz w:val="18"/>
                <w:szCs w:val="18"/>
              </w:rPr>
              <w:t>240,5</w:t>
            </w:r>
          </w:p>
        </w:tc>
      </w:tr>
    </w:tbl>
    <w:p w14:paraId="6F2997BD" w14:textId="77777777" w:rsidR="00670FD4" w:rsidRDefault="00670FD4" w:rsidP="00670FD4">
      <w:pPr>
        <w:ind w:firstLine="0"/>
        <w:rPr>
          <w:rFonts w:eastAsia="Times New Roman" w:cs="Times New Roman"/>
        </w:rPr>
      </w:pPr>
      <w:bookmarkStart w:id="58" w:name="_heading=h.3j2qqm3" w:colFirst="0" w:colLast="0"/>
      <w:bookmarkEnd w:id="58"/>
    </w:p>
    <w:p w14:paraId="29AF1031" w14:textId="77777777" w:rsidR="00670FD4" w:rsidRDefault="00670FD4" w:rsidP="00670FD4">
      <w:pPr>
        <w:ind w:firstLine="567"/>
        <w:rPr>
          <w:rFonts w:eastAsia="Times New Roman" w:cs="Times New Roman"/>
        </w:rPr>
      </w:pPr>
      <w:r>
        <w:rPr>
          <w:rFonts w:eastAsia="Times New Roman" w:cs="Times New Roman"/>
        </w:rPr>
        <w:t>Zona costieră este caracterizată prin viteze mari ale vântului datorită conexiunilor complexe stabilite între traiectoriile furtunilor venite din Atlantic, activitatea de ciclogeneza din bazinul Mării Mediterane și circulația atmosferică din bazinul Mării Negre. Un alt motiv al acestor valori mari ale vitezei vântului îl reprezintă și rugozitatea foarte scăzută a suprafeței apei. Viteza medie multianuală (1961-2021) a vântului de-a lungul coastei românești a Mării Negre are următoarele valori: Constanța – 12,3 m/s, Mangalia – 12,7 m/s și Sulina – 18,1 m/s. Cele mai puternice vânturi se înregistrează iarna (decembrie-februarie), preponderent din sector N și NE (Sulina) și N și V (Constanța și Mangalia), în timp ce vara, din iulie până în septembrie, intensitatea este mai redusă (Tabel 2.4.1.1.3). Frecvența anuală a numărului de zile cu viteze ale vântului mai mari de 16 m/s este de 10–25 zile pe coasta Deltei Dunării și de 8–10 zile pe coasta sudică.</w:t>
      </w:r>
    </w:p>
    <w:p w14:paraId="3C0CFC3F" w14:textId="77777777" w:rsidR="00670FD4" w:rsidRDefault="00670FD4" w:rsidP="00670FD4">
      <w:pPr>
        <w:ind w:firstLine="567"/>
        <w:rPr>
          <w:rFonts w:eastAsia="Times New Roman" w:cs="Times New Roman"/>
          <w:b/>
          <w:color w:val="000000"/>
        </w:rPr>
      </w:pPr>
    </w:p>
    <w:p w14:paraId="5935CB8F" w14:textId="77777777" w:rsidR="00670FD4" w:rsidRDefault="00670FD4" w:rsidP="00670FD4">
      <w:pPr>
        <w:spacing w:line="240" w:lineRule="auto"/>
        <w:jc w:val="center"/>
        <w:rPr>
          <w:rFonts w:eastAsia="Times New Roman" w:cs="Times New Roman"/>
        </w:rPr>
      </w:pPr>
      <w:r>
        <w:rPr>
          <w:rFonts w:eastAsia="Times New Roman" w:cs="Times New Roman"/>
          <w:b/>
          <w:color w:val="000000"/>
        </w:rPr>
        <w:t>Tabel 2.4.1.1.3 Frecventa lunară și anuală a vântului (%) pe 8 direcții (perioada 1961 - 2021) la a) Sulina, b) Constanța și c) Mangalia (</w:t>
      </w:r>
      <w:r>
        <w:rPr>
          <w:rFonts w:eastAsia="Times New Roman" w:cs="Times New Roman"/>
          <w:b/>
          <w:i/>
          <w:color w:val="000000"/>
        </w:rPr>
        <w:t>sursa ANM)</w:t>
      </w:r>
    </w:p>
    <w:p w14:paraId="7FCF2282" w14:textId="77777777" w:rsidR="00670FD4" w:rsidRDefault="00670FD4" w:rsidP="00670FD4">
      <w:pPr>
        <w:numPr>
          <w:ilvl w:val="1"/>
          <w:numId w:val="22"/>
        </w:numPr>
        <w:spacing w:after="240" w:line="240" w:lineRule="auto"/>
        <w:ind w:left="0" w:firstLine="0"/>
        <w:rPr>
          <w:rFonts w:eastAsia="Times New Roman" w:cs="Times New Roman"/>
        </w:rPr>
      </w:pPr>
      <w:r>
        <w:rPr>
          <w:rFonts w:eastAsia="Times New Roman" w:cs="Times New Roman"/>
          <w:color w:val="000000"/>
        </w:rPr>
        <w:t>Sulina</w:t>
      </w:r>
    </w:p>
    <w:tbl>
      <w:tblPr>
        <w:tblW w:w="7970" w:type="dxa"/>
        <w:jc w:val="center"/>
        <w:tblLayout w:type="fixed"/>
        <w:tblLook w:val="0400" w:firstRow="0" w:lastRow="0" w:firstColumn="0" w:lastColumn="0" w:noHBand="0" w:noVBand="1"/>
      </w:tblPr>
      <w:tblGrid>
        <w:gridCol w:w="736"/>
        <w:gridCol w:w="550"/>
        <w:gridCol w:w="550"/>
        <w:gridCol w:w="550"/>
        <w:gridCol w:w="550"/>
        <w:gridCol w:w="550"/>
        <w:gridCol w:w="550"/>
        <w:gridCol w:w="550"/>
        <w:gridCol w:w="550"/>
        <w:gridCol w:w="550"/>
        <w:gridCol w:w="550"/>
        <w:gridCol w:w="550"/>
        <w:gridCol w:w="550"/>
        <w:gridCol w:w="634"/>
      </w:tblGrid>
      <w:tr w:rsidR="00670FD4" w14:paraId="6D5A73DF" w14:textId="77777777" w:rsidTr="001925BA">
        <w:trPr>
          <w:trHeight w:val="485"/>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86BD534"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 </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BDF0F05"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7501891"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II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6CB664B"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III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4200923"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IV</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C0B5EE8"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V</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B449FED"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VI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2B84967"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VII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2E4A319"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VIII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851D624"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IX</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690F7A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X</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27A5E19"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XI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B78AC09"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XII</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F6CD5FF"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anual</w:t>
            </w:r>
          </w:p>
        </w:tc>
      </w:tr>
      <w:tr w:rsidR="00670FD4" w14:paraId="3453FE0C" w14:textId="77777777" w:rsidTr="001925BA">
        <w:trPr>
          <w:trHeight w:val="219"/>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21C22DB"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calm</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C71F450"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0,9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AB68936"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0,9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7BAC8E3"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0,6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3B9985D"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0,9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216F0D6"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52245C3"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EDB4C24"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E04D61E"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A974353"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7FE7589"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0,9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7EFCCF5"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59691B9"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0,8</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C611AF4"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1,1</w:t>
            </w:r>
          </w:p>
        </w:tc>
      </w:tr>
      <w:tr w:rsidR="00670FD4" w14:paraId="101BED9B" w14:textId="77777777" w:rsidTr="001925BA">
        <w:trPr>
          <w:trHeight w:val="229"/>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545F27F"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E</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774A756"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4,7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14466B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6,7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82601A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6,8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5195455"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7C5085D"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CDE9633"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7,5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235082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7,1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785BF85"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8,9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1110984"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5A6C946"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A843E5F"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E59B3D5"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5</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254F3D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7,7</w:t>
            </w:r>
          </w:p>
        </w:tc>
      </w:tr>
      <w:tr w:rsidR="00670FD4" w14:paraId="0D597441" w14:textId="77777777" w:rsidTr="001925BA">
        <w:trPr>
          <w:trHeight w:val="239"/>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A770D0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N</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43ACAF5"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21,5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E8912EA"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20,7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BA762CA"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19,6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F85B9A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830D09A"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14,3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3BF8AF8"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64342EE"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D6B8173"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22,4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051DC37"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17,7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F79EFBE"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20,4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3EF039F"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17,4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36ABC10"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20,8</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0BD685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18,7</w:t>
            </w:r>
          </w:p>
        </w:tc>
      </w:tr>
      <w:tr w:rsidR="00670FD4" w14:paraId="75B26637" w14:textId="77777777" w:rsidTr="001925BA">
        <w:trPr>
          <w:trHeight w:val="249"/>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BCDAB7E"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NE</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C38DE5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CB7443F"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14,9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DC1C9AD"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18,7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E62D2CE"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15,4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03E0478"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15,2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63E756B"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12,2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52B4D3B"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13,9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93EB597"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16,9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5C91DBA"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14,8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F862111"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15,6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7AF615E"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11,6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E3724F8"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9,4</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492256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14,1</w:t>
            </w:r>
          </w:p>
        </w:tc>
      </w:tr>
      <w:tr w:rsidR="00670FD4" w14:paraId="5C0CC4AC" w14:textId="77777777" w:rsidTr="001925BA">
        <w:trPr>
          <w:trHeight w:val="259"/>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8083ED8"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NV</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F5FCFD7"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18,7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9B5501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14,3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BCF1651"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10,4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297FA97"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8,8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B75528A"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8,8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EEC5040"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12,3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ACF721B"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15,2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3593AE4"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13,2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13528CD"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14,4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F6B1080"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12,7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964B1AE"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15,3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701160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18,8</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FB6349A"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13,6</w:t>
            </w:r>
          </w:p>
        </w:tc>
      </w:tr>
      <w:tr w:rsidR="00670FD4" w14:paraId="337ADDC3" w14:textId="77777777" w:rsidTr="001925BA">
        <w:trPr>
          <w:trHeight w:val="283"/>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0E1D45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lastRenderedPageBreak/>
              <w:t>S</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29B45D4"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13,2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9D28931"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15,6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CE5F8F6"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19,7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D8CDF3D"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25,3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05D1A41"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25,3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EC4E317"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23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248BB07"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18,2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B3BD4EF"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14,4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164A30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16,7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CCFF57A"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17,2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109154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482E57F"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14,1</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CAAE75E"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18,3</w:t>
            </w:r>
          </w:p>
        </w:tc>
      </w:tr>
      <w:tr w:rsidR="00670FD4" w14:paraId="093ACF69" w14:textId="77777777" w:rsidTr="001925BA">
        <w:trPr>
          <w:trHeight w:val="307"/>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B9A48CD"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SE</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8E79479"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5,7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737C20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6,9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11C02E7"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AA828C4"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12,5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030C0AB"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10,9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95C3550"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8,7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1762C0F"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6,2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D8507C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38920D6"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8,1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EBD71CE"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4C3D14A"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7,3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740DB7A"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4,8</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E3097C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7,9</w:t>
            </w:r>
          </w:p>
        </w:tc>
      </w:tr>
      <w:tr w:rsidR="00670FD4" w14:paraId="767DC801" w14:textId="77777777" w:rsidTr="001925BA">
        <w:trPr>
          <w:trHeight w:val="317"/>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033B22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SV</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A4584AA"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7FF3E14"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10</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5FD7AAE"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85830E4"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7,9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A585FD6"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8,2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B6179C0"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8,9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5886888"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8,3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D1F029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6,6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9B27AB9"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7,9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F1AE353"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8,1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58FB20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10,6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4ACBBCF"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12,3</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1ADE02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w:t>
            </w:r>
          </w:p>
        </w:tc>
      </w:tr>
      <w:tr w:rsidR="00670FD4" w14:paraId="7C56EC9B" w14:textId="77777777" w:rsidTr="001925BA">
        <w:trPr>
          <w:trHeight w:val="326"/>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26ECE44"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V</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FEBE2F0"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13,3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76E0208"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10</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250B5A9"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7,1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D55FC8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6,2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6C64CE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7,1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081A6D8"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10</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8EA6D49"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10,8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46F419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B3337EB"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6F52B91"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7,9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6953F2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10,7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6A3AC94"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14</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020909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9,6</w:t>
            </w:r>
          </w:p>
        </w:tc>
      </w:tr>
    </w:tbl>
    <w:p w14:paraId="2DBFDFA9" w14:textId="77777777" w:rsidR="00670FD4" w:rsidRDefault="00670FD4" w:rsidP="00670FD4">
      <w:pPr>
        <w:spacing w:before="240" w:after="0" w:line="240" w:lineRule="auto"/>
        <w:rPr>
          <w:rFonts w:eastAsia="Times New Roman" w:cs="Times New Roman"/>
        </w:rPr>
      </w:pPr>
    </w:p>
    <w:p w14:paraId="34F42718" w14:textId="77777777" w:rsidR="00670FD4" w:rsidRDefault="00670FD4" w:rsidP="00670FD4">
      <w:pPr>
        <w:spacing w:after="0" w:line="240" w:lineRule="auto"/>
        <w:rPr>
          <w:rFonts w:eastAsia="Times New Roman" w:cs="Times New Roman"/>
        </w:rPr>
      </w:pPr>
      <w:r>
        <w:rPr>
          <w:rFonts w:eastAsia="Times New Roman" w:cs="Times New Roman"/>
          <w:color w:val="000000"/>
        </w:rPr>
        <w:t>b) Constanța</w:t>
      </w:r>
    </w:p>
    <w:tbl>
      <w:tblPr>
        <w:tblW w:w="7970" w:type="dxa"/>
        <w:jc w:val="center"/>
        <w:tblLayout w:type="fixed"/>
        <w:tblLook w:val="0400" w:firstRow="0" w:lastRow="0" w:firstColumn="0" w:lastColumn="0" w:noHBand="0" w:noVBand="1"/>
      </w:tblPr>
      <w:tblGrid>
        <w:gridCol w:w="736"/>
        <w:gridCol w:w="550"/>
        <w:gridCol w:w="550"/>
        <w:gridCol w:w="550"/>
        <w:gridCol w:w="550"/>
        <w:gridCol w:w="550"/>
        <w:gridCol w:w="550"/>
        <w:gridCol w:w="550"/>
        <w:gridCol w:w="550"/>
        <w:gridCol w:w="550"/>
        <w:gridCol w:w="550"/>
        <w:gridCol w:w="550"/>
        <w:gridCol w:w="550"/>
        <w:gridCol w:w="634"/>
      </w:tblGrid>
      <w:tr w:rsidR="00670FD4" w14:paraId="6699FA0A" w14:textId="77777777" w:rsidTr="001925BA">
        <w:trPr>
          <w:trHeight w:val="485"/>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58C8F40"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 </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C60415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3B6D409"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II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7F130AA"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III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AE4C9F7"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IV</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624EB4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V</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1623DB7"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VI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0E636FA"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VII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AD7CFB8"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VIII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4487BF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IX</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BC91BDF"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X</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D3F0760"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XI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60AC96F"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XII</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6DEA62D"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anual</w:t>
            </w:r>
          </w:p>
        </w:tc>
      </w:tr>
      <w:tr w:rsidR="00670FD4" w14:paraId="179A406E" w14:textId="77777777" w:rsidTr="001925BA">
        <w:trPr>
          <w:trHeight w:val="233"/>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C1A4ED7"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calm</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84F5596"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6934045"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8,6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A157CA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55C91A5"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B4C6BD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12,2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DD2E01E"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11,3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DECA8DA"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12,5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B1697BF"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13,8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CC87174"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12,3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0B5144F"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10,9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DD8D1C6"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10,3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1F45FD0"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7,9</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70C8D6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10,6</w:t>
            </w:r>
          </w:p>
        </w:tc>
      </w:tr>
      <w:tr w:rsidR="00670FD4" w14:paraId="0B2D1C7F" w14:textId="77777777" w:rsidTr="001925BA">
        <w:trPr>
          <w:trHeight w:val="243"/>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3A6676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E</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1DA5B3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2,8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0E9798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3,5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7E7633D"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6,3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2D71466"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0363CA3"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BC0F9CF"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7,8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53C3459"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8,1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1B0EC0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B5AF2FA"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8,3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B282A2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6,3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EE6D385"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5,2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84D609E"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2,6</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B807C4A"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6,6</w:t>
            </w:r>
          </w:p>
        </w:tc>
      </w:tr>
      <w:tr w:rsidR="00670FD4" w14:paraId="16CAE7CB" w14:textId="77777777" w:rsidTr="001925BA">
        <w:trPr>
          <w:trHeight w:val="253"/>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CAAE01E"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N</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264D0A4"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0A4F315"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20,1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30E1564"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16,4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E576FF9"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10,1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B6F8AB6"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1292747"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2D4D3B7"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12,9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9CAF650"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13,1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A5824F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14,1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28E0F2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18,3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EE78688"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15,8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32100ED"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18,5</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42D3EB1"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14,8</w:t>
            </w:r>
          </w:p>
        </w:tc>
      </w:tr>
      <w:tr w:rsidR="00670FD4" w14:paraId="4798A4C1" w14:textId="77777777" w:rsidTr="001925BA">
        <w:trPr>
          <w:trHeight w:val="263"/>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12B01E9"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NE</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9F4ECBB"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42ABEC3"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13,9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6E53BA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16,5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32F00A3"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13,8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D384E2B"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41BC978"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10,3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90CF88D"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1A83215"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13,2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C9628F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13,2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7AD932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14,7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8F3CEDB"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C539986"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7,7</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E358E15"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12,2</w:t>
            </w:r>
          </w:p>
        </w:tc>
      </w:tr>
      <w:tr w:rsidR="00670FD4" w14:paraId="40CF45AC" w14:textId="77777777" w:rsidTr="001925BA">
        <w:trPr>
          <w:trHeight w:val="273"/>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5F553E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NV</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F9FE1C9"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14,9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3A5D04E"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B353CF0"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8,8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46FC60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7,1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F0C409F"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7,5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418046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10,5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86CD760"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12,1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28F6B6D"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11,9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318D74A"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B080F8B"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F493A48"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11,4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74DE6D9"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15,8</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29DF510"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10,8</w:t>
            </w:r>
          </w:p>
        </w:tc>
      </w:tr>
      <w:tr w:rsidR="00670FD4" w14:paraId="791BA5FE" w14:textId="77777777" w:rsidTr="001925BA">
        <w:trPr>
          <w:trHeight w:val="223"/>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AB0AFA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S</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75051A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7,2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F59F47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903A5C3"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11,5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BFAF67D"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5CF12A5"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40B19B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12,7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8E71A50"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10,2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4E940CF"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8,7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368258F"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D75A90F"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5E34A36"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BA2E870"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7,6</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3BBDD0B"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10,4</w:t>
            </w:r>
          </w:p>
        </w:tc>
      </w:tr>
      <w:tr w:rsidR="00670FD4" w14:paraId="0D97F7C0" w14:textId="77777777" w:rsidTr="001925BA">
        <w:trPr>
          <w:trHeight w:val="318"/>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4BBE78D"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SE</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7AEE3D1"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4,2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B66895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6,4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7B096B8"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11,1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C92D3E8"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16,5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7D8348F"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17,3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C654483"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15,4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4024B6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12,9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7129064"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12,3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E3A4975"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12,1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D20F46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10,2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44C1623"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8,4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5FA21F1"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4,3</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7F50399"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10,9</w:t>
            </w:r>
          </w:p>
        </w:tc>
      </w:tr>
      <w:tr w:rsidR="00670FD4" w14:paraId="2FF21069" w14:textId="77777777" w:rsidTr="001925BA">
        <w:trPr>
          <w:trHeight w:val="186"/>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A083B46"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SV</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8D69A96"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8,4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BF5422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7,7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AF703CB"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7,5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1595CE3"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6,3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C4D37A5"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6,2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95CA436"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7,1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2147B58"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5,6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6CC9CA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5,5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2A1DF80"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6,1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7080A84"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7,8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A883BB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767226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9,8</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A9EFA38"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7,2</w:t>
            </w:r>
          </w:p>
        </w:tc>
      </w:tr>
      <w:tr w:rsidR="00670FD4" w14:paraId="267F95D7" w14:textId="77777777" w:rsidTr="001925BA">
        <w:trPr>
          <w:trHeight w:val="196"/>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46C4C5B"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V</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9BA327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26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72E3520"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2B8F440"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12,3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C7F1D2E"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12,5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38F570F"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11,8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D0BC31F"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15,2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74972F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13,7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7CBA353"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12,4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A459945"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14,9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B15B80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13,6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B425EE1"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20,8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C3EB24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25,8</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C49639E"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16,5</w:t>
            </w:r>
          </w:p>
        </w:tc>
      </w:tr>
    </w:tbl>
    <w:p w14:paraId="07A4333F" w14:textId="77777777" w:rsidR="00670FD4" w:rsidRDefault="00670FD4" w:rsidP="00670FD4">
      <w:pPr>
        <w:spacing w:before="240" w:after="0" w:line="240" w:lineRule="auto"/>
        <w:ind w:left="1080"/>
        <w:rPr>
          <w:rFonts w:eastAsia="Times New Roman" w:cs="Times New Roman"/>
          <w:color w:val="000000"/>
        </w:rPr>
      </w:pPr>
    </w:p>
    <w:p w14:paraId="414EBF12" w14:textId="77777777" w:rsidR="00670FD4" w:rsidRDefault="00670FD4" w:rsidP="00670FD4">
      <w:pPr>
        <w:spacing w:after="240" w:line="240" w:lineRule="auto"/>
        <w:rPr>
          <w:rFonts w:eastAsia="Times New Roman" w:cs="Times New Roman"/>
        </w:rPr>
      </w:pPr>
      <w:r>
        <w:rPr>
          <w:rFonts w:eastAsia="Times New Roman" w:cs="Times New Roman"/>
          <w:color w:val="000000"/>
        </w:rPr>
        <w:t>c) Mangalia</w:t>
      </w:r>
    </w:p>
    <w:tbl>
      <w:tblPr>
        <w:tblW w:w="7970" w:type="dxa"/>
        <w:jc w:val="center"/>
        <w:tblLayout w:type="fixed"/>
        <w:tblLook w:val="0400" w:firstRow="0" w:lastRow="0" w:firstColumn="0" w:lastColumn="0" w:noHBand="0" w:noVBand="1"/>
      </w:tblPr>
      <w:tblGrid>
        <w:gridCol w:w="736"/>
        <w:gridCol w:w="550"/>
        <w:gridCol w:w="550"/>
        <w:gridCol w:w="550"/>
        <w:gridCol w:w="550"/>
        <w:gridCol w:w="550"/>
        <w:gridCol w:w="550"/>
        <w:gridCol w:w="550"/>
        <w:gridCol w:w="550"/>
        <w:gridCol w:w="529"/>
        <w:gridCol w:w="571"/>
        <w:gridCol w:w="550"/>
        <w:gridCol w:w="550"/>
        <w:gridCol w:w="634"/>
      </w:tblGrid>
      <w:tr w:rsidR="00670FD4" w14:paraId="756DC3B4" w14:textId="77777777" w:rsidTr="001925BA">
        <w:trPr>
          <w:trHeight w:val="485"/>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504DE73" w14:textId="77777777" w:rsidR="00670FD4" w:rsidRDefault="00670FD4" w:rsidP="001925BA">
            <w:pPr>
              <w:spacing w:before="0" w:after="0" w:line="240" w:lineRule="auto"/>
              <w:rPr>
                <w:rFonts w:eastAsia="Times New Roman" w:cs="Times New Roman"/>
              </w:rPr>
            </w:pPr>
            <w:r>
              <w:rPr>
                <w:rFonts w:eastAsia="Times New Roman" w:cs="Times New Roman"/>
                <w:color w:val="000000"/>
                <w:sz w:val="20"/>
                <w:szCs w:val="20"/>
              </w:rPr>
              <w:t> </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6D68B24"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FA4A1BF"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II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9DDE2A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III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04DA280"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IV</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D5FBCF4"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V</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CE095D0"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VI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EE016BE"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VII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5D54A1F"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VIII</w:t>
            </w:r>
          </w:p>
        </w:tc>
        <w:tc>
          <w:tcPr>
            <w:tcW w:w="52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2894B98"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IX</w:t>
            </w:r>
          </w:p>
        </w:tc>
        <w:tc>
          <w:tcPr>
            <w:tcW w:w="571"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825F93B"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X</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3D745AA"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XI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4988710"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XII</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A8257C3"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anual</w:t>
            </w:r>
          </w:p>
        </w:tc>
      </w:tr>
      <w:tr w:rsidR="00670FD4" w14:paraId="3F8C2862" w14:textId="77777777" w:rsidTr="001925BA">
        <w:trPr>
          <w:trHeight w:val="242"/>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EF9D7F0"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calm</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1DDDC4B"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11,2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758F55F"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12,1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ACA2C56"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11,4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9138529"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CE825E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14,8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103B923"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13,3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6E2247F"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13,1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C9ED92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11,6</w:t>
            </w:r>
          </w:p>
        </w:tc>
        <w:tc>
          <w:tcPr>
            <w:tcW w:w="52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4FCA6C8"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9,6</w:t>
            </w:r>
          </w:p>
        </w:tc>
        <w:tc>
          <w:tcPr>
            <w:tcW w:w="571"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B973C68"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8,5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3F5399A"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10</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1AF77E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10,3</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39894AA"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13</w:t>
            </w:r>
          </w:p>
        </w:tc>
      </w:tr>
      <w:tr w:rsidR="00670FD4" w14:paraId="31FE3FC1" w14:textId="77777777" w:rsidTr="001925BA">
        <w:trPr>
          <w:trHeight w:val="219"/>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EF5FD5B"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E</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E05906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4,2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680D10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4,9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6E0A435"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5,4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3085FFE"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6,8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3576BD6"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6,9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BD0E568"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7,1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7FD9981"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 xml:space="preserve"> 7,6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6F6B1B9"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9,4</w:t>
            </w:r>
          </w:p>
        </w:tc>
        <w:tc>
          <w:tcPr>
            <w:tcW w:w="52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10CC119"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9,4</w:t>
            </w:r>
          </w:p>
        </w:tc>
        <w:tc>
          <w:tcPr>
            <w:tcW w:w="571"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158D371"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7,5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7B47D75"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6,5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23D9818"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4,3</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000991B"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6,2</w:t>
            </w:r>
          </w:p>
        </w:tc>
      </w:tr>
      <w:tr w:rsidR="00670FD4" w14:paraId="626EB965" w14:textId="77777777" w:rsidTr="001925BA">
        <w:trPr>
          <w:trHeight w:val="481"/>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1E0A9A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N</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2D856F0"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11,8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08BF9A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14,8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4F62D13"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14,8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32C19D4"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11,2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DE7B174"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C8FAE5E"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6,7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F213678"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 xml:space="preserve">       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8339035"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8,3</w:t>
            </w:r>
          </w:p>
        </w:tc>
        <w:tc>
          <w:tcPr>
            <w:tcW w:w="52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D300957"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7</w:t>
            </w:r>
          </w:p>
        </w:tc>
        <w:tc>
          <w:tcPr>
            <w:tcW w:w="571"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6E2F80B"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C5282A1"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8,4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46A4304"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10,3</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B99B2D7"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9,6</w:t>
            </w:r>
          </w:p>
        </w:tc>
      </w:tr>
      <w:tr w:rsidR="00670FD4" w14:paraId="4D2B0D72" w14:textId="77777777" w:rsidTr="001925BA">
        <w:trPr>
          <w:trHeight w:val="485"/>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CCB48F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NE</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DBBB79A"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57F5070"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03D82B9"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13,9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2CCC939"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12,8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5507DA0"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12,9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BF04EDF"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11,7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D0EA27F"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13,2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57CA1AE"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15,6</w:t>
            </w:r>
          </w:p>
        </w:tc>
        <w:tc>
          <w:tcPr>
            <w:tcW w:w="52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95344E3"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14,2</w:t>
            </w:r>
          </w:p>
        </w:tc>
        <w:tc>
          <w:tcPr>
            <w:tcW w:w="571"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A86868A"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13,6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5E44050"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8,5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0841148"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6,2</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597D74B"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11,5</w:t>
            </w:r>
          </w:p>
        </w:tc>
      </w:tr>
      <w:tr w:rsidR="00670FD4" w14:paraId="14FDB038" w14:textId="77777777" w:rsidTr="001925BA">
        <w:trPr>
          <w:trHeight w:val="485"/>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7AFA6E8"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NV</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8A2D99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21,9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A8332E1"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17,2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643A94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12,4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CC28DFE"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8,8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ECE2AC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8,5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64B1404"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10,6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94BB87D"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12,6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8F187D9"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14,8</w:t>
            </w:r>
          </w:p>
        </w:tc>
        <w:tc>
          <w:tcPr>
            <w:tcW w:w="52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4F5742A"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12,7</w:t>
            </w:r>
          </w:p>
        </w:tc>
        <w:tc>
          <w:tcPr>
            <w:tcW w:w="571"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7762B0D"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15,5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B5E699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17,6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0068858"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22,2</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5A98FC7"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14,9</w:t>
            </w:r>
          </w:p>
        </w:tc>
      </w:tr>
      <w:tr w:rsidR="00670FD4" w14:paraId="6AD866FF" w14:textId="77777777" w:rsidTr="001925BA">
        <w:trPr>
          <w:trHeight w:val="255"/>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35E0F89"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S</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A86E7A4"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6,7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471557F"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8,1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AE9B796"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334D626"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D0855C9"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8,9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3CFBBAA"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7,8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35F32B6"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6,6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62954A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4,2</w:t>
            </w:r>
          </w:p>
        </w:tc>
        <w:tc>
          <w:tcPr>
            <w:tcW w:w="52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AA21B2E"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5,6</w:t>
            </w:r>
          </w:p>
        </w:tc>
        <w:tc>
          <w:tcPr>
            <w:tcW w:w="571"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7F9A59A"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6,7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F52E261"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8,4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9C3907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6,2</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E8AB898"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6,8</w:t>
            </w:r>
          </w:p>
        </w:tc>
      </w:tr>
      <w:tr w:rsidR="00670FD4" w14:paraId="7FD6DDC4" w14:textId="77777777" w:rsidTr="001925BA">
        <w:trPr>
          <w:trHeight w:val="485"/>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AF4454B"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SE</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812FD13"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6,4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B83AFE5"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9,1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5FFD6E8"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13,4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2E45FB8"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18,7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E38DCB9"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18,8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6789EF7"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18,5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C774A04"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14,4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75F3E97"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12</w:t>
            </w:r>
          </w:p>
        </w:tc>
        <w:tc>
          <w:tcPr>
            <w:tcW w:w="52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BF0F71B"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15,4</w:t>
            </w:r>
          </w:p>
        </w:tc>
        <w:tc>
          <w:tcPr>
            <w:tcW w:w="571"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6448EE3"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13,8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F2A90A1"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11,6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EFB351F"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8,1</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631CEC9"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13,6</w:t>
            </w:r>
          </w:p>
        </w:tc>
      </w:tr>
      <w:tr w:rsidR="00670FD4" w14:paraId="0EC92271" w14:textId="77777777" w:rsidTr="001925BA">
        <w:trPr>
          <w:trHeight w:val="275"/>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106A5DB"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lastRenderedPageBreak/>
              <w:t>SV</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715B3ED"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4,4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6A45E3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4,8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ABE687F"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3,4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5BBC327"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3,4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F3A820A"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29B8F6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3,2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4DA219D"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2,2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F4855C8"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2,2</w:t>
            </w:r>
          </w:p>
        </w:tc>
        <w:tc>
          <w:tcPr>
            <w:tcW w:w="52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50FBA04"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2,6</w:t>
            </w:r>
          </w:p>
        </w:tc>
        <w:tc>
          <w:tcPr>
            <w:tcW w:w="571"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75FF58E"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75C3B13"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4,4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85336B8"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4,6</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B67237D"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3,8</w:t>
            </w:r>
          </w:p>
        </w:tc>
      </w:tr>
      <w:tr w:rsidR="00670FD4" w14:paraId="3CEEAA85" w14:textId="77777777" w:rsidTr="001925BA">
        <w:trPr>
          <w:trHeight w:val="500"/>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53B0D16"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V</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571DC2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26,4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C16E7B6"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19,8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5C3DF0C"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16,3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650B676"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15,7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174A450"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16,9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2D04390"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21,1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ABCD57D"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22,3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956EA42"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21,9</w:t>
            </w:r>
          </w:p>
        </w:tc>
        <w:tc>
          <w:tcPr>
            <w:tcW w:w="52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665DB9E"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23,5</w:t>
            </w:r>
          </w:p>
        </w:tc>
        <w:tc>
          <w:tcPr>
            <w:tcW w:w="571"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CA6F6C4"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21,5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C55AA27"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24,6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D6D51B0"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27,8</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5E3BDA0" w14:textId="77777777" w:rsidR="00670FD4" w:rsidRDefault="00670FD4" w:rsidP="001925BA">
            <w:pPr>
              <w:spacing w:before="0" w:after="0" w:line="240" w:lineRule="auto"/>
              <w:ind w:firstLine="0"/>
              <w:rPr>
                <w:rFonts w:eastAsia="Times New Roman" w:cs="Times New Roman"/>
              </w:rPr>
            </w:pPr>
            <w:r>
              <w:rPr>
                <w:rFonts w:eastAsia="Times New Roman" w:cs="Times New Roman"/>
                <w:color w:val="000000"/>
                <w:sz w:val="20"/>
                <w:szCs w:val="20"/>
              </w:rPr>
              <w:t>20,6</w:t>
            </w:r>
          </w:p>
        </w:tc>
      </w:tr>
    </w:tbl>
    <w:p w14:paraId="2B1092D9" w14:textId="77777777" w:rsidR="00670FD4" w:rsidRDefault="00670FD4" w:rsidP="00670FD4">
      <w:pPr>
        <w:rPr>
          <w:rFonts w:eastAsia="Times New Roman" w:cs="Times New Roman"/>
        </w:rPr>
      </w:pPr>
    </w:p>
    <w:p w14:paraId="35DE6334" w14:textId="77777777" w:rsidR="00670FD4" w:rsidRDefault="00670FD4" w:rsidP="00670FD4">
      <w:pPr>
        <w:spacing w:before="0"/>
        <w:ind w:firstLine="567"/>
        <w:rPr>
          <w:rFonts w:eastAsia="Times New Roman" w:cs="Times New Roman"/>
        </w:rPr>
      </w:pPr>
      <w:r>
        <w:rPr>
          <w:rFonts w:eastAsia="Times New Roman" w:cs="Times New Roman"/>
        </w:rPr>
        <w:t xml:space="preserve">Pe coastă se manifestă și fenomenul de briză, datorită diferențelor de temperatură între mare și uscat. Acest fenomen este mai pregnant între lunile mai și septembrie, când se înregistrează temperaturi mai ridicate la nivelul uscatului. Tot în perioada caldă a anului se remarcă o variație diurnă a direcțiilor vântului cu un pronunțat caracter periodic. Aceasta nu constă într-o simplă alternare între mare și uscat, ci într-o rotire completă a direcției vântului în sensul acelor de ceasornic. </w:t>
      </w:r>
    </w:p>
    <w:p w14:paraId="2F908999" w14:textId="77777777" w:rsidR="00670FD4" w:rsidRDefault="00670FD4" w:rsidP="00670FD4">
      <w:pPr>
        <w:pStyle w:val="Heading4"/>
      </w:pPr>
      <w:bookmarkStart w:id="59" w:name="_Toc171084828"/>
      <w:r>
        <w:t>2.4.1.2 Geologie</w:t>
      </w:r>
      <w:bookmarkEnd w:id="59"/>
    </w:p>
    <w:p w14:paraId="56FB85E7" w14:textId="77777777" w:rsidR="00670FD4" w:rsidRDefault="00670FD4" w:rsidP="00670FD4">
      <w:pPr>
        <w:ind w:firstLine="567"/>
        <w:rPr>
          <w:rFonts w:eastAsia="Times New Roman" w:cs="Times New Roman"/>
        </w:rPr>
      </w:pPr>
      <w:r>
        <w:rPr>
          <w:rFonts w:eastAsia="Times New Roman" w:cs="Times New Roman"/>
        </w:rPr>
        <w:t>Din punct de vedere geologic teritoriul dobrogean este suprapus peste următoarele mari unități tectonice: Platforma Sud Dobrogeană, Masivul Central Dobrogean, Orogenul Nord Dobrogean, Depresiunea Predobrogeană (Fig. 4.1.1.2.1).</w:t>
      </w:r>
    </w:p>
    <w:p w14:paraId="0A4CC829" w14:textId="77777777" w:rsidR="00670FD4" w:rsidRDefault="00670FD4" w:rsidP="00670FD4">
      <w:pPr>
        <w:ind w:firstLine="567"/>
        <w:rPr>
          <w:rFonts w:eastAsia="Times New Roman" w:cs="Times New Roman"/>
        </w:rPr>
      </w:pPr>
    </w:p>
    <w:p w14:paraId="3EA78D2F" w14:textId="77777777" w:rsidR="00670FD4" w:rsidRDefault="00670FD4" w:rsidP="00670FD4">
      <w:pPr>
        <w:spacing w:after="200"/>
        <w:jc w:val="center"/>
        <w:rPr>
          <w:rFonts w:eastAsia="Times New Roman" w:cs="Times New Roman"/>
          <w:b/>
          <w:i/>
        </w:rPr>
      </w:pPr>
      <w:r>
        <w:rPr>
          <w:rFonts w:eastAsia="Times New Roman" w:cs="Times New Roman"/>
          <w:b/>
          <w:i/>
          <w:noProof/>
        </w:rPr>
        <w:drawing>
          <wp:inline distT="0" distB="0" distL="0" distR="0" wp14:anchorId="74208B2C" wp14:editId="1F880847">
            <wp:extent cx="2798314" cy="2936502"/>
            <wp:effectExtent l="0" t="0" r="0" b="0"/>
            <wp:docPr id="214140196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3"/>
                    <a:srcRect/>
                    <a:stretch>
                      <a:fillRect/>
                    </a:stretch>
                  </pic:blipFill>
                  <pic:spPr>
                    <a:xfrm>
                      <a:off x="0" y="0"/>
                      <a:ext cx="2798314" cy="2936502"/>
                    </a:xfrm>
                    <a:prstGeom prst="rect">
                      <a:avLst/>
                    </a:prstGeom>
                    <a:ln/>
                  </pic:spPr>
                </pic:pic>
              </a:graphicData>
            </a:graphic>
          </wp:inline>
        </w:drawing>
      </w:r>
    </w:p>
    <w:p w14:paraId="3CE01812" w14:textId="77777777" w:rsidR="00670FD4" w:rsidRDefault="00670FD4" w:rsidP="00670FD4">
      <w:pPr>
        <w:jc w:val="center"/>
        <w:rPr>
          <w:rFonts w:eastAsia="Times New Roman" w:cs="Times New Roman"/>
          <w:b/>
        </w:rPr>
      </w:pPr>
      <w:r>
        <w:rPr>
          <w:rFonts w:eastAsia="Times New Roman" w:cs="Times New Roman"/>
          <w:b/>
        </w:rPr>
        <w:t>Fig. 2.4.1.1.2 Schița tectonică a Dobrogei (conform Mutihac, 2007)</w:t>
      </w:r>
    </w:p>
    <w:p w14:paraId="7C0835C4" w14:textId="77777777" w:rsidR="00670FD4" w:rsidRDefault="00670FD4" w:rsidP="00670FD4">
      <w:pPr>
        <w:jc w:val="center"/>
        <w:rPr>
          <w:rFonts w:eastAsia="Times New Roman" w:cs="Times New Roman"/>
          <w:b/>
        </w:rPr>
      </w:pPr>
    </w:p>
    <w:p w14:paraId="62038820" w14:textId="77777777" w:rsidR="00670FD4" w:rsidRDefault="00670FD4" w:rsidP="00670FD4">
      <w:pPr>
        <w:spacing w:after="200"/>
        <w:rPr>
          <w:rFonts w:eastAsia="Times New Roman" w:cs="Times New Roman"/>
          <w:i/>
        </w:rPr>
      </w:pPr>
      <w:r>
        <w:rPr>
          <w:rFonts w:eastAsia="Times New Roman" w:cs="Times New Roman"/>
          <w:i/>
        </w:rPr>
        <w:t>Dobrogea de nord</w:t>
      </w:r>
    </w:p>
    <w:p w14:paraId="3C8A316E" w14:textId="77777777" w:rsidR="00670FD4" w:rsidRDefault="00670FD4" w:rsidP="00670FD4">
      <w:pPr>
        <w:spacing w:before="0"/>
        <w:ind w:firstLine="567"/>
        <w:rPr>
          <w:rFonts w:eastAsia="Times New Roman" w:cs="Times New Roman"/>
        </w:rPr>
      </w:pPr>
      <w:r>
        <w:rPr>
          <w:rFonts w:eastAsia="Times New Roman" w:cs="Times New Roman"/>
        </w:rPr>
        <w:t>Depresiunea predobrogeană este alcătuită dintr-un fundament magmatic proterozoic superior acoperit, discordant, de depozite siliciclastice marine și continentale paleozoic inferioare și de depozite groase carbonatice devonian mediu – carbonifer inferioare. Urmează complexe vulcanogen-sedimentare permo-triasice, asociate unui bazin de rift. Succesiunea este încheiată de depozite mezozoice și neozoice.</w:t>
      </w:r>
    </w:p>
    <w:p w14:paraId="1C9721D4" w14:textId="77777777" w:rsidR="00670FD4" w:rsidRDefault="00670FD4" w:rsidP="00670FD4">
      <w:pPr>
        <w:spacing w:before="0"/>
        <w:ind w:firstLine="567"/>
        <w:rPr>
          <w:rFonts w:eastAsia="Times New Roman" w:cs="Times New Roman"/>
        </w:rPr>
      </w:pPr>
      <w:r>
        <w:rPr>
          <w:rFonts w:eastAsia="Times New Roman" w:cs="Times New Roman"/>
        </w:rPr>
        <w:lastRenderedPageBreak/>
        <w:t>La sud de Depresiunea Predobrogeană, Orogenul Nord-Dobrogean reprezintă o zonă îngustă, deformată chimeric (Murgoci, 1914), cu orientare NV-SE. Orogenul Nord-Dobrogean vine în contact cu Depresiunea Predobrogeană de-a lungul Faliei Sfântu Gheorghe, iar la sud cu sectorul estic al Platformei Moesice, de-a lungul Faliei Pecineaga-Camena.</w:t>
      </w:r>
    </w:p>
    <w:p w14:paraId="6CF985D3" w14:textId="77777777" w:rsidR="00670FD4" w:rsidRDefault="00670FD4" w:rsidP="00670FD4">
      <w:pPr>
        <w:spacing w:before="0"/>
        <w:ind w:firstLine="567"/>
        <w:rPr>
          <w:rFonts w:eastAsia="Times New Roman" w:cs="Times New Roman"/>
        </w:rPr>
      </w:pPr>
      <w:r>
        <w:rPr>
          <w:rFonts w:eastAsia="Times New Roman" w:cs="Times New Roman"/>
        </w:rPr>
        <w:t>În sectorul său nordic, zona litorală românească reprezintă frontul Deltei Dunării și a complexului Razim-Sinoe. Depozitele din zona litorală, ca și cele deltaice și lacustre din vecinătatea țărmului aparțin Cuaternarului. Delta Dunării, ca unitate sedimentară, acoperă o suprafață mai mare de 12.600 km</w:t>
      </w:r>
      <w:r>
        <w:rPr>
          <w:rFonts w:eastAsia="Times New Roman" w:cs="Times New Roman"/>
          <w:vertAlign w:val="superscript"/>
        </w:rPr>
        <w:t>2</w:t>
      </w:r>
      <w:r>
        <w:rPr>
          <w:rFonts w:eastAsia="Times New Roman" w:cs="Times New Roman"/>
        </w:rPr>
        <w:t>, din care aproape jumătate se află în zona submersă marină. Geomorfologia actuală a Deltei Dunării este rezultatul interacțiunii permanente dintre fluviu și mare în timpul Holocenului (Panin, 1996).</w:t>
      </w:r>
    </w:p>
    <w:p w14:paraId="3B8FD841" w14:textId="77777777" w:rsidR="00670FD4" w:rsidRDefault="00670FD4" w:rsidP="00670FD4">
      <w:pPr>
        <w:spacing w:before="0"/>
        <w:ind w:firstLine="567"/>
        <w:rPr>
          <w:rFonts w:eastAsia="Times New Roman" w:cs="Times New Roman"/>
        </w:rPr>
      </w:pPr>
      <w:r>
        <w:rPr>
          <w:rFonts w:eastAsia="Times New Roman" w:cs="Times New Roman"/>
        </w:rPr>
        <w:t>Câmpia deltaică, cu o suprafața totală de circa 5.800 km</w:t>
      </w:r>
      <w:r>
        <w:rPr>
          <w:rFonts w:eastAsia="Times New Roman" w:cs="Times New Roman"/>
          <w:vertAlign w:val="superscript"/>
        </w:rPr>
        <w:t>2</w:t>
      </w:r>
      <w:r>
        <w:rPr>
          <w:rFonts w:eastAsia="Times New Roman" w:cs="Times New Roman"/>
        </w:rPr>
        <w:t>, începe de la Ceatalul Izmail, unde Dunărea se separă în două brațe, respectiv Chilia și Tulcea. 4.000 km</w:t>
      </w:r>
      <w:r>
        <w:rPr>
          <w:rFonts w:eastAsia="Times New Roman" w:cs="Times New Roman"/>
          <w:vertAlign w:val="superscript"/>
        </w:rPr>
        <w:t>2</w:t>
      </w:r>
      <w:r>
        <w:rPr>
          <w:rFonts w:eastAsia="Times New Roman" w:cs="Times New Roman"/>
        </w:rPr>
        <w:t xml:space="preserve"> din această suprafață o reprezintă câmpia deltaică fluviatilă, în timp ce 1.800 km</w:t>
      </w:r>
      <w:r>
        <w:rPr>
          <w:rFonts w:eastAsia="Times New Roman" w:cs="Times New Roman"/>
          <w:vertAlign w:val="superscript"/>
        </w:rPr>
        <w:t>2</w:t>
      </w:r>
      <w:r>
        <w:rPr>
          <w:rFonts w:eastAsia="Times New Roman" w:cs="Times New Roman"/>
        </w:rPr>
        <w:t xml:space="preserve"> reprezintă câmpia deltaică marină. Limita de separație între cele două subdomenii urmărește aliniamentul Jibrieni (Ucraina)-Letea-Răducu-Ceamurlia-Caraorman. Câmpia deltaică marină este caracterizată prin prezența a numeroase grinduri marine, foste acumulări de nisip de plajă care au fost înglobate în câmpia deltaică pe măsură ce delta a progradat. Grindurile marine pot fi regăsite izolate sau juxtapuse, alcătuind așa numitele formațiuni de acumulare. Câteva astfel de formațiuni sunt Sărăturile, Letea, Perișor și Chituc.</w:t>
      </w:r>
    </w:p>
    <w:p w14:paraId="1867FEF9" w14:textId="77777777" w:rsidR="00670FD4" w:rsidRDefault="00670FD4" w:rsidP="00670FD4">
      <w:pPr>
        <w:spacing w:before="0"/>
        <w:ind w:firstLine="567"/>
        <w:rPr>
          <w:rFonts w:eastAsia="Times New Roman" w:cs="Times New Roman"/>
        </w:rPr>
      </w:pPr>
      <w:r>
        <w:rPr>
          <w:rFonts w:eastAsia="Times New Roman" w:cs="Times New Roman"/>
        </w:rPr>
        <w:t>Frontul deltaic, cu o suprafață de circa 1.300 km</w:t>
      </w:r>
      <w:r>
        <w:rPr>
          <w:rFonts w:eastAsia="Times New Roman" w:cs="Times New Roman"/>
          <w:vertAlign w:val="superscript"/>
        </w:rPr>
        <w:t>2</w:t>
      </w:r>
      <w:r>
        <w:rPr>
          <w:rFonts w:eastAsia="Times New Roman" w:cs="Times New Roman"/>
        </w:rPr>
        <w:t xml:space="preserve"> cuprinde platforma frontului deltaic și panta frontului deltaic. Morfologia de detaliu a frontului deltaic variază în fața gurii de vărsare a fiecărui braț, fiind în strânsă legătură cu cantitatea de sedimente transportată de fiecare distributar și, implicit, cu evoluția lobilor deltei.</w:t>
      </w:r>
    </w:p>
    <w:p w14:paraId="68AD4343" w14:textId="77777777" w:rsidR="00670FD4" w:rsidRDefault="00670FD4" w:rsidP="00670FD4">
      <w:pPr>
        <w:spacing w:before="0"/>
        <w:ind w:firstLine="567"/>
        <w:rPr>
          <w:rFonts w:eastAsia="Times New Roman" w:cs="Times New Roman"/>
        </w:rPr>
      </w:pPr>
      <w:r>
        <w:rPr>
          <w:rFonts w:eastAsia="Times New Roman" w:cs="Times New Roman"/>
        </w:rPr>
        <w:t>Prodelta ocupă mai mult de 5.500 km</w:t>
      </w:r>
      <w:r>
        <w:rPr>
          <w:rFonts w:eastAsia="Times New Roman" w:cs="Times New Roman"/>
          <w:vertAlign w:val="superscript"/>
        </w:rPr>
        <w:t>2</w:t>
      </w:r>
      <w:r>
        <w:rPr>
          <w:rFonts w:eastAsia="Times New Roman" w:cs="Times New Roman"/>
        </w:rPr>
        <w:t>, de la baza frontului deltaic până la adâncimi de 50-60 m. Limita estică a prodeltei este clară spre est, însă dificil de localizat spre sud, din cauza driftului litoral care dispersează pe o suprafață foarte mare sedimentele fine aduse de Dunăre în mare. Influența acestui material fin se simte pe tot platoul continental românesc al Mării Negre, până la sud de Constanta (Panin, 1989).</w:t>
      </w:r>
    </w:p>
    <w:p w14:paraId="59FA5301" w14:textId="77777777" w:rsidR="00670FD4" w:rsidRDefault="00670FD4" w:rsidP="00670FD4">
      <w:pPr>
        <w:spacing w:before="0"/>
        <w:rPr>
          <w:rFonts w:eastAsia="Times New Roman" w:cs="Times New Roman"/>
          <w:i/>
        </w:rPr>
      </w:pPr>
      <w:r>
        <w:rPr>
          <w:rFonts w:eastAsia="Times New Roman" w:cs="Times New Roman"/>
          <w:i/>
        </w:rPr>
        <w:t>Dobrogea centrală</w:t>
      </w:r>
    </w:p>
    <w:p w14:paraId="734F3C41" w14:textId="77777777" w:rsidR="00670FD4" w:rsidRDefault="00670FD4" w:rsidP="00670FD4">
      <w:pPr>
        <w:spacing w:before="0"/>
        <w:ind w:firstLine="567"/>
        <w:rPr>
          <w:rFonts w:eastAsia="Times New Roman" w:cs="Times New Roman"/>
        </w:rPr>
      </w:pPr>
      <w:r>
        <w:rPr>
          <w:rFonts w:eastAsia="Times New Roman" w:cs="Times New Roman"/>
        </w:rPr>
        <w:t>Fundamentul metamorfozat Neoproterozoic-Cambrian inferior aflorează pe arii extinse, fiind acoperit local de formațiuni calcaroase de vârstă jurasică aflate în axul unor structuri sinclinale largi, foarte erodate. Pătura de formațiuni cuaternare este subțire și lipsită de continuitate.</w:t>
      </w:r>
    </w:p>
    <w:p w14:paraId="41C78339" w14:textId="77777777" w:rsidR="00670FD4" w:rsidRDefault="00670FD4" w:rsidP="00670FD4">
      <w:pPr>
        <w:spacing w:before="0"/>
        <w:rPr>
          <w:rFonts w:eastAsia="Times New Roman" w:cs="Times New Roman"/>
          <w:i/>
        </w:rPr>
      </w:pPr>
      <w:r>
        <w:rPr>
          <w:rFonts w:eastAsia="Times New Roman" w:cs="Times New Roman"/>
          <w:i/>
        </w:rPr>
        <w:t>Dobrogea de Sud</w:t>
      </w:r>
    </w:p>
    <w:p w14:paraId="1E01F40E" w14:textId="77777777" w:rsidR="00670FD4" w:rsidRDefault="00670FD4" w:rsidP="00670FD4">
      <w:pPr>
        <w:spacing w:before="0"/>
        <w:ind w:firstLine="567"/>
        <w:rPr>
          <w:rFonts w:eastAsia="Times New Roman" w:cs="Times New Roman"/>
        </w:rPr>
      </w:pPr>
      <w:r>
        <w:rPr>
          <w:rFonts w:eastAsia="Times New Roman" w:cs="Times New Roman"/>
        </w:rPr>
        <w:t xml:space="preserve">Platforma Sud Dobrogeană se dezvoltă la sud de falia Capidava-Ovidiu. Alcătuirea sa geologică este cea a unei platforme tipice, cu un fundament cristalin Precambrian, peste care se dispun formațiuni sedimentare care acoperă intervalul stratigrafic Paleozoic-Cuaternar, fiind întrerupt de câteva lacune de sedimentare. Cuvertura sedimentară acoperă intervalul stratigrafic Paleozoic-Neozoic, fiind prezente numeroase discontinuități și lacune de sedimentare. Formațiunile geologice aparțin următoarelor cicluri de sedimentare: </w:t>
      </w:r>
    </w:p>
    <w:p w14:paraId="4BFC8877" w14:textId="77777777" w:rsidR="00670FD4" w:rsidRDefault="00670FD4" w:rsidP="00670FD4">
      <w:pPr>
        <w:spacing w:before="0"/>
        <w:ind w:left="567"/>
        <w:rPr>
          <w:rFonts w:eastAsia="Times New Roman" w:cs="Times New Roman"/>
        </w:rPr>
      </w:pPr>
      <w:r>
        <w:rPr>
          <w:rFonts w:eastAsia="Times New Roman" w:cs="Times New Roman"/>
        </w:rPr>
        <w:lastRenderedPageBreak/>
        <w:t>•</w:t>
      </w:r>
      <w:r>
        <w:rPr>
          <w:rFonts w:eastAsia="Times New Roman" w:cs="Times New Roman"/>
        </w:rPr>
        <w:tab/>
        <w:t>Ciclul Paleozoic, care include roci terigene de origine marină din intervalul Cambrian superior-Devonian inferior, precum și depozite carbonatice și serii paralice cu cărbuni în intervalul Devonian mediu –Carbonifer inferior;</w:t>
      </w:r>
    </w:p>
    <w:p w14:paraId="320C0CBB" w14:textId="77777777" w:rsidR="00670FD4" w:rsidRDefault="00670FD4" w:rsidP="00670FD4">
      <w:pPr>
        <w:spacing w:before="0"/>
        <w:ind w:left="567"/>
        <w:rPr>
          <w:rFonts w:eastAsia="Times New Roman" w:cs="Times New Roman"/>
        </w:rPr>
      </w:pPr>
      <w:r>
        <w:rPr>
          <w:rFonts w:eastAsia="Times New Roman" w:cs="Times New Roman"/>
        </w:rPr>
        <w:t>•</w:t>
      </w:r>
      <w:r>
        <w:rPr>
          <w:rFonts w:eastAsia="Times New Roman" w:cs="Times New Roman"/>
        </w:rPr>
        <w:tab/>
        <w:t>Ciclu Permo-Triasic în facies germanic cu secvențe inferioare și superioare detritice separate printr-o formațiuni carbonatice;</w:t>
      </w:r>
    </w:p>
    <w:p w14:paraId="13513110" w14:textId="77777777" w:rsidR="00670FD4" w:rsidRDefault="00670FD4" w:rsidP="00670FD4">
      <w:pPr>
        <w:spacing w:before="0"/>
        <w:ind w:left="567"/>
        <w:rPr>
          <w:rFonts w:eastAsia="Times New Roman" w:cs="Times New Roman"/>
        </w:rPr>
      </w:pPr>
      <w:r>
        <w:rPr>
          <w:rFonts w:eastAsia="Times New Roman" w:cs="Times New Roman"/>
        </w:rPr>
        <w:t>•</w:t>
      </w:r>
      <w:r>
        <w:rPr>
          <w:rFonts w:eastAsia="Times New Roman" w:cs="Times New Roman"/>
        </w:rPr>
        <w:tab/>
        <w:t>Ciclul Jurasic și Cretacic reprezentat prin Jurasicul mediu–detritic; Jurasic superior–Barremian, dominant carbonatic și Cretacicul superior care este calcaros-marnos;</w:t>
      </w:r>
    </w:p>
    <w:p w14:paraId="2CD3DF19" w14:textId="77777777" w:rsidR="00670FD4" w:rsidRDefault="00670FD4" w:rsidP="00670FD4">
      <w:pPr>
        <w:spacing w:before="0"/>
        <w:ind w:left="567"/>
        <w:rPr>
          <w:rFonts w:eastAsia="Times New Roman" w:cs="Times New Roman"/>
        </w:rPr>
      </w:pPr>
      <w:r>
        <w:rPr>
          <w:rFonts w:eastAsia="Times New Roman" w:cs="Times New Roman"/>
        </w:rPr>
        <w:t>•</w:t>
      </w:r>
      <w:r>
        <w:rPr>
          <w:rFonts w:eastAsia="Times New Roman" w:cs="Times New Roman"/>
        </w:rPr>
        <w:tab/>
        <w:t>Ciclul Badenian – Pleistocen reprezentat prin depozite predominant detritice care reflectă evoluția bazinului, de la un bazin marin de mică adâncime, la unul continental (excepție fac calcarele eocene).</w:t>
      </w:r>
    </w:p>
    <w:p w14:paraId="572282F8" w14:textId="77777777" w:rsidR="00670FD4" w:rsidRDefault="00670FD4" w:rsidP="00670FD4">
      <w:pPr>
        <w:spacing w:before="0"/>
        <w:rPr>
          <w:rFonts w:eastAsia="Times New Roman" w:cs="Times New Roman"/>
          <w:i/>
        </w:rPr>
      </w:pPr>
      <w:r>
        <w:rPr>
          <w:rFonts w:eastAsia="Times New Roman" w:cs="Times New Roman"/>
          <w:i/>
        </w:rPr>
        <w:t>Formațiunile geologice întâlnite în zona litorală sudică</w:t>
      </w:r>
    </w:p>
    <w:p w14:paraId="62074978" w14:textId="77777777" w:rsidR="00670FD4" w:rsidRDefault="00670FD4" w:rsidP="00670FD4">
      <w:pPr>
        <w:spacing w:before="0"/>
        <w:ind w:firstLine="567"/>
        <w:rPr>
          <w:rFonts w:eastAsia="Times New Roman" w:cs="Times New Roman"/>
        </w:rPr>
      </w:pPr>
      <w:r>
        <w:rPr>
          <w:rFonts w:eastAsia="Times New Roman" w:cs="Times New Roman"/>
        </w:rPr>
        <w:t>De la Capul Midia spre sud, până la Vama Veche și chiar mai departe, pe teritoriul Bulgariei, în zona litorală aflorează depozite antecuaternare. Astfel, șisturile verzi ale Dobrogei centrale, de vârsta precambrian superior, aflorează la Cetatea Histria, lângă satul Vadu, în faleza sudică a lacului Tașaul, precum și la țărmul mării, la baza falezei Capului Clisargic. Jurasicul superior calcaros (Oxfordian și Kimmeridgian) aflorează la Cap Midia și pe malul lacului Siutghiol (Chiriac, 1960; Drăgănescu, 1976). Tot în zona lacului Siutghiol apar și depozite cretacice aparținând Barremianului, Aptianului și Senonianului (Chiriac, 1960).</w:t>
      </w:r>
    </w:p>
    <w:p w14:paraId="4C9A7794" w14:textId="77777777" w:rsidR="00670FD4" w:rsidRDefault="00670FD4" w:rsidP="00670FD4">
      <w:pPr>
        <w:spacing w:before="0"/>
        <w:ind w:firstLine="567"/>
        <w:rPr>
          <w:rFonts w:eastAsia="Times New Roman" w:cs="Times New Roman"/>
        </w:rPr>
      </w:pPr>
      <w:r>
        <w:rPr>
          <w:rFonts w:eastAsia="Times New Roman" w:cs="Times New Roman"/>
        </w:rPr>
        <w:t>Sarmatianul reprezintă formațiunea cea mai răspândită. Calcarele de vârsta Sarmatian mediu (Bassarabian) și Sarmatian superior (Kersonian) alcătuiesc baza falezei marine (Chiriac,1960) de pe litoralul sudic. Deasupra calcarelor sarmatiene se întâlnesc depozite argiloase de vârsta Pleistocen inferior.</w:t>
      </w:r>
    </w:p>
    <w:p w14:paraId="5CEA53B0" w14:textId="77777777" w:rsidR="00670FD4" w:rsidRDefault="00670FD4" w:rsidP="00670FD4">
      <w:pPr>
        <w:spacing w:before="0"/>
        <w:ind w:firstLine="567"/>
        <w:rPr>
          <w:rFonts w:eastAsia="Times New Roman" w:cs="Times New Roman"/>
        </w:rPr>
      </w:pPr>
      <w:r>
        <w:rPr>
          <w:rFonts w:eastAsia="Times New Roman" w:cs="Times New Roman"/>
        </w:rPr>
        <w:t>Pleistocenul mediu și superior este reprezentat prin depozite groase de loess, care reprezintă o rocă slab consolidată, friabilă, alcătuită din material detritic de granulație siltică și subordonat nisipos foarte fină, depuse eolian. Loessurile au intercalate 7 grupe de paleosoluri.</w:t>
      </w:r>
    </w:p>
    <w:p w14:paraId="2499687F" w14:textId="77777777" w:rsidR="00670FD4" w:rsidRDefault="00670FD4" w:rsidP="00670FD4">
      <w:pPr>
        <w:spacing w:before="0"/>
        <w:rPr>
          <w:rFonts w:eastAsia="Times New Roman" w:cs="Times New Roman"/>
          <w:i/>
        </w:rPr>
      </w:pPr>
      <w:r>
        <w:rPr>
          <w:rFonts w:eastAsia="Times New Roman" w:cs="Times New Roman"/>
          <w:i/>
        </w:rPr>
        <w:t>Hidrogeologia sectorului litoral</w:t>
      </w:r>
    </w:p>
    <w:p w14:paraId="2C4A96A5" w14:textId="77777777" w:rsidR="00670FD4" w:rsidRDefault="00670FD4" w:rsidP="00670FD4">
      <w:pPr>
        <w:spacing w:before="0"/>
        <w:rPr>
          <w:rFonts w:eastAsia="Times New Roman" w:cs="Times New Roman"/>
        </w:rPr>
      </w:pPr>
      <w:r>
        <w:rPr>
          <w:rFonts w:eastAsia="Times New Roman" w:cs="Times New Roman"/>
        </w:rPr>
        <w:t>Delta Dunării</w:t>
      </w:r>
    </w:p>
    <w:p w14:paraId="44820EDC" w14:textId="77777777" w:rsidR="00670FD4" w:rsidRDefault="00670FD4" w:rsidP="00670FD4">
      <w:pPr>
        <w:spacing w:before="0"/>
        <w:ind w:firstLine="567"/>
        <w:rPr>
          <w:rFonts w:eastAsia="Times New Roman" w:cs="Times New Roman"/>
        </w:rPr>
      </w:pPr>
      <w:r>
        <w:rPr>
          <w:rFonts w:eastAsia="Times New Roman" w:cs="Times New Roman"/>
        </w:rPr>
        <w:t>În sectorul nordic al zonei costiere, apa subterană este prezentă sub forma unui acvifer superficial, cantonat în depozitele fluviatile și deltaice cvasiprezente și are caracteristicile unui acvifer cu nivel liber. Acviferul este în legătură hidraulică directă atât cu Dunărea, cât și cu Marea Neagră, variațiile de nivel ale acestuia fiind influențate în mod principal de regimul hidrologic al acestora și doar secundar de regimul precipitațiilor. Contactul hidrogeologic între apele sărate ale Mării Negre și cele ale Dunării este variabil spațial și în timp, fiind determinat de raportul nivelurilor piezometrice ale celor două entități. Până în prezent nu se cunosc relatări asupra prezenței acviferelor de adâncime în sectorul de nord.</w:t>
      </w:r>
    </w:p>
    <w:p w14:paraId="4C80DC5F" w14:textId="77777777" w:rsidR="00670FD4" w:rsidRDefault="00670FD4" w:rsidP="00670FD4">
      <w:pPr>
        <w:spacing w:before="0"/>
        <w:rPr>
          <w:rFonts w:eastAsia="Times New Roman" w:cs="Times New Roman"/>
        </w:rPr>
      </w:pPr>
      <w:r>
        <w:rPr>
          <w:rFonts w:eastAsia="Times New Roman" w:cs="Times New Roman"/>
        </w:rPr>
        <w:t>Masivul Central Dobrogean</w:t>
      </w:r>
    </w:p>
    <w:p w14:paraId="0693092C" w14:textId="77777777" w:rsidR="00670FD4" w:rsidRDefault="00670FD4" w:rsidP="00670FD4">
      <w:pPr>
        <w:spacing w:before="0"/>
        <w:ind w:firstLine="567"/>
        <w:rPr>
          <w:rFonts w:eastAsia="Times New Roman" w:cs="Times New Roman"/>
        </w:rPr>
      </w:pPr>
      <w:r>
        <w:rPr>
          <w:rFonts w:eastAsia="Times New Roman" w:cs="Times New Roman"/>
        </w:rPr>
        <w:t xml:space="preserve">Formațiunea șisturile verzi reprezintă o formațiune de orogen, considerată de unii autori ca formațiune de flis, afectată de un metamorfism regional, care a produs suficiente </w:t>
      </w:r>
      <w:r>
        <w:rPr>
          <w:rFonts w:eastAsia="Times New Roman" w:cs="Times New Roman"/>
        </w:rPr>
        <w:lastRenderedPageBreak/>
        <w:t>transformări de structură și textură a rocilor, făcându-le impermeabile. În zona costieră a Dobrogei Centrale, formațiunea șisturilor verzi aflorează la baza falezei de la Capul Clisargic, din dreptul comunei Corbu, peste care s-au intersectat în foraje, fie calcare jurasice, fie petice de nisipuri aptiene, capabile să rețină volume relativ mici de apă potabilă. Pompările excesive favorizează infiltrarea apei marine.</w:t>
      </w:r>
    </w:p>
    <w:p w14:paraId="51D39C99" w14:textId="77777777" w:rsidR="00670FD4" w:rsidRDefault="00670FD4" w:rsidP="00670FD4">
      <w:pPr>
        <w:spacing w:before="0"/>
        <w:rPr>
          <w:rFonts w:eastAsia="Times New Roman" w:cs="Times New Roman"/>
        </w:rPr>
      </w:pPr>
      <w:r>
        <w:rPr>
          <w:rFonts w:eastAsia="Times New Roman" w:cs="Times New Roman"/>
        </w:rPr>
        <w:t>Dobrogea de Sud</w:t>
      </w:r>
    </w:p>
    <w:p w14:paraId="3E2B7B97" w14:textId="77777777" w:rsidR="00670FD4" w:rsidRDefault="00670FD4" w:rsidP="00670FD4">
      <w:pPr>
        <w:spacing w:before="0"/>
        <w:ind w:firstLine="567"/>
        <w:rPr>
          <w:rFonts w:eastAsia="Times New Roman" w:cs="Times New Roman"/>
        </w:rPr>
      </w:pPr>
      <w:r>
        <w:rPr>
          <w:rFonts w:eastAsia="Times New Roman" w:cs="Times New Roman"/>
        </w:rPr>
        <w:t>Pe arealul Dobrogei de Sud se evidențiază două acvifere majore suprapuse, cu dezvoltare regională, respectiv un acviferul superior, cantonat în depozite calcaroase de vărsta sarmatian, având grosimi de până la 150 m și nivel liber și un acvifer inferior, sub presiune, cantonat în calcare și dolomite aparținând Jurasicului superior și Cretacicului inferior, cu grosimi de 200–1200 m. La scara întregului teritoriu al Dobrogei de Sud există numeroase interferențe între apele de suprafață, reprezentate în special de sistemul lacustru ce bordează litoralul românesc, canalul Dunăre–Marea Neagră, canalul Poarta Albă-Midia Năvodari și canalele pentru irigații și apele subterane cantonate în cele doua acvifere amintite.</w:t>
      </w:r>
    </w:p>
    <w:p w14:paraId="253119D0" w14:textId="77777777" w:rsidR="00670FD4" w:rsidRDefault="00670FD4" w:rsidP="00670FD4">
      <w:pPr>
        <w:pStyle w:val="Heading4"/>
      </w:pPr>
      <w:bookmarkStart w:id="60" w:name="_Toc171084829"/>
      <w:r>
        <w:t>2.4.1.3 Hidrologie</w:t>
      </w:r>
      <w:bookmarkEnd w:id="60"/>
    </w:p>
    <w:p w14:paraId="67B7FEC0" w14:textId="77777777" w:rsidR="00670FD4" w:rsidRDefault="00670FD4" w:rsidP="00670FD4">
      <w:pPr>
        <w:spacing w:before="0"/>
        <w:ind w:firstLine="567"/>
        <w:rPr>
          <w:rFonts w:eastAsia="Times New Roman" w:cs="Times New Roman"/>
        </w:rPr>
      </w:pPr>
      <w:r>
        <w:rPr>
          <w:rFonts w:eastAsia="Times New Roman" w:cs="Times New Roman"/>
        </w:rPr>
        <w:t>Apele curgătoare sunt reprezentate în zona deltei de brațele principale ale Dunării, canale cu circulație activă a apei, canale şi gârle din zone naturale cu regim liber și canale şi gârle din interiorul incintelor amenajate cu circulaţia apei controlată sau fără circulaţie a apei (ex. incinta Murighiol).</w:t>
      </w:r>
    </w:p>
    <w:p w14:paraId="18B502D0" w14:textId="77777777" w:rsidR="00670FD4" w:rsidRDefault="00670FD4" w:rsidP="00670FD4">
      <w:pPr>
        <w:spacing w:before="0"/>
        <w:ind w:firstLine="567"/>
        <w:rPr>
          <w:rFonts w:eastAsia="Times New Roman" w:cs="Times New Roman"/>
        </w:rPr>
      </w:pPr>
      <w:r>
        <w:rPr>
          <w:rFonts w:eastAsia="Times New Roman" w:cs="Times New Roman"/>
        </w:rPr>
        <w:t xml:space="preserve"> Brațul Chilia este cel mai tânăr și mai lung (120 km) și transportă cea mai mare cantitate de apă. În zona costieră, brațul Chilia este localizat începând din dreptul localităţii Periprava, până la gura de vărsare a brațului Musura. Brațul Sulina, localizat în zona costieră de la Mila 10 până la vărsarea în mare, este deversorul central al Dunării și este singurul braț navigabil, cu o lungime de 83,8 km. Brațul Sfântul Gheorghe, localizat în zona costieră aproximativ din dreptul localităţii Murighiol până la vărsare, este cel mai sudic și mai vechi braț din Delta Dunării, cu o lungime de 108 km, suferind și el, de-a lungul timpului, modificări prin rectificarea meandrelor sale (Tiron, 2010). Înainte de vărsare, din brațul Sfântu Gheorghe se desprinde un alt braț, pe partea dreaptă, care, la rândul său, se bifurcă în Gârla de Mijloc și Gârla Turcească, ambele debușând într-un golf - Meleaua Sacalin.</w:t>
      </w:r>
    </w:p>
    <w:p w14:paraId="7339B116" w14:textId="77777777" w:rsidR="00670FD4" w:rsidRDefault="00670FD4" w:rsidP="00670FD4">
      <w:pPr>
        <w:spacing w:before="0"/>
        <w:ind w:firstLine="567"/>
        <w:rPr>
          <w:rFonts w:eastAsia="Times New Roman" w:cs="Times New Roman"/>
        </w:rPr>
      </w:pPr>
      <w:r>
        <w:rPr>
          <w:rFonts w:eastAsia="Times New Roman" w:cs="Times New Roman"/>
        </w:rPr>
        <w:t>Canalele cu circulaţie activă a apei sunt reprezentate de Dunavăţ, Dranov, Lipoveni, etc., în timp ce canalele și gârlele din zone naturale cu regim liber sunt reprezentate, printre altele, de Ivancea, Crasnicol, Tărâţă-Belciug, Lejai, Palade, Buhaz-Zăton, Vătafu-Împuţita, canalul Japşa Vătafu, Gârla Macovei, Perişor, centura Lipoveni-Dranov, canal între canalele Dunavăţ şi Dranov paralel cu brațul Sfântul Gheorghe.</w:t>
      </w:r>
    </w:p>
    <w:p w14:paraId="074B9CCB" w14:textId="77777777" w:rsidR="00670FD4" w:rsidRDefault="00670FD4" w:rsidP="00670FD4">
      <w:pPr>
        <w:spacing w:before="0"/>
        <w:ind w:firstLine="567"/>
        <w:rPr>
          <w:rFonts w:eastAsia="Times New Roman" w:cs="Times New Roman"/>
        </w:rPr>
      </w:pPr>
      <w:r>
        <w:rPr>
          <w:rFonts w:eastAsia="Times New Roman" w:cs="Times New Roman"/>
        </w:rPr>
        <w:t xml:space="preserve">În ceea ce privește râurile din zona costieră, marea lor majoritate au văi înguste şi caracter intermitent şi se termină în lacuri de tip liman. Cursurile de apă mai importante din zona de studiu sunt: râul Casimcea care se varsă în lacul Taşaul şi canalul Carasu în lungul căruia s-a realizat cea mai mare parte a canalului Dunăre - Marea Neagră. </w:t>
      </w:r>
    </w:p>
    <w:p w14:paraId="7ACADEB3" w14:textId="77777777" w:rsidR="00670FD4" w:rsidRDefault="00670FD4" w:rsidP="00670FD4">
      <w:pPr>
        <w:spacing w:before="0"/>
        <w:ind w:firstLine="567"/>
        <w:rPr>
          <w:rFonts w:eastAsia="Times New Roman" w:cs="Times New Roman"/>
        </w:rPr>
      </w:pPr>
      <w:r>
        <w:rPr>
          <w:rFonts w:eastAsia="Times New Roman" w:cs="Times New Roman"/>
        </w:rPr>
        <w:lastRenderedPageBreak/>
        <w:t>Apele stagnante includ lacurile, apele costiere, lagune conectate la mare şi golfurile parţial închise. În zona deltei şi a complexului Razim-Sinoe cele mai importante lacuri sunt următoarele:</w:t>
      </w:r>
    </w:p>
    <w:p w14:paraId="53CE79C1" w14:textId="77777777" w:rsidR="00670FD4" w:rsidRDefault="00670FD4" w:rsidP="00670FD4">
      <w:pPr>
        <w:spacing w:before="0"/>
        <w:ind w:firstLine="567"/>
        <w:rPr>
          <w:rFonts w:eastAsia="Times New Roman" w:cs="Times New Roman"/>
        </w:rPr>
      </w:pPr>
      <w:r>
        <w:rPr>
          <w:rFonts w:eastAsia="Times New Roman" w:cs="Times New Roman"/>
        </w:rPr>
        <w:t>•</w:t>
      </w:r>
      <w:r>
        <w:rPr>
          <w:rFonts w:eastAsia="Times New Roman" w:cs="Times New Roman"/>
        </w:rPr>
        <w:tab/>
        <w:t>Complexul acvatic Roşu-Puiu: lacurile Roșu, Roșuleț, Lumina, Rotund-Puiuleţ, Vătafu, Erenciuc, Bondarului, Potcoava 2;</w:t>
      </w:r>
    </w:p>
    <w:p w14:paraId="3321BD5A" w14:textId="77777777" w:rsidR="00670FD4" w:rsidRDefault="00670FD4" w:rsidP="00670FD4">
      <w:pPr>
        <w:spacing w:before="0"/>
        <w:ind w:firstLine="567"/>
        <w:rPr>
          <w:rFonts w:eastAsia="Times New Roman" w:cs="Times New Roman"/>
        </w:rPr>
      </w:pPr>
      <w:r>
        <w:rPr>
          <w:rFonts w:eastAsia="Times New Roman" w:cs="Times New Roman"/>
        </w:rPr>
        <w:t>•</w:t>
      </w:r>
      <w:r>
        <w:rPr>
          <w:rFonts w:eastAsia="Times New Roman" w:cs="Times New Roman"/>
        </w:rPr>
        <w:tab/>
        <w:t>Complexul acvatic Gorgova-Uzlina: lacurile Uzlina, Isac, Isăcel, Cuibul cu Lebede, Pojarnia, Taranova;</w:t>
      </w:r>
    </w:p>
    <w:p w14:paraId="3069F02D" w14:textId="77777777" w:rsidR="00670FD4" w:rsidRDefault="00670FD4" w:rsidP="00670FD4">
      <w:pPr>
        <w:spacing w:before="0"/>
        <w:ind w:firstLine="567"/>
        <w:rPr>
          <w:rFonts w:eastAsia="Times New Roman" w:cs="Times New Roman"/>
        </w:rPr>
      </w:pPr>
      <w:r>
        <w:rPr>
          <w:rFonts w:eastAsia="Times New Roman" w:cs="Times New Roman"/>
        </w:rPr>
        <w:t>•</w:t>
      </w:r>
      <w:r>
        <w:rPr>
          <w:rFonts w:eastAsia="Times New Roman" w:cs="Times New Roman"/>
        </w:rPr>
        <w:tab/>
        <w:t>Complexul acvatic Dunavăţ-Dranov: lacurile Dranov, Belciug, Zătonul Mare (lagună conectată la mare);</w:t>
      </w:r>
    </w:p>
    <w:p w14:paraId="6B2FB6F3" w14:textId="77777777" w:rsidR="00670FD4" w:rsidRDefault="00670FD4" w:rsidP="00670FD4">
      <w:pPr>
        <w:spacing w:before="0"/>
        <w:ind w:firstLine="567"/>
        <w:rPr>
          <w:rFonts w:eastAsia="Times New Roman" w:cs="Times New Roman"/>
        </w:rPr>
      </w:pPr>
      <w:r>
        <w:rPr>
          <w:rFonts w:eastAsia="Times New Roman" w:cs="Times New Roman"/>
        </w:rPr>
        <w:t>•</w:t>
      </w:r>
      <w:r>
        <w:rPr>
          <w:rFonts w:eastAsia="Times New Roman" w:cs="Times New Roman"/>
        </w:rPr>
        <w:tab/>
        <w:t>Lacul Răducului;</w:t>
      </w:r>
    </w:p>
    <w:p w14:paraId="208A88DB" w14:textId="77777777" w:rsidR="00670FD4" w:rsidRDefault="00670FD4" w:rsidP="00670FD4">
      <w:pPr>
        <w:spacing w:before="0"/>
        <w:ind w:firstLine="567"/>
        <w:rPr>
          <w:rFonts w:eastAsia="Times New Roman" w:cs="Times New Roman"/>
        </w:rPr>
      </w:pPr>
      <w:r>
        <w:rPr>
          <w:rFonts w:eastAsia="Times New Roman" w:cs="Times New Roman"/>
        </w:rPr>
        <w:t>•</w:t>
      </w:r>
      <w:r>
        <w:rPr>
          <w:rFonts w:eastAsia="Times New Roman" w:cs="Times New Roman"/>
        </w:rPr>
        <w:tab/>
        <w:t>Complexul acvatic Razim-Sinoie: lacurile Razim, Sinoe (lagună conectată la mare) cu lacurile Istria, Nuntași și Tuzla, lacul Zmeica.</w:t>
      </w:r>
    </w:p>
    <w:p w14:paraId="7DB107B5" w14:textId="77777777" w:rsidR="00670FD4" w:rsidRDefault="00670FD4" w:rsidP="00670FD4">
      <w:pPr>
        <w:spacing w:before="0"/>
        <w:ind w:firstLine="567"/>
        <w:rPr>
          <w:rFonts w:eastAsia="Times New Roman" w:cs="Times New Roman"/>
        </w:rPr>
      </w:pPr>
      <w:r>
        <w:rPr>
          <w:rFonts w:eastAsia="Times New Roman" w:cs="Times New Roman"/>
        </w:rPr>
        <w:t>Cele mai importante sisteme hidrografice din sudul zonei costiere sunt: Lacul Siutghiol (S=19,56 km²; V=90-215 mil. m³), Limanul Tăbăcăria (S=10,68 km²; V=2,032 mil. m³), Limanul Agigea (S=0,35 km²) care are un bazin de recepție de 42,2 km², Limanul Techirghiol (S=10,68 Km²; V=50 mil. m³; h=9 m) este cel mai întins liman fluvio-marin din zona de litoral, Limanul Tatlageac (S=1,41 km</w:t>
      </w:r>
      <w:r>
        <w:rPr>
          <w:rFonts w:eastAsia="Times New Roman" w:cs="Times New Roman"/>
          <w:vertAlign w:val="superscript"/>
        </w:rPr>
        <w:t>2</w:t>
      </w:r>
      <w:r>
        <w:rPr>
          <w:rFonts w:eastAsia="Times New Roman" w:cs="Times New Roman"/>
        </w:rPr>
        <w:t>, V=2,2 mil.m</w:t>
      </w:r>
      <w:r>
        <w:rPr>
          <w:rFonts w:eastAsia="Times New Roman" w:cs="Times New Roman"/>
          <w:vertAlign w:val="superscript"/>
        </w:rPr>
        <w:t>3</w:t>
      </w:r>
      <w:r>
        <w:rPr>
          <w:rFonts w:eastAsia="Times New Roman" w:cs="Times New Roman"/>
        </w:rPr>
        <w:t>) și limanul Mangalia (S=2,61 km</w:t>
      </w:r>
      <w:r>
        <w:rPr>
          <w:rFonts w:eastAsia="Times New Roman" w:cs="Times New Roman"/>
          <w:vertAlign w:val="superscript"/>
        </w:rPr>
        <w:t>2</w:t>
      </w:r>
      <w:r>
        <w:rPr>
          <w:rFonts w:eastAsia="Times New Roman" w:cs="Times New Roman"/>
        </w:rPr>
        <w:t>, V=15 mil.m</w:t>
      </w:r>
      <w:r>
        <w:rPr>
          <w:rFonts w:eastAsia="Times New Roman" w:cs="Times New Roman"/>
          <w:vertAlign w:val="superscript"/>
        </w:rPr>
        <w:t>3</w:t>
      </w:r>
      <w:r>
        <w:rPr>
          <w:rFonts w:eastAsia="Times New Roman" w:cs="Times New Roman"/>
        </w:rPr>
        <w:t>).</w:t>
      </w:r>
    </w:p>
    <w:p w14:paraId="0B8195E8" w14:textId="77777777" w:rsidR="00670FD4" w:rsidRDefault="00670FD4" w:rsidP="00670FD4">
      <w:pPr>
        <w:spacing w:before="0"/>
        <w:ind w:firstLine="567"/>
        <w:rPr>
          <w:rFonts w:eastAsia="Times New Roman" w:cs="Times New Roman"/>
        </w:rPr>
      </w:pPr>
      <w:r>
        <w:rPr>
          <w:rFonts w:eastAsia="Times New Roman" w:cs="Times New Roman"/>
        </w:rPr>
        <w:t>Apele marine, exceptând Golful Musura şi Meleaua Sfântu Gheorghe (golfuri parţial închise) corespund platformei continentale românești. Partea marină a zonei costiere, așa cum este definită în cadrul acestui studiu, cuprinde apele teritoriale, de la linia de bază pâna la 12 mile marine în larg. Principalele caracteristici hidrologice:</w:t>
      </w:r>
    </w:p>
    <w:p w14:paraId="05608F2C" w14:textId="77777777" w:rsidR="00670FD4" w:rsidRDefault="00670FD4" w:rsidP="00670FD4">
      <w:pPr>
        <w:spacing w:before="0"/>
        <w:rPr>
          <w:rFonts w:eastAsia="Times New Roman" w:cs="Times New Roman"/>
          <w:i/>
        </w:rPr>
      </w:pPr>
      <w:r>
        <w:rPr>
          <w:rFonts w:eastAsia="Times New Roman" w:cs="Times New Roman"/>
          <w:i/>
        </w:rPr>
        <w:t>Curenții marini</w:t>
      </w:r>
    </w:p>
    <w:p w14:paraId="64612CB3" w14:textId="77777777" w:rsidR="00670FD4" w:rsidRDefault="00670FD4" w:rsidP="00670FD4">
      <w:pPr>
        <w:spacing w:before="0"/>
        <w:ind w:firstLine="567"/>
        <w:rPr>
          <w:rFonts w:eastAsia="Times New Roman" w:cs="Times New Roman"/>
        </w:rPr>
      </w:pPr>
      <w:r>
        <w:rPr>
          <w:rFonts w:eastAsia="Times New Roman" w:cs="Times New Roman"/>
        </w:rPr>
        <w:t xml:space="preserve">Curenții de pe litoralul românesc al Mării Negre sunt generați de către vânt, de apele descărcate în mare la gurile Dunării, de morfologia fundului mării și, în apropierea țărmului, de către valuri. Forța pe care vântul o transmite prin frecare suprafeței mării, pune în mișcare masele de apă de suprafață sub forma unor curenți generați de vânt. La rândul lor, acești curenți sunt influențați de rotația Pământului prin accelerația Coriolis, care în emisfera nordică deviază curenții pe direcție orară (în sensul acelor de ceasornic). </w:t>
      </w:r>
    </w:p>
    <w:p w14:paraId="7EFCC530" w14:textId="77777777" w:rsidR="00670FD4" w:rsidRDefault="00670FD4" w:rsidP="00670FD4">
      <w:pPr>
        <w:spacing w:before="0"/>
        <w:ind w:firstLine="567"/>
        <w:rPr>
          <w:rFonts w:eastAsia="Times New Roman" w:cs="Times New Roman"/>
        </w:rPr>
      </w:pPr>
      <w:r>
        <w:rPr>
          <w:rFonts w:eastAsia="Times New Roman" w:cs="Times New Roman"/>
        </w:rPr>
        <w:t xml:space="preserve">Pe timp calm, curenții de suprafață sunt generați de curenții fluviali din gurile Dunării. În aceste condiții curenții fluviali difuzează în mare sub formă de evantaiuri de jeturi de apă dulce, abătute spre dreapta de forța Coriolis, apărând astfel în stratul de suprafață al mării un câmp de curenți cu sensul de scurgere al apei orientat spre sud. Intensitatea curenților fluviali descrește pe măsură ce aceștia pătrund în mare, în urma amestecurilor maselor de apă (și, implicit, a depărtării de gurile Dunării), devenind practic nuli la câțiva kilometri depărtare de gurile de vărsare ale Dunării. </w:t>
      </w:r>
    </w:p>
    <w:p w14:paraId="4225AD6F" w14:textId="77777777" w:rsidR="00670FD4" w:rsidRDefault="00670FD4" w:rsidP="00670FD4">
      <w:pPr>
        <w:spacing w:before="0"/>
        <w:ind w:firstLine="567"/>
        <w:rPr>
          <w:rFonts w:eastAsia="Times New Roman" w:cs="Times New Roman"/>
        </w:rPr>
      </w:pPr>
      <w:r>
        <w:rPr>
          <w:rFonts w:eastAsia="Times New Roman" w:cs="Times New Roman"/>
        </w:rPr>
        <w:t xml:space="preserve">În zona influențată de către curenții fluviali, în straturile mai adânci ale apei, se formează curenți slabi compensatori, de sens opus direcției curenților de suprafață. Regimul curenților compensatori este puternic influențat de diferențele de temperatură și salinitate în sezonul cald </w:t>
      </w:r>
      <w:r>
        <w:rPr>
          <w:rFonts w:eastAsia="Times New Roman" w:cs="Times New Roman"/>
        </w:rPr>
        <w:lastRenderedPageBreak/>
        <w:t>(lunile mai-septembrie). Dincolo de zona de influență a curenților fluviali, în perioadele de calm atmosferic, există un curent permanent dirijat spre sud cu viteze de circa 5-10 cm/s care se deplasează pe o fâșie litorală extinsă până la o distanță de circa 20-40 km. față de țărm. În această fâșie de larg, există concomitent un contracurent de fund mult mai slab față de cel de la suprafață, dirijat spre nord. Vânturile cu viteze mai mari de 5 m/s perturbă sistemul de curenți permanenți, formând curenți de vânt și curenți periodici. Durata de formare a curenților de vânt este foarte scurtă (câteva ore), după cum durata de stingere este ceva mai mare (de zeci de ore).</w:t>
      </w:r>
    </w:p>
    <w:p w14:paraId="3A7B63DA" w14:textId="77777777" w:rsidR="00670FD4" w:rsidRDefault="00670FD4" w:rsidP="00670FD4">
      <w:pPr>
        <w:spacing w:before="0"/>
        <w:rPr>
          <w:rFonts w:eastAsia="Times New Roman" w:cs="Times New Roman"/>
          <w:i/>
        </w:rPr>
      </w:pPr>
      <w:r>
        <w:rPr>
          <w:rFonts w:eastAsia="Times New Roman" w:cs="Times New Roman"/>
          <w:i/>
        </w:rPr>
        <w:t>Valuri</w:t>
      </w:r>
    </w:p>
    <w:p w14:paraId="2AB26495" w14:textId="77777777" w:rsidR="00670FD4" w:rsidRDefault="00670FD4" w:rsidP="00670FD4">
      <w:pPr>
        <w:spacing w:before="0"/>
        <w:ind w:firstLine="567"/>
        <w:rPr>
          <w:rFonts w:eastAsia="Times New Roman" w:cs="Times New Roman"/>
        </w:rPr>
      </w:pPr>
      <w:r>
        <w:rPr>
          <w:rFonts w:eastAsia="Times New Roman" w:cs="Times New Roman"/>
        </w:rPr>
        <w:t xml:space="preserve">Prin poziția sa geografică, zona costieră a litoralului românesc este expusă vânturilor producătoare de valuri. De asemenea, condițiile fizico-geografice ale zonei de larg, cu adâncimi de peste 30 m și cu întinderi libere de oglinzi de apă pe sute de kilometrii, permit producerea de valuri mari. Sub acest aspect, calmul atmosferic în zona litorală românească este în medie de circa 6,7 % din an (mai mare în sudul litoralului). Vânturile producătoare de valuri sunt cele cu viteze mai mari de 3 m/s. Aceste vânturi au o durată medie de circa 82 % din an. Sub acțiunea acestor vânturi se produc valuri de vânt și de hulă (rămase după diminuarea sau încetarea acțiunii vânturilor) în zona litorală românească. Calmul stării Mării Negre în zona litorală românească, este în medie de circa 1,9 % pe an, restul de timp fiind valuri de vânt circa 50,7 %, valuri de hulă cca 20,1 % și valuri combinate (de vânt și de hulă), circa 27,3 %. </w:t>
      </w:r>
    </w:p>
    <w:p w14:paraId="18C97F6C" w14:textId="77777777" w:rsidR="00670FD4" w:rsidRDefault="00670FD4" w:rsidP="00670FD4">
      <w:pPr>
        <w:spacing w:before="0"/>
        <w:ind w:firstLine="567"/>
        <w:rPr>
          <w:rFonts w:eastAsia="Times New Roman" w:cs="Times New Roman"/>
        </w:rPr>
      </w:pPr>
      <w:r>
        <w:rPr>
          <w:rFonts w:eastAsia="Times New Roman" w:cs="Times New Roman"/>
        </w:rPr>
        <w:t>Înălțimea medie a valurilor de larg pe termen lung crește de la nord (0,85 m) la sud (0,95 m) în lungul coastei românești. Înălțimea maximă a valurilor este de asemenea mai mare în partea sudică decât în partea nordică a coastei. Direcțiile vântului și valurilor în larg sunt variabile în decursul anului. În orice caz, există diferențe în intensitatea vântului și în regimul valurilor pentru diferite anotimpuri. Cea mai calmă perioadă a anului este în lunile de vară în timp ce, cea mai agitată perioadă este în lunile de iarnă, perioada noiembrie-martie. Mai mult, valurile înalte din direcția sudică sunt în mod caracteristic asociate sezonului de iarnă.</w:t>
      </w:r>
    </w:p>
    <w:p w14:paraId="052A1D2B" w14:textId="77777777" w:rsidR="00670FD4" w:rsidRDefault="00670FD4" w:rsidP="00670FD4">
      <w:pPr>
        <w:pStyle w:val="Heading3"/>
      </w:pPr>
      <w:bookmarkStart w:id="61" w:name="_Toc150501464"/>
      <w:bookmarkStart w:id="62" w:name="_Toc171084830"/>
      <w:r>
        <w:t>2.4.2 Calitatea aerului, apelor și solurilor</w:t>
      </w:r>
      <w:bookmarkEnd w:id="61"/>
      <w:bookmarkEnd w:id="62"/>
    </w:p>
    <w:p w14:paraId="3BADA050" w14:textId="77777777" w:rsidR="00670FD4" w:rsidRDefault="00670FD4" w:rsidP="00670FD4">
      <w:pPr>
        <w:pStyle w:val="Heading4"/>
      </w:pPr>
      <w:bookmarkStart w:id="63" w:name="_Toc171084831"/>
      <w:r>
        <w:t>2.4.2.1 Aer</w:t>
      </w:r>
      <w:bookmarkEnd w:id="63"/>
    </w:p>
    <w:p w14:paraId="0EEBDE8E" w14:textId="77777777" w:rsidR="00670FD4" w:rsidRDefault="00670FD4" w:rsidP="00670FD4">
      <w:pPr>
        <w:spacing w:before="0"/>
        <w:ind w:firstLine="567"/>
        <w:rPr>
          <w:rFonts w:eastAsia="Times New Roman" w:cs="Times New Roman"/>
        </w:rPr>
      </w:pPr>
      <w:r>
        <w:rPr>
          <w:rFonts w:eastAsia="Times New Roman" w:cs="Times New Roman"/>
        </w:rPr>
        <w:t>Situația curentă a calității aerului este evaluată pe baza datelor furnizate de către Agențiile Județene de Protecție a Mediului Tulcea și Constanța. Dacă în partea de nord a zonei costiere nu există stații fixe de monitorizare a calității aerului, cele mai apropiate fiind amplasate la Tulcea (două stații), în partea de sud datele sunt furnizate de șase stații (trei în Constanța, două în Năvodari și una în Mangalia), care fac parte din Reţeaua Naţională de Monitorizare a Calităţii Aerului. Poluanţii monitorizaţi sunt cei prevăzuţi în legislaţia română, transpusă din cea europeană, valorile limită impuse prin Legea nr.104/2011 privind calitatea aerului înconjurător având scopul de a evita, preveni şi reduce efectele nocive asupra sănătăţii umane şi a mediului înconjurător.</w:t>
      </w:r>
    </w:p>
    <w:p w14:paraId="09C597A0" w14:textId="77777777" w:rsidR="00670FD4" w:rsidRDefault="00670FD4" w:rsidP="00670FD4">
      <w:pPr>
        <w:spacing w:before="0"/>
        <w:ind w:firstLine="567"/>
        <w:rPr>
          <w:rFonts w:eastAsia="Times New Roman" w:cs="Times New Roman"/>
        </w:rPr>
      </w:pPr>
      <w:r>
        <w:rPr>
          <w:rFonts w:eastAsia="Times New Roman" w:cs="Times New Roman"/>
        </w:rPr>
        <w:t>Datele furnizate de AJPM Constanța și Tulcea pentru anul 2021 arată că, în ceea ce privește dioxidul de sulf (SO</w:t>
      </w:r>
      <w:r>
        <w:rPr>
          <w:rFonts w:eastAsia="Times New Roman" w:cs="Times New Roman"/>
          <w:vertAlign w:val="subscript"/>
        </w:rPr>
        <w:t>2</w:t>
      </w:r>
      <w:r>
        <w:rPr>
          <w:rFonts w:eastAsia="Times New Roman" w:cs="Times New Roman"/>
        </w:rPr>
        <w:t>), mediile anuale în 2021 determinate în zonele monitorizate s-au situat între 5,52 și 8,85 μg/m</w:t>
      </w:r>
      <w:r>
        <w:rPr>
          <w:rFonts w:eastAsia="Times New Roman" w:cs="Times New Roman"/>
          <w:vertAlign w:val="superscript"/>
        </w:rPr>
        <w:t>3</w:t>
      </w:r>
      <w:r>
        <w:rPr>
          <w:rFonts w:eastAsia="Times New Roman" w:cs="Times New Roman"/>
        </w:rPr>
        <w:t xml:space="preserve">, mai ridicate în partea sudică a litoralului, dar fără a exista depășiri ale valorilor orare și a celor zilnice admise (350 μg, respectiv 125 μg). </w:t>
      </w:r>
    </w:p>
    <w:p w14:paraId="7C5684C7" w14:textId="77777777" w:rsidR="00670FD4" w:rsidRDefault="00670FD4" w:rsidP="00670FD4">
      <w:pPr>
        <w:spacing w:before="0"/>
        <w:ind w:firstLine="567"/>
        <w:rPr>
          <w:rFonts w:eastAsia="Times New Roman" w:cs="Times New Roman"/>
        </w:rPr>
      </w:pPr>
      <w:r>
        <w:rPr>
          <w:rFonts w:eastAsia="Times New Roman" w:cs="Times New Roman"/>
        </w:rPr>
        <w:lastRenderedPageBreak/>
        <w:t>Monoxidul de carbon (CO) a prezentat valori mai ridicate în perioada rece a anului datorită emisiilor provenite de la încălzirea rezidenţială şi din traficul rutier, dar şi stabilităţii atmosferice, care a împiedicat dispersia poluanţilor. Valorile medii anuale s-au situat între 0,03 și 0,45 mg/m</w:t>
      </w:r>
      <w:r>
        <w:rPr>
          <w:rFonts w:eastAsia="Times New Roman" w:cs="Times New Roman"/>
          <w:vertAlign w:val="superscript"/>
        </w:rPr>
        <w:t>3</w:t>
      </w:r>
      <w:r>
        <w:rPr>
          <w:rFonts w:eastAsia="Times New Roman" w:cs="Times New Roman"/>
        </w:rPr>
        <w:t>, semnificativ mai ridicate în județul Constanța. Valorile maxime zilnice ale mediei mobile pe 8 ore pentru CO înregistrate în anul 2021 au fost, în toate zonele monitorizate, mai mici decât valoarea limită de 10 mg/m</w:t>
      </w:r>
      <w:r>
        <w:rPr>
          <w:rFonts w:eastAsia="Times New Roman" w:cs="Times New Roman"/>
          <w:vertAlign w:val="superscript"/>
        </w:rPr>
        <w:t>3</w:t>
      </w:r>
      <w:r>
        <w:rPr>
          <w:rFonts w:eastAsia="Times New Roman" w:cs="Times New Roman"/>
        </w:rPr>
        <w:t>.</w:t>
      </w:r>
    </w:p>
    <w:p w14:paraId="1E30B437" w14:textId="77777777" w:rsidR="00670FD4" w:rsidRDefault="00670FD4" w:rsidP="00670FD4">
      <w:pPr>
        <w:spacing w:before="0"/>
        <w:ind w:firstLine="567"/>
        <w:rPr>
          <w:rFonts w:eastAsia="Times New Roman" w:cs="Times New Roman"/>
        </w:rPr>
      </w:pPr>
      <w:r>
        <w:rPr>
          <w:rFonts w:eastAsia="Times New Roman" w:cs="Times New Roman"/>
        </w:rPr>
        <w:t>Dioxidul de azot (NO</w:t>
      </w:r>
      <w:r>
        <w:rPr>
          <w:rFonts w:eastAsia="Times New Roman" w:cs="Times New Roman"/>
          <w:vertAlign w:val="subscript"/>
        </w:rPr>
        <w:t>2</w:t>
      </w:r>
      <w:r>
        <w:rPr>
          <w:rFonts w:eastAsia="Times New Roman" w:cs="Times New Roman"/>
        </w:rPr>
        <w:t>) a prezentat valori medii orare sub valoarea limită orară pentru protecția sănătății umane (200 μg/m</w:t>
      </w:r>
      <w:r>
        <w:rPr>
          <w:rFonts w:eastAsia="Times New Roman" w:cs="Times New Roman"/>
          <w:vertAlign w:val="superscript"/>
        </w:rPr>
        <w:t>3</w:t>
      </w:r>
      <w:r>
        <w:rPr>
          <w:rFonts w:eastAsia="Times New Roman" w:cs="Times New Roman"/>
        </w:rPr>
        <w:t>). Ca și în cazul celorlalți indicatori, valorile medii anuale măsurate în județul Constanța (15,91-30,03 μg/m</w:t>
      </w:r>
      <w:r>
        <w:rPr>
          <w:rFonts w:eastAsia="Times New Roman" w:cs="Times New Roman"/>
          <w:vertAlign w:val="superscript"/>
        </w:rPr>
        <w:t>3</w:t>
      </w:r>
      <w:r>
        <w:rPr>
          <w:rFonts w:eastAsia="Times New Roman" w:cs="Times New Roman"/>
        </w:rPr>
        <w:t>) sunt mai ridicate comparativ cu cele determinate în județul Tulcea (7,12-18,12 μg/m</w:t>
      </w:r>
      <w:r>
        <w:rPr>
          <w:rFonts w:eastAsia="Times New Roman" w:cs="Times New Roman"/>
          <w:vertAlign w:val="superscript"/>
        </w:rPr>
        <w:t>3</w:t>
      </w:r>
      <w:r>
        <w:rPr>
          <w:rFonts w:eastAsia="Times New Roman" w:cs="Times New Roman"/>
        </w:rPr>
        <w:t>), dar, totuși, sub limitele maxime admise pentru protecția sănătății umane (40 μg/m</w:t>
      </w:r>
      <w:r>
        <w:rPr>
          <w:rFonts w:eastAsia="Times New Roman" w:cs="Times New Roman"/>
          <w:vertAlign w:val="superscript"/>
        </w:rPr>
        <w:t>3</w:t>
      </w:r>
      <w:r>
        <w:rPr>
          <w:rFonts w:eastAsia="Times New Roman" w:cs="Times New Roman"/>
        </w:rPr>
        <w:t>) și protecția vegetației (30 μg/m</w:t>
      </w:r>
      <w:r>
        <w:rPr>
          <w:rFonts w:eastAsia="Times New Roman" w:cs="Times New Roman"/>
          <w:vertAlign w:val="superscript"/>
        </w:rPr>
        <w:t>3</w:t>
      </w:r>
      <w:r>
        <w:rPr>
          <w:rFonts w:eastAsia="Times New Roman" w:cs="Times New Roman"/>
        </w:rPr>
        <w:t>). Benzenul (C</w:t>
      </w:r>
      <w:r>
        <w:rPr>
          <w:rFonts w:eastAsia="Times New Roman" w:cs="Times New Roman"/>
          <w:vertAlign w:val="subscript"/>
        </w:rPr>
        <w:t>6</w:t>
      </w:r>
      <w:r>
        <w:rPr>
          <w:rFonts w:eastAsia="Times New Roman" w:cs="Times New Roman"/>
        </w:rPr>
        <w:t>H</w:t>
      </w:r>
      <w:r>
        <w:rPr>
          <w:rFonts w:eastAsia="Times New Roman" w:cs="Times New Roman"/>
          <w:vertAlign w:val="subscript"/>
        </w:rPr>
        <w:t>6</w:t>
      </w:r>
      <w:r>
        <w:rPr>
          <w:rFonts w:eastAsia="Times New Roman" w:cs="Times New Roman"/>
        </w:rPr>
        <w:t>) a prezentat în valori medii anuale cuprinse între 1,34 și 2,12 μg/m</w:t>
      </w:r>
      <w:r>
        <w:rPr>
          <w:rFonts w:eastAsia="Times New Roman" w:cs="Times New Roman"/>
          <w:vertAlign w:val="superscript"/>
        </w:rPr>
        <w:t>3</w:t>
      </w:r>
      <w:r>
        <w:rPr>
          <w:rFonts w:eastAsia="Times New Roman" w:cs="Times New Roman"/>
        </w:rPr>
        <w:t>, de asemenea, mult sub media anuală admisă (5 μg/m</w:t>
      </w:r>
      <w:r>
        <w:rPr>
          <w:rFonts w:eastAsia="Times New Roman" w:cs="Times New Roman"/>
          <w:vertAlign w:val="superscript"/>
        </w:rPr>
        <w:t>3</w:t>
      </w:r>
      <w:r>
        <w:rPr>
          <w:rFonts w:eastAsia="Times New Roman" w:cs="Times New Roman"/>
        </w:rPr>
        <w:t>).</w:t>
      </w:r>
    </w:p>
    <w:p w14:paraId="4D7E6770" w14:textId="77777777" w:rsidR="00670FD4" w:rsidRDefault="00670FD4" w:rsidP="00670FD4">
      <w:pPr>
        <w:spacing w:before="0"/>
        <w:ind w:firstLine="567"/>
        <w:rPr>
          <w:rFonts w:eastAsia="Times New Roman" w:cs="Times New Roman"/>
        </w:rPr>
      </w:pPr>
      <w:r>
        <w:rPr>
          <w:rFonts w:eastAsia="Times New Roman" w:cs="Times New Roman"/>
        </w:rPr>
        <w:t>Măsurătorile ozonului troposferic efectuate în 2021 nu au relevat probleme deosebite, valorile orare înregistrate nedepășind pragul de informare (180 μg/m</w:t>
      </w:r>
      <w:r>
        <w:rPr>
          <w:rFonts w:eastAsia="Times New Roman" w:cs="Times New Roman"/>
          <w:vertAlign w:val="superscript"/>
        </w:rPr>
        <w:t>3</w:t>
      </w:r>
      <w:r>
        <w:rPr>
          <w:rFonts w:eastAsia="Times New Roman" w:cs="Times New Roman"/>
        </w:rPr>
        <w:t>). În schimb, pulberile în suspensie-fracția PM10, au prezentat în 2021 unele depășiri ale valorii limită zilnică. Totuși, valorile medii anuale, cuprinse între 16,69 și 22,74 μg/m</w:t>
      </w:r>
      <w:r>
        <w:rPr>
          <w:rFonts w:eastAsia="Times New Roman" w:cs="Times New Roman"/>
          <w:vertAlign w:val="superscript"/>
        </w:rPr>
        <w:t>3</w:t>
      </w:r>
      <w:r>
        <w:rPr>
          <w:rFonts w:eastAsia="Times New Roman" w:cs="Times New Roman"/>
        </w:rPr>
        <w:t xml:space="preserve"> (ușor mai ridicate în județul Constanța) nu au depășit valoarea limită anuală pentru protecția sănătății umane (40 μg/m</w:t>
      </w:r>
      <w:r>
        <w:rPr>
          <w:rFonts w:eastAsia="Times New Roman" w:cs="Times New Roman"/>
          <w:vertAlign w:val="superscript"/>
        </w:rPr>
        <w:t>3</w:t>
      </w:r>
      <w:r>
        <w:rPr>
          <w:rFonts w:eastAsia="Times New Roman" w:cs="Times New Roman"/>
        </w:rPr>
        <w:t xml:space="preserve">). </w:t>
      </w:r>
    </w:p>
    <w:p w14:paraId="05531C24" w14:textId="77777777" w:rsidR="00670FD4" w:rsidRDefault="00670FD4" w:rsidP="00670FD4">
      <w:pPr>
        <w:spacing w:before="0"/>
        <w:ind w:firstLine="567"/>
        <w:rPr>
          <w:rFonts w:eastAsia="Times New Roman" w:cs="Times New Roman"/>
        </w:rPr>
      </w:pPr>
      <w:r>
        <w:rPr>
          <w:rFonts w:eastAsia="Times New Roman" w:cs="Times New Roman"/>
        </w:rPr>
        <w:t>Metalele grele (Pb, As, Cd și Ni), prezente în aer sub forma de aerosoli, a căror dimensiuni influenţează posibilitatea de a fi transportate la distanţă, au înregistrat valori medii anuale (Pb - 0,05 - 0,06 μg/m</w:t>
      </w:r>
      <w:r>
        <w:rPr>
          <w:rFonts w:eastAsia="Times New Roman" w:cs="Times New Roman"/>
          <w:vertAlign w:val="superscript"/>
        </w:rPr>
        <w:t>3</w:t>
      </w:r>
      <w:r>
        <w:rPr>
          <w:rFonts w:eastAsia="Times New Roman" w:cs="Times New Roman"/>
        </w:rPr>
        <w:t>, As - 0,36 - 0,69 ng/m3, Cd - 0,27 - 0,35 ng/m</w:t>
      </w:r>
      <w:r>
        <w:rPr>
          <w:rFonts w:eastAsia="Times New Roman" w:cs="Times New Roman"/>
          <w:vertAlign w:val="superscript"/>
        </w:rPr>
        <w:t>3</w:t>
      </w:r>
      <w:r>
        <w:rPr>
          <w:rFonts w:eastAsia="Times New Roman" w:cs="Times New Roman"/>
        </w:rPr>
        <w:t xml:space="preserve"> și Ni - 1,80-2,36 ng/m</w:t>
      </w:r>
      <w:r>
        <w:rPr>
          <w:rFonts w:eastAsia="Times New Roman" w:cs="Times New Roman"/>
          <w:vertAlign w:val="superscript"/>
        </w:rPr>
        <w:t>3</w:t>
      </w:r>
      <w:r>
        <w:rPr>
          <w:rFonts w:eastAsia="Times New Roman" w:cs="Times New Roman"/>
        </w:rPr>
        <w:t>), cu mult sub valorile limită prevăzute în Legea nr. 104/2011 (Pb - 0,5 μg/m</w:t>
      </w:r>
      <w:r>
        <w:rPr>
          <w:rFonts w:eastAsia="Times New Roman" w:cs="Times New Roman"/>
          <w:vertAlign w:val="superscript"/>
        </w:rPr>
        <w:t>3</w:t>
      </w:r>
      <w:r>
        <w:rPr>
          <w:rFonts w:eastAsia="Times New Roman" w:cs="Times New Roman"/>
        </w:rPr>
        <w:t>, Cd - 5 ng/m</w:t>
      </w:r>
      <w:r>
        <w:rPr>
          <w:rFonts w:eastAsia="Times New Roman" w:cs="Times New Roman"/>
          <w:vertAlign w:val="superscript"/>
        </w:rPr>
        <w:t>3</w:t>
      </w:r>
      <w:r>
        <w:rPr>
          <w:rFonts w:eastAsia="Times New Roman" w:cs="Times New Roman"/>
        </w:rPr>
        <w:t>, As - 6 ng/m</w:t>
      </w:r>
      <w:r>
        <w:rPr>
          <w:rFonts w:eastAsia="Times New Roman" w:cs="Times New Roman"/>
          <w:vertAlign w:val="superscript"/>
        </w:rPr>
        <w:t>3</w:t>
      </w:r>
      <w:r>
        <w:rPr>
          <w:rFonts w:eastAsia="Times New Roman" w:cs="Times New Roman"/>
        </w:rPr>
        <w:t>și Ni - 20 ng/m</w:t>
      </w:r>
      <w:r>
        <w:rPr>
          <w:rFonts w:eastAsia="Times New Roman" w:cs="Times New Roman"/>
          <w:vertAlign w:val="superscript"/>
        </w:rPr>
        <w:t>3</w:t>
      </w:r>
      <w:r>
        <w:rPr>
          <w:rFonts w:eastAsia="Times New Roman" w:cs="Times New Roman"/>
        </w:rPr>
        <w:t>).</w:t>
      </w:r>
    </w:p>
    <w:p w14:paraId="606B4C7F" w14:textId="77777777" w:rsidR="00670FD4" w:rsidRDefault="00670FD4" w:rsidP="00670FD4">
      <w:pPr>
        <w:spacing w:before="0"/>
        <w:ind w:firstLine="567"/>
        <w:rPr>
          <w:rFonts w:eastAsia="Times New Roman" w:cs="Times New Roman"/>
        </w:rPr>
      </w:pPr>
      <w:r>
        <w:rPr>
          <w:rFonts w:eastAsia="Times New Roman" w:cs="Times New Roman"/>
        </w:rPr>
        <w:t>Din raportările Agențiilor Județene de Protecție a Mediului reiese, în unele cazuri, o lipsă de continuitate a măsurătorilor ceea ce alterează valorile medii anuale calculate, precum și modele de prognoză a dispersiei poluanților în atmosferă.</w:t>
      </w:r>
    </w:p>
    <w:p w14:paraId="0F627F8D" w14:textId="77777777" w:rsidR="00670FD4" w:rsidRDefault="00670FD4" w:rsidP="00670FD4">
      <w:pPr>
        <w:pStyle w:val="Heading4"/>
        <w:spacing w:before="0" w:after="120"/>
      </w:pPr>
      <w:bookmarkStart w:id="64" w:name="_Toc171084832"/>
      <w:r>
        <w:t>2.4.2.2 Ape</w:t>
      </w:r>
      <w:bookmarkEnd w:id="64"/>
    </w:p>
    <w:p w14:paraId="50C40EC7" w14:textId="77777777" w:rsidR="00670FD4" w:rsidRDefault="00670FD4" w:rsidP="00670FD4">
      <w:pPr>
        <w:spacing w:before="0"/>
        <w:rPr>
          <w:rFonts w:eastAsia="Times New Roman" w:cs="Times New Roman"/>
          <w:i/>
        </w:rPr>
      </w:pPr>
      <w:r>
        <w:rPr>
          <w:rFonts w:eastAsia="Times New Roman" w:cs="Times New Roman"/>
          <w:i/>
        </w:rPr>
        <w:t>Ape subterane</w:t>
      </w:r>
    </w:p>
    <w:p w14:paraId="0C77B7DF" w14:textId="77777777" w:rsidR="00670FD4" w:rsidRDefault="00670FD4" w:rsidP="00670FD4">
      <w:pPr>
        <w:spacing w:before="0"/>
        <w:ind w:firstLine="567"/>
        <w:rPr>
          <w:rFonts w:eastAsia="Times New Roman" w:cs="Times New Roman"/>
        </w:rPr>
      </w:pPr>
      <w:r>
        <w:rPr>
          <w:rFonts w:eastAsia="Times New Roman" w:cs="Times New Roman"/>
        </w:rPr>
        <w:t xml:space="preserve">În zona costieră sunt prezente 7 corpuri de ape subterane din totalul celor 10 de la nivelul Dobrogei. </w:t>
      </w:r>
      <w:r>
        <w:rPr>
          <w:rFonts w:eastAsia="Times New Roman" w:cs="Times New Roman"/>
          <w:color w:val="000000"/>
        </w:rPr>
        <w:t xml:space="preserve">În Tabelul 2.4.2.2.1, sunt sintetizate, conform Planului de Management actualizat al fluviului Dunărea, Deltei Dunării, spațiului </w:t>
      </w:r>
      <w:r>
        <w:rPr>
          <w:rFonts w:eastAsia="Times New Roman" w:cs="Times New Roman"/>
        </w:rPr>
        <w:t>hidrografic</w:t>
      </w:r>
      <w:r>
        <w:rPr>
          <w:rFonts w:eastAsia="Times New Roman" w:cs="Times New Roman"/>
          <w:color w:val="000000"/>
        </w:rPr>
        <w:t xml:space="preserve"> Dobrogea și apele costiere (2022-2027) datele privind caracteristicile geologice/hidrogeologice, utilizarea apei, sursele de poluare și caracterul transfrontalier al corpurilor de apă subterane.</w:t>
      </w:r>
    </w:p>
    <w:p w14:paraId="67D595BD" w14:textId="77777777" w:rsidR="00670FD4" w:rsidRDefault="00670FD4" w:rsidP="00670FD4">
      <w:pPr>
        <w:ind w:firstLine="567"/>
        <w:rPr>
          <w:rFonts w:eastAsia="Times New Roman" w:cs="Times New Roman"/>
        </w:rPr>
      </w:pPr>
    </w:p>
    <w:p w14:paraId="07DE688D" w14:textId="77777777" w:rsidR="00670FD4" w:rsidRDefault="00670FD4" w:rsidP="00670FD4">
      <w:pPr>
        <w:jc w:val="center"/>
        <w:rPr>
          <w:rFonts w:eastAsia="Times New Roman" w:cs="Times New Roman"/>
        </w:rPr>
      </w:pPr>
      <w:bookmarkStart w:id="65" w:name="_heading=h.gjdgxs" w:colFirst="0" w:colLast="0"/>
      <w:bookmarkEnd w:id="65"/>
      <w:r>
        <w:rPr>
          <w:rFonts w:eastAsia="Times New Roman" w:cs="Times New Roman"/>
          <w:b/>
          <w:color w:val="000000"/>
        </w:rPr>
        <w:t>Tabel 2.4.2.2.1 Corpurile de apă subterane de la nivelul zonei costiere (</w:t>
      </w:r>
      <w:r>
        <w:rPr>
          <w:rFonts w:eastAsia="Times New Roman" w:cs="Times New Roman"/>
          <w:b/>
          <w:i/>
          <w:color w:val="000000"/>
        </w:rPr>
        <w:t xml:space="preserve">sursa Planul de Management actualizat al fluviului Dunărea, Deltei Dunării, spațiului </w:t>
      </w:r>
      <w:r>
        <w:rPr>
          <w:rFonts w:eastAsia="Times New Roman" w:cs="Times New Roman"/>
          <w:b/>
          <w:i/>
        </w:rPr>
        <w:t>hidrografic</w:t>
      </w:r>
      <w:r>
        <w:rPr>
          <w:rFonts w:eastAsia="Times New Roman" w:cs="Times New Roman"/>
          <w:b/>
          <w:i/>
          <w:color w:val="000000"/>
        </w:rPr>
        <w:t xml:space="preserve"> Dobrogea și apele costiere (2022-2027), aprobat prin HG 392/2023)</w:t>
      </w:r>
    </w:p>
    <w:tbl>
      <w:tblPr>
        <w:tblW w:w="9204" w:type="dxa"/>
        <w:tblLayout w:type="fixed"/>
        <w:tblLook w:val="0400" w:firstRow="0" w:lastRow="0" w:firstColumn="0" w:lastColumn="0" w:noHBand="0" w:noVBand="1"/>
      </w:tblPr>
      <w:tblGrid>
        <w:gridCol w:w="1833"/>
        <w:gridCol w:w="992"/>
        <w:gridCol w:w="618"/>
        <w:gridCol w:w="942"/>
        <w:gridCol w:w="992"/>
        <w:gridCol w:w="709"/>
        <w:gridCol w:w="992"/>
        <w:gridCol w:w="992"/>
        <w:gridCol w:w="1134"/>
      </w:tblGrid>
      <w:tr w:rsidR="00670FD4" w14:paraId="74F2C897" w14:textId="77777777" w:rsidTr="001925BA">
        <w:trPr>
          <w:trHeight w:val="645"/>
        </w:trPr>
        <w:tc>
          <w:tcPr>
            <w:tcW w:w="1833" w:type="dxa"/>
            <w:vMerge w:val="restart"/>
            <w:tcBorders>
              <w:top w:val="single" w:sz="8" w:space="0" w:color="000000"/>
              <w:left w:val="single" w:sz="8" w:space="0" w:color="000000"/>
              <w:bottom w:val="single" w:sz="8" w:space="0" w:color="000000"/>
              <w:right w:val="single" w:sz="8" w:space="0" w:color="000000"/>
            </w:tcBorders>
            <w:shd w:val="clear" w:color="auto" w:fill="FFFFFF"/>
            <w:vAlign w:val="center"/>
          </w:tcPr>
          <w:p w14:paraId="7A5DAA7B" w14:textId="77777777" w:rsidR="00670FD4" w:rsidRDefault="00670FD4" w:rsidP="001925BA">
            <w:pPr>
              <w:spacing w:after="0"/>
              <w:jc w:val="center"/>
              <w:rPr>
                <w:rFonts w:eastAsia="Times New Roman" w:cs="Times New Roman"/>
                <w:sz w:val="18"/>
                <w:szCs w:val="18"/>
              </w:rPr>
            </w:pPr>
            <w:r>
              <w:rPr>
                <w:rFonts w:eastAsia="Times New Roman" w:cs="Times New Roman"/>
                <w:b/>
                <w:color w:val="000000"/>
                <w:sz w:val="18"/>
                <w:szCs w:val="18"/>
              </w:rPr>
              <w:t>Cod/nume</w:t>
            </w:r>
          </w:p>
          <w:p w14:paraId="766238E6" w14:textId="77777777" w:rsidR="00670FD4" w:rsidRDefault="00670FD4" w:rsidP="001925BA">
            <w:pPr>
              <w:spacing w:after="240"/>
              <w:jc w:val="center"/>
              <w:rPr>
                <w:rFonts w:eastAsia="Times New Roman" w:cs="Times New Roman"/>
                <w:sz w:val="18"/>
                <w:szCs w:val="18"/>
              </w:rPr>
            </w:pPr>
          </w:p>
        </w:tc>
        <w:tc>
          <w:tcPr>
            <w:tcW w:w="992" w:type="dxa"/>
            <w:vMerge w:val="restart"/>
            <w:tcBorders>
              <w:top w:val="single" w:sz="8" w:space="0" w:color="000000"/>
              <w:left w:val="single" w:sz="8" w:space="0" w:color="000000"/>
              <w:bottom w:val="single" w:sz="8" w:space="0" w:color="000000"/>
              <w:right w:val="single" w:sz="8" w:space="0" w:color="000000"/>
            </w:tcBorders>
            <w:shd w:val="clear" w:color="auto" w:fill="FFFFFF"/>
            <w:vAlign w:val="center"/>
          </w:tcPr>
          <w:p w14:paraId="312DD873" w14:textId="77777777" w:rsidR="00670FD4" w:rsidRDefault="00670FD4" w:rsidP="001925BA">
            <w:pPr>
              <w:spacing w:after="0"/>
              <w:ind w:firstLine="0"/>
              <w:rPr>
                <w:rFonts w:eastAsia="Times New Roman" w:cs="Times New Roman"/>
                <w:sz w:val="18"/>
                <w:szCs w:val="18"/>
              </w:rPr>
            </w:pPr>
            <w:r>
              <w:rPr>
                <w:rFonts w:eastAsia="Times New Roman" w:cs="Times New Roman"/>
                <w:b/>
                <w:color w:val="000000"/>
                <w:sz w:val="18"/>
                <w:szCs w:val="18"/>
              </w:rPr>
              <w:lastRenderedPageBreak/>
              <w:t>Suprafața</w:t>
            </w:r>
          </w:p>
          <w:p w14:paraId="46D58839" w14:textId="77777777" w:rsidR="00670FD4" w:rsidRDefault="00670FD4" w:rsidP="001925BA">
            <w:pPr>
              <w:spacing w:after="0"/>
              <w:jc w:val="center"/>
              <w:rPr>
                <w:rFonts w:eastAsia="Times New Roman" w:cs="Times New Roman"/>
                <w:sz w:val="18"/>
                <w:szCs w:val="18"/>
              </w:rPr>
            </w:pPr>
          </w:p>
        </w:tc>
        <w:tc>
          <w:tcPr>
            <w:tcW w:w="2552" w:type="dxa"/>
            <w:gridSpan w:val="3"/>
            <w:tcBorders>
              <w:top w:val="single" w:sz="8" w:space="0" w:color="000000"/>
              <w:left w:val="single" w:sz="8" w:space="0" w:color="000000"/>
              <w:bottom w:val="single" w:sz="8" w:space="0" w:color="000000"/>
              <w:right w:val="single" w:sz="8" w:space="0" w:color="000000"/>
            </w:tcBorders>
            <w:shd w:val="clear" w:color="auto" w:fill="FFFFFF"/>
            <w:vAlign w:val="center"/>
          </w:tcPr>
          <w:p w14:paraId="08D7C163" w14:textId="77777777" w:rsidR="00670FD4" w:rsidRDefault="00670FD4" w:rsidP="001925BA">
            <w:pPr>
              <w:spacing w:after="0"/>
              <w:ind w:firstLine="0"/>
              <w:rPr>
                <w:rFonts w:eastAsia="Times New Roman" w:cs="Times New Roman"/>
                <w:sz w:val="18"/>
                <w:szCs w:val="18"/>
              </w:rPr>
            </w:pPr>
            <w:r>
              <w:rPr>
                <w:rFonts w:eastAsia="Times New Roman" w:cs="Times New Roman"/>
                <w:b/>
                <w:color w:val="000000"/>
                <w:sz w:val="18"/>
                <w:szCs w:val="18"/>
              </w:rPr>
              <w:lastRenderedPageBreak/>
              <w:t>Caracteriz. geologică/ hidrogeologică.</w:t>
            </w:r>
          </w:p>
        </w:tc>
        <w:tc>
          <w:tcPr>
            <w:tcW w:w="709" w:type="dxa"/>
            <w:vMerge w:val="restart"/>
            <w:tcBorders>
              <w:top w:val="single" w:sz="8" w:space="0" w:color="000000"/>
              <w:left w:val="single" w:sz="8" w:space="0" w:color="000000"/>
              <w:bottom w:val="single" w:sz="8" w:space="0" w:color="000000"/>
              <w:right w:val="single" w:sz="8" w:space="0" w:color="000000"/>
            </w:tcBorders>
            <w:vAlign w:val="center"/>
          </w:tcPr>
          <w:p w14:paraId="58229BCD" w14:textId="77777777" w:rsidR="00670FD4" w:rsidRDefault="00670FD4" w:rsidP="001925BA">
            <w:pPr>
              <w:spacing w:after="0"/>
              <w:jc w:val="center"/>
              <w:rPr>
                <w:rFonts w:eastAsia="Times New Roman" w:cs="Times New Roman"/>
                <w:sz w:val="18"/>
                <w:szCs w:val="18"/>
              </w:rPr>
            </w:pPr>
          </w:p>
          <w:p w14:paraId="42BFE116" w14:textId="77777777" w:rsidR="00670FD4" w:rsidRDefault="00670FD4" w:rsidP="001925BA">
            <w:pPr>
              <w:spacing w:after="0"/>
              <w:ind w:firstLine="0"/>
              <w:rPr>
                <w:rFonts w:eastAsia="Times New Roman" w:cs="Times New Roman"/>
                <w:sz w:val="18"/>
                <w:szCs w:val="18"/>
              </w:rPr>
            </w:pPr>
            <w:r>
              <w:rPr>
                <w:rFonts w:eastAsia="Times New Roman" w:cs="Times New Roman"/>
                <w:b/>
                <w:color w:val="000000"/>
                <w:sz w:val="18"/>
                <w:szCs w:val="18"/>
              </w:rPr>
              <w:lastRenderedPageBreak/>
              <w:t>Utiliz. apei</w:t>
            </w:r>
          </w:p>
          <w:p w14:paraId="562AEC1F" w14:textId="77777777" w:rsidR="00670FD4" w:rsidRDefault="00670FD4" w:rsidP="001925BA">
            <w:pPr>
              <w:spacing w:after="0"/>
              <w:jc w:val="center"/>
              <w:rPr>
                <w:rFonts w:eastAsia="Times New Roman" w:cs="Times New Roman"/>
                <w:sz w:val="18"/>
                <w:szCs w:val="18"/>
              </w:rPr>
            </w:pPr>
          </w:p>
        </w:tc>
        <w:tc>
          <w:tcPr>
            <w:tcW w:w="992" w:type="dxa"/>
            <w:vMerge w:val="restart"/>
            <w:tcBorders>
              <w:top w:val="single" w:sz="8" w:space="0" w:color="000000"/>
              <w:left w:val="single" w:sz="8" w:space="0" w:color="000000"/>
              <w:bottom w:val="single" w:sz="8" w:space="0" w:color="000000"/>
              <w:right w:val="single" w:sz="8" w:space="0" w:color="000000"/>
            </w:tcBorders>
            <w:vAlign w:val="center"/>
          </w:tcPr>
          <w:p w14:paraId="47B14704" w14:textId="77777777" w:rsidR="00670FD4" w:rsidRDefault="00670FD4" w:rsidP="001925BA">
            <w:pPr>
              <w:spacing w:after="0"/>
              <w:ind w:firstLine="0"/>
              <w:rPr>
                <w:rFonts w:eastAsia="Times New Roman" w:cs="Times New Roman"/>
                <w:sz w:val="18"/>
                <w:szCs w:val="18"/>
              </w:rPr>
            </w:pPr>
            <w:r>
              <w:rPr>
                <w:rFonts w:eastAsia="Times New Roman" w:cs="Times New Roman"/>
                <w:b/>
                <w:color w:val="000000"/>
                <w:sz w:val="18"/>
                <w:szCs w:val="18"/>
              </w:rPr>
              <w:lastRenderedPageBreak/>
              <w:t>Poluatori</w:t>
            </w:r>
          </w:p>
          <w:p w14:paraId="76FE318D" w14:textId="77777777" w:rsidR="00670FD4" w:rsidRDefault="00670FD4" w:rsidP="001925BA">
            <w:pPr>
              <w:spacing w:after="0"/>
              <w:jc w:val="center"/>
              <w:rPr>
                <w:rFonts w:eastAsia="Times New Roman" w:cs="Times New Roman"/>
                <w:sz w:val="18"/>
                <w:szCs w:val="18"/>
              </w:rPr>
            </w:pPr>
          </w:p>
        </w:tc>
        <w:tc>
          <w:tcPr>
            <w:tcW w:w="992" w:type="dxa"/>
            <w:vMerge w:val="restart"/>
            <w:tcBorders>
              <w:top w:val="single" w:sz="8" w:space="0" w:color="000000"/>
              <w:left w:val="single" w:sz="8" w:space="0" w:color="000000"/>
              <w:bottom w:val="single" w:sz="8" w:space="0" w:color="000000"/>
              <w:right w:val="single" w:sz="8" w:space="0" w:color="000000"/>
            </w:tcBorders>
            <w:vAlign w:val="center"/>
          </w:tcPr>
          <w:p w14:paraId="10BFEAE8" w14:textId="77777777" w:rsidR="00670FD4" w:rsidRDefault="00670FD4" w:rsidP="001925BA">
            <w:pPr>
              <w:spacing w:after="0"/>
              <w:ind w:firstLine="0"/>
              <w:rPr>
                <w:rFonts w:eastAsia="Times New Roman" w:cs="Times New Roman"/>
                <w:sz w:val="18"/>
                <w:szCs w:val="18"/>
              </w:rPr>
            </w:pPr>
            <w:r>
              <w:rPr>
                <w:rFonts w:eastAsia="Times New Roman" w:cs="Times New Roman"/>
                <w:b/>
                <w:color w:val="000000"/>
                <w:sz w:val="18"/>
                <w:szCs w:val="18"/>
              </w:rPr>
              <w:lastRenderedPageBreak/>
              <w:t>Grad de protecție globală</w:t>
            </w:r>
          </w:p>
        </w:tc>
        <w:tc>
          <w:tcPr>
            <w:tcW w:w="1134" w:type="dxa"/>
            <w:vMerge w:val="restart"/>
            <w:tcBorders>
              <w:top w:val="single" w:sz="8" w:space="0" w:color="000000"/>
              <w:left w:val="single" w:sz="8" w:space="0" w:color="000000"/>
              <w:bottom w:val="single" w:sz="8" w:space="0" w:color="000000"/>
              <w:right w:val="single" w:sz="8" w:space="0" w:color="000000"/>
            </w:tcBorders>
            <w:vAlign w:val="center"/>
          </w:tcPr>
          <w:p w14:paraId="2DA38359" w14:textId="77777777" w:rsidR="00670FD4" w:rsidRDefault="00670FD4" w:rsidP="001925BA">
            <w:pPr>
              <w:spacing w:after="0"/>
              <w:ind w:firstLine="0"/>
              <w:rPr>
                <w:rFonts w:eastAsia="Times New Roman" w:cs="Times New Roman"/>
                <w:sz w:val="18"/>
                <w:szCs w:val="18"/>
              </w:rPr>
            </w:pPr>
            <w:r>
              <w:rPr>
                <w:rFonts w:eastAsia="Times New Roman" w:cs="Times New Roman"/>
                <w:b/>
                <w:color w:val="000000"/>
                <w:sz w:val="18"/>
                <w:szCs w:val="18"/>
              </w:rPr>
              <w:t xml:space="preserve">Transfrontalier/ </w:t>
            </w:r>
            <w:r>
              <w:rPr>
                <w:rFonts w:eastAsia="Times New Roman" w:cs="Times New Roman"/>
                <w:b/>
                <w:sz w:val="18"/>
                <w:szCs w:val="18"/>
              </w:rPr>
              <w:t>țara</w:t>
            </w:r>
          </w:p>
        </w:tc>
      </w:tr>
      <w:tr w:rsidR="00670FD4" w14:paraId="0175A0B1" w14:textId="77777777" w:rsidTr="001925BA">
        <w:trPr>
          <w:trHeight w:val="754"/>
        </w:trPr>
        <w:tc>
          <w:tcPr>
            <w:tcW w:w="1833" w:type="dxa"/>
            <w:vMerge/>
            <w:tcBorders>
              <w:top w:val="single" w:sz="8" w:space="0" w:color="000000"/>
              <w:left w:val="single" w:sz="8" w:space="0" w:color="000000"/>
              <w:bottom w:val="single" w:sz="8" w:space="0" w:color="000000"/>
              <w:right w:val="single" w:sz="8" w:space="0" w:color="000000"/>
            </w:tcBorders>
            <w:shd w:val="clear" w:color="auto" w:fill="FFFFFF"/>
            <w:vAlign w:val="center"/>
          </w:tcPr>
          <w:p w14:paraId="21065234" w14:textId="77777777" w:rsidR="00670FD4" w:rsidRDefault="00670FD4" w:rsidP="001925BA">
            <w:pPr>
              <w:widowControl w:val="0"/>
              <w:pBdr>
                <w:top w:val="nil"/>
                <w:left w:val="nil"/>
                <w:bottom w:val="nil"/>
                <w:right w:val="nil"/>
                <w:between w:val="nil"/>
              </w:pBdr>
              <w:spacing w:after="0"/>
              <w:rPr>
                <w:rFonts w:eastAsia="Times New Roman" w:cs="Times New Roman"/>
                <w:sz w:val="18"/>
                <w:szCs w:val="18"/>
              </w:rPr>
            </w:pPr>
          </w:p>
        </w:tc>
        <w:tc>
          <w:tcPr>
            <w:tcW w:w="992" w:type="dxa"/>
            <w:vMerge/>
            <w:tcBorders>
              <w:top w:val="single" w:sz="8" w:space="0" w:color="000000"/>
              <w:left w:val="single" w:sz="8" w:space="0" w:color="000000"/>
              <w:bottom w:val="single" w:sz="8" w:space="0" w:color="000000"/>
              <w:right w:val="single" w:sz="8" w:space="0" w:color="000000"/>
            </w:tcBorders>
            <w:shd w:val="clear" w:color="auto" w:fill="FFFFFF"/>
            <w:vAlign w:val="center"/>
          </w:tcPr>
          <w:p w14:paraId="0A8C466C" w14:textId="77777777" w:rsidR="00670FD4" w:rsidRDefault="00670FD4" w:rsidP="001925BA">
            <w:pPr>
              <w:widowControl w:val="0"/>
              <w:pBdr>
                <w:top w:val="nil"/>
                <w:left w:val="nil"/>
                <w:bottom w:val="nil"/>
                <w:right w:val="nil"/>
                <w:between w:val="nil"/>
              </w:pBdr>
              <w:spacing w:after="0"/>
              <w:rPr>
                <w:rFonts w:eastAsia="Times New Roman" w:cs="Times New Roman"/>
                <w:sz w:val="18"/>
                <w:szCs w:val="18"/>
              </w:rPr>
            </w:pPr>
          </w:p>
        </w:tc>
        <w:tc>
          <w:tcPr>
            <w:tcW w:w="618" w:type="dxa"/>
            <w:tcBorders>
              <w:top w:val="single" w:sz="8" w:space="0" w:color="000000"/>
              <w:left w:val="single" w:sz="8" w:space="0" w:color="000000"/>
              <w:bottom w:val="single" w:sz="8" w:space="0" w:color="000000"/>
              <w:right w:val="single" w:sz="8" w:space="0" w:color="000000"/>
            </w:tcBorders>
            <w:vAlign w:val="bottom"/>
          </w:tcPr>
          <w:p w14:paraId="4276532F" w14:textId="77777777" w:rsidR="00670FD4" w:rsidRDefault="00670FD4" w:rsidP="001925BA">
            <w:pPr>
              <w:spacing w:after="0"/>
              <w:jc w:val="center"/>
              <w:rPr>
                <w:rFonts w:eastAsia="Times New Roman" w:cs="Times New Roman"/>
                <w:sz w:val="18"/>
                <w:szCs w:val="18"/>
              </w:rPr>
            </w:pPr>
            <w:r>
              <w:rPr>
                <w:rFonts w:eastAsia="Times New Roman" w:cs="Times New Roman"/>
                <w:b/>
                <w:color w:val="000000"/>
                <w:sz w:val="18"/>
                <w:szCs w:val="18"/>
              </w:rPr>
              <w:t xml:space="preserve"> Tip</w:t>
            </w:r>
          </w:p>
          <w:p w14:paraId="50620385" w14:textId="77777777" w:rsidR="00670FD4" w:rsidRDefault="00670FD4" w:rsidP="001925BA">
            <w:pPr>
              <w:spacing w:after="0"/>
              <w:rPr>
                <w:rFonts w:eastAsia="Times New Roman" w:cs="Times New Roman"/>
                <w:sz w:val="18"/>
                <w:szCs w:val="18"/>
              </w:rPr>
            </w:pPr>
          </w:p>
        </w:tc>
        <w:tc>
          <w:tcPr>
            <w:tcW w:w="942" w:type="dxa"/>
            <w:tcBorders>
              <w:top w:val="single" w:sz="8" w:space="0" w:color="000000"/>
              <w:left w:val="single" w:sz="8" w:space="0" w:color="000000"/>
              <w:bottom w:val="single" w:sz="8" w:space="0" w:color="000000"/>
              <w:right w:val="single" w:sz="8" w:space="0" w:color="000000"/>
            </w:tcBorders>
            <w:vAlign w:val="bottom"/>
          </w:tcPr>
          <w:p w14:paraId="5B2DF02A" w14:textId="77777777" w:rsidR="00670FD4" w:rsidRDefault="00670FD4" w:rsidP="001925BA">
            <w:pPr>
              <w:spacing w:after="0"/>
              <w:ind w:firstLine="0"/>
              <w:rPr>
                <w:rFonts w:eastAsia="Times New Roman" w:cs="Times New Roman"/>
                <w:sz w:val="18"/>
                <w:szCs w:val="18"/>
              </w:rPr>
            </w:pPr>
            <w:r>
              <w:rPr>
                <w:rFonts w:eastAsia="Times New Roman" w:cs="Times New Roman"/>
                <w:b/>
                <w:color w:val="000000"/>
                <w:sz w:val="18"/>
                <w:szCs w:val="18"/>
              </w:rPr>
              <w:t>Sub presiune</w:t>
            </w:r>
          </w:p>
          <w:p w14:paraId="0C6355D9" w14:textId="77777777" w:rsidR="00670FD4" w:rsidRDefault="00670FD4" w:rsidP="001925BA">
            <w:pPr>
              <w:spacing w:after="0"/>
              <w:rPr>
                <w:rFonts w:eastAsia="Times New Roman" w:cs="Times New Roman"/>
                <w:sz w:val="18"/>
                <w:szCs w:val="18"/>
              </w:rPr>
            </w:pPr>
          </w:p>
        </w:tc>
        <w:tc>
          <w:tcPr>
            <w:tcW w:w="992" w:type="dxa"/>
            <w:tcBorders>
              <w:top w:val="single" w:sz="8" w:space="0" w:color="000000"/>
              <w:left w:val="single" w:sz="8" w:space="0" w:color="000000"/>
              <w:bottom w:val="single" w:sz="8" w:space="0" w:color="000000"/>
              <w:right w:val="single" w:sz="8" w:space="0" w:color="000000"/>
            </w:tcBorders>
            <w:vAlign w:val="bottom"/>
          </w:tcPr>
          <w:p w14:paraId="59E13076" w14:textId="77777777" w:rsidR="00670FD4" w:rsidRDefault="00670FD4" w:rsidP="001925BA">
            <w:pPr>
              <w:spacing w:after="0"/>
              <w:ind w:firstLine="0"/>
              <w:rPr>
                <w:rFonts w:eastAsia="Times New Roman" w:cs="Times New Roman"/>
                <w:sz w:val="18"/>
                <w:szCs w:val="18"/>
              </w:rPr>
            </w:pPr>
            <w:r>
              <w:rPr>
                <w:rFonts w:eastAsia="Times New Roman" w:cs="Times New Roman"/>
                <w:b/>
                <w:color w:val="000000"/>
                <w:sz w:val="18"/>
                <w:szCs w:val="18"/>
              </w:rPr>
              <w:t>Strate acop.</w:t>
            </w:r>
          </w:p>
          <w:p w14:paraId="2F0CF569" w14:textId="77777777" w:rsidR="00670FD4" w:rsidRDefault="00670FD4" w:rsidP="001925BA">
            <w:pPr>
              <w:spacing w:after="0"/>
              <w:rPr>
                <w:rFonts w:eastAsia="Times New Roman" w:cs="Times New Roman"/>
                <w:sz w:val="18"/>
                <w:szCs w:val="18"/>
              </w:rPr>
            </w:pPr>
          </w:p>
        </w:tc>
        <w:tc>
          <w:tcPr>
            <w:tcW w:w="709" w:type="dxa"/>
            <w:vMerge/>
            <w:tcBorders>
              <w:top w:val="single" w:sz="8" w:space="0" w:color="000000"/>
              <w:left w:val="single" w:sz="8" w:space="0" w:color="000000"/>
              <w:bottom w:val="single" w:sz="8" w:space="0" w:color="000000"/>
              <w:right w:val="single" w:sz="8" w:space="0" w:color="000000"/>
            </w:tcBorders>
            <w:vAlign w:val="center"/>
          </w:tcPr>
          <w:p w14:paraId="1F2F8F1E" w14:textId="77777777" w:rsidR="00670FD4" w:rsidRDefault="00670FD4" w:rsidP="001925BA">
            <w:pPr>
              <w:widowControl w:val="0"/>
              <w:pBdr>
                <w:top w:val="nil"/>
                <w:left w:val="nil"/>
                <w:bottom w:val="nil"/>
                <w:right w:val="nil"/>
                <w:between w:val="nil"/>
              </w:pBdr>
              <w:spacing w:after="0"/>
              <w:rPr>
                <w:rFonts w:eastAsia="Times New Roman" w:cs="Times New Roman"/>
                <w:sz w:val="18"/>
                <w:szCs w:val="18"/>
              </w:rPr>
            </w:pPr>
          </w:p>
        </w:tc>
        <w:tc>
          <w:tcPr>
            <w:tcW w:w="992" w:type="dxa"/>
            <w:vMerge/>
            <w:tcBorders>
              <w:top w:val="single" w:sz="8" w:space="0" w:color="000000"/>
              <w:left w:val="single" w:sz="8" w:space="0" w:color="000000"/>
              <w:bottom w:val="single" w:sz="8" w:space="0" w:color="000000"/>
              <w:right w:val="single" w:sz="8" w:space="0" w:color="000000"/>
            </w:tcBorders>
            <w:vAlign w:val="center"/>
          </w:tcPr>
          <w:p w14:paraId="7E9240CB" w14:textId="77777777" w:rsidR="00670FD4" w:rsidRDefault="00670FD4" w:rsidP="001925BA">
            <w:pPr>
              <w:widowControl w:val="0"/>
              <w:pBdr>
                <w:top w:val="nil"/>
                <w:left w:val="nil"/>
                <w:bottom w:val="nil"/>
                <w:right w:val="nil"/>
                <w:between w:val="nil"/>
              </w:pBdr>
              <w:spacing w:after="0"/>
              <w:rPr>
                <w:rFonts w:eastAsia="Times New Roman" w:cs="Times New Roman"/>
                <w:sz w:val="18"/>
                <w:szCs w:val="18"/>
              </w:rPr>
            </w:pPr>
          </w:p>
        </w:tc>
        <w:tc>
          <w:tcPr>
            <w:tcW w:w="992" w:type="dxa"/>
            <w:vMerge/>
            <w:tcBorders>
              <w:top w:val="single" w:sz="8" w:space="0" w:color="000000"/>
              <w:left w:val="single" w:sz="8" w:space="0" w:color="000000"/>
              <w:bottom w:val="single" w:sz="8" w:space="0" w:color="000000"/>
              <w:right w:val="single" w:sz="8" w:space="0" w:color="000000"/>
            </w:tcBorders>
            <w:vAlign w:val="center"/>
          </w:tcPr>
          <w:p w14:paraId="4BCCB637" w14:textId="77777777" w:rsidR="00670FD4" w:rsidRDefault="00670FD4" w:rsidP="001925BA">
            <w:pPr>
              <w:widowControl w:val="0"/>
              <w:pBdr>
                <w:top w:val="nil"/>
                <w:left w:val="nil"/>
                <w:bottom w:val="nil"/>
                <w:right w:val="nil"/>
                <w:between w:val="nil"/>
              </w:pBdr>
              <w:spacing w:after="0"/>
              <w:rPr>
                <w:rFonts w:eastAsia="Times New Roman" w:cs="Times New Roman"/>
                <w:sz w:val="18"/>
                <w:szCs w:val="18"/>
              </w:rPr>
            </w:pPr>
          </w:p>
        </w:tc>
        <w:tc>
          <w:tcPr>
            <w:tcW w:w="1134" w:type="dxa"/>
            <w:vMerge/>
            <w:tcBorders>
              <w:top w:val="single" w:sz="8" w:space="0" w:color="000000"/>
              <w:left w:val="single" w:sz="8" w:space="0" w:color="000000"/>
              <w:bottom w:val="single" w:sz="8" w:space="0" w:color="000000"/>
              <w:right w:val="single" w:sz="8" w:space="0" w:color="000000"/>
            </w:tcBorders>
            <w:vAlign w:val="center"/>
          </w:tcPr>
          <w:p w14:paraId="0777293C" w14:textId="77777777" w:rsidR="00670FD4" w:rsidRDefault="00670FD4" w:rsidP="001925BA">
            <w:pPr>
              <w:widowControl w:val="0"/>
              <w:pBdr>
                <w:top w:val="nil"/>
                <w:left w:val="nil"/>
                <w:bottom w:val="nil"/>
                <w:right w:val="nil"/>
                <w:between w:val="nil"/>
              </w:pBdr>
              <w:spacing w:after="0"/>
              <w:rPr>
                <w:rFonts w:eastAsia="Times New Roman" w:cs="Times New Roman"/>
                <w:sz w:val="18"/>
                <w:szCs w:val="18"/>
              </w:rPr>
            </w:pPr>
          </w:p>
        </w:tc>
      </w:tr>
      <w:tr w:rsidR="00670FD4" w14:paraId="652A4EC8" w14:textId="77777777" w:rsidTr="001925BA">
        <w:trPr>
          <w:trHeight w:val="390"/>
        </w:trPr>
        <w:tc>
          <w:tcPr>
            <w:tcW w:w="1833" w:type="dxa"/>
            <w:tcBorders>
              <w:top w:val="single" w:sz="8" w:space="0" w:color="000000"/>
              <w:left w:val="single" w:sz="8" w:space="0" w:color="000000"/>
              <w:bottom w:val="single" w:sz="8" w:space="0" w:color="000000"/>
              <w:right w:val="single" w:sz="8" w:space="0" w:color="000000"/>
            </w:tcBorders>
            <w:vAlign w:val="bottom"/>
          </w:tcPr>
          <w:p w14:paraId="18A25B21"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RODL01/Tulcea</w:t>
            </w:r>
          </w:p>
        </w:tc>
        <w:tc>
          <w:tcPr>
            <w:tcW w:w="992" w:type="dxa"/>
            <w:tcBorders>
              <w:top w:val="single" w:sz="8" w:space="0" w:color="000000"/>
              <w:left w:val="single" w:sz="8" w:space="0" w:color="000000"/>
              <w:bottom w:val="single" w:sz="8" w:space="0" w:color="000000"/>
              <w:right w:val="single" w:sz="8" w:space="0" w:color="000000"/>
            </w:tcBorders>
            <w:vAlign w:val="bottom"/>
          </w:tcPr>
          <w:p w14:paraId="278EB6A4" w14:textId="77777777" w:rsidR="00670FD4" w:rsidRDefault="00670FD4" w:rsidP="001925BA">
            <w:pPr>
              <w:spacing w:after="0"/>
              <w:rPr>
                <w:rFonts w:eastAsia="Times New Roman" w:cs="Times New Roman"/>
                <w:sz w:val="18"/>
                <w:szCs w:val="18"/>
              </w:rPr>
            </w:pPr>
            <w:r>
              <w:rPr>
                <w:rFonts w:eastAsia="Times New Roman" w:cs="Times New Roman"/>
                <w:color w:val="000000"/>
                <w:sz w:val="18"/>
                <w:szCs w:val="18"/>
              </w:rPr>
              <w:t xml:space="preserve"> 1.166</w:t>
            </w:r>
          </w:p>
        </w:tc>
        <w:tc>
          <w:tcPr>
            <w:tcW w:w="618" w:type="dxa"/>
            <w:tcBorders>
              <w:top w:val="single" w:sz="8" w:space="0" w:color="000000"/>
              <w:left w:val="single" w:sz="8" w:space="0" w:color="000000"/>
              <w:bottom w:val="single" w:sz="8" w:space="0" w:color="000000"/>
              <w:right w:val="single" w:sz="8" w:space="0" w:color="000000"/>
            </w:tcBorders>
            <w:vAlign w:val="bottom"/>
          </w:tcPr>
          <w:p w14:paraId="290172A8" w14:textId="77777777" w:rsidR="00670FD4" w:rsidRDefault="00670FD4" w:rsidP="001925BA">
            <w:pPr>
              <w:spacing w:after="0"/>
              <w:rPr>
                <w:rFonts w:eastAsia="Times New Roman" w:cs="Times New Roman"/>
                <w:sz w:val="18"/>
                <w:szCs w:val="18"/>
              </w:rPr>
            </w:pPr>
            <w:r>
              <w:rPr>
                <w:rFonts w:eastAsia="Times New Roman" w:cs="Times New Roman"/>
                <w:color w:val="000000"/>
                <w:sz w:val="18"/>
                <w:szCs w:val="18"/>
              </w:rPr>
              <w:t xml:space="preserve"> K</w:t>
            </w:r>
          </w:p>
        </w:tc>
        <w:tc>
          <w:tcPr>
            <w:tcW w:w="942" w:type="dxa"/>
            <w:tcBorders>
              <w:top w:val="single" w:sz="8" w:space="0" w:color="000000"/>
              <w:left w:val="single" w:sz="8" w:space="0" w:color="000000"/>
              <w:bottom w:val="single" w:sz="8" w:space="0" w:color="000000"/>
              <w:right w:val="single" w:sz="8" w:space="0" w:color="000000"/>
            </w:tcBorders>
            <w:vAlign w:val="bottom"/>
          </w:tcPr>
          <w:p w14:paraId="37985449"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Mixt</w:t>
            </w:r>
          </w:p>
        </w:tc>
        <w:tc>
          <w:tcPr>
            <w:tcW w:w="992" w:type="dxa"/>
            <w:tcBorders>
              <w:top w:val="single" w:sz="8" w:space="0" w:color="000000"/>
              <w:left w:val="single" w:sz="8" w:space="0" w:color="000000"/>
              <w:bottom w:val="single" w:sz="8" w:space="0" w:color="000000"/>
              <w:right w:val="single" w:sz="8" w:space="0" w:color="000000"/>
            </w:tcBorders>
            <w:vAlign w:val="bottom"/>
          </w:tcPr>
          <w:p w14:paraId="69E64E05"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0/variabilă</w:t>
            </w:r>
          </w:p>
        </w:tc>
        <w:tc>
          <w:tcPr>
            <w:tcW w:w="709" w:type="dxa"/>
            <w:tcBorders>
              <w:top w:val="single" w:sz="8" w:space="0" w:color="000000"/>
              <w:left w:val="single" w:sz="8" w:space="0" w:color="000000"/>
              <w:bottom w:val="single" w:sz="8" w:space="0" w:color="000000"/>
              <w:right w:val="single" w:sz="8" w:space="0" w:color="000000"/>
            </w:tcBorders>
            <w:vAlign w:val="bottom"/>
          </w:tcPr>
          <w:p w14:paraId="434C01B7"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PO,I,IR</w:t>
            </w:r>
          </w:p>
        </w:tc>
        <w:tc>
          <w:tcPr>
            <w:tcW w:w="992" w:type="dxa"/>
            <w:tcBorders>
              <w:top w:val="single" w:sz="8" w:space="0" w:color="000000"/>
              <w:left w:val="single" w:sz="8" w:space="0" w:color="000000"/>
              <w:bottom w:val="single" w:sz="8" w:space="0" w:color="000000"/>
              <w:right w:val="single" w:sz="8" w:space="0" w:color="000000"/>
            </w:tcBorders>
            <w:vAlign w:val="bottom"/>
          </w:tcPr>
          <w:p w14:paraId="55EA9289" w14:textId="77777777" w:rsidR="00670FD4" w:rsidRDefault="00670FD4" w:rsidP="001925BA">
            <w:pPr>
              <w:spacing w:after="0"/>
              <w:ind w:firstLine="0"/>
              <w:rPr>
                <w:rFonts w:eastAsia="Times New Roman" w:cs="Times New Roman"/>
                <w:sz w:val="18"/>
                <w:szCs w:val="18"/>
              </w:rPr>
            </w:pPr>
            <w:r>
              <w:rPr>
                <w:rFonts w:eastAsia="Times New Roman" w:cs="Times New Roman"/>
                <w:sz w:val="18"/>
                <w:szCs w:val="18"/>
              </w:rPr>
              <w:t>I,M,D</w:t>
            </w:r>
          </w:p>
        </w:tc>
        <w:tc>
          <w:tcPr>
            <w:tcW w:w="992" w:type="dxa"/>
            <w:tcBorders>
              <w:top w:val="single" w:sz="8" w:space="0" w:color="000000"/>
              <w:left w:val="single" w:sz="8" w:space="0" w:color="000000"/>
              <w:bottom w:val="single" w:sz="8" w:space="0" w:color="000000"/>
              <w:right w:val="single" w:sz="8" w:space="0" w:color="000000"/>
            </w:tcBorders>
            <w:vAlign w:val="bottom"/>
          </w:tcPr>
          <w:p w14:paraId="23046F6F"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PM</w:t>
            </w:r>
          </w:p>
        </w:tc>
        <w:tc>
          <w:tcPr>
            <w:tcW w:w="1134" w:type="dxa"/>
            <w:tcBorders>
              <w:top w:val="single" w:sz="8" w:space="0" w:color="000000"/>
              <w:left w:val="single" w:sz="8" w:space="0" w:color="000000"/>
              <w:bottom w:val="single" w:sz="8" w:space="0" w:color="000000"/>
              <w:right w:val="single" w:sz="8" w:space="0" w:color="000000"/>
            </w:tcBorders>
            <w:vAlign w:val="bottom"/>
          </w:tcPr>
          <w:p w14:paraId="7C33AABF"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Nu</w:t>
            </w:r>
          </w:p>
        </w:tc>
      </w:tr>
      <w:tr w:rsidR="00670FD4" w14:paraId="0F98399A" w14:textId="77777777" w:rsidTr="001925BA">
        <w:trPr>
          <w:trHeight w:val="485"/>
        </w:trPr>
        <w:tc>
          <w:tcPr>
            <w:tcW w:w="1833" w:type="dxa"/>
            <w:tcBorders>
              <w:top w:val="single" w:sz="8" w:space="0" w:color="000000"/>
              <w:left w:val="single" w:sz="8" w:space="0" w:color="000000"/>
              <w:bottom w:val="single" w:sz="8" w:space="0" w:color="000000"/>
              <w:right w:val="single" w:sz="8" w:space="0" w:color="000000"/>
            </w:tcBorders>
            <w:vAlign w:val="bottom"/>
          </w:tcPr>
          <w:p w14:paraId="231D2FFD"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RODL04/Cobadin-Mangalia</w:t>
            </w:r>
          </w:p>
        </w:tc>
        <w:tc>
          <w:tcPr>
            <w:tcW w:w="992" w:type="dxa"/>
            <w:tcBorders>
              <w:top w:val="single" w:sz="8" w:space="0" w:color="000000"/>
              <w:left w:val="single" w:sz="8" w:space="0" w:color="000000"/>
              <w:bottom w:val="single" w:sz="8" w:space="0" w:color="000000"/>
              <w:right w:val="single" w:sz="8" w:space="0" w:color="000000"/>
            </w:tcBorders>
            <w:vAlign w:val="bottom"/>
          </w:tcPr>
          <w:p w14:paraId="31C6D4E1" w14:textId="77777777" w:rsidR="00670FD4" w:rsidRDefault="00670FD4" w:rsidP="001925BA">
            <w:pPr>
              <w:spacing w:after="0"/>
              <w:rPr>
                <w:rFonts w:eastAsia="Times New Roman" w:cs="Times New Roman"/>
                <w:sz w:val="18"/>
                <w:szCs w:val="18"/>
              </w:rPr>
            </w:pPr>
            <w:r>
              <w:rPr>
                <w:rFonts w:eastAsia="Times New Roman" w:cs="Times New Roman"/>
                <w:color w:val="000000"/>
                <w:sz w:val="18"/>
                <w:szCs w:val="18"/>
              </w:rPr>
              <w:t xml:space="preserve"> 2.187</w:t>
            </w:r>
          </w:p>
        </w:tc>
        <w:tc>
          <w:tcPr>
            <w:tcW w:w="618" w:type="dxa"/>
            <w:tcBorders>
              <w:top w:val="single" w:sz="8" w:space="0" w:color="000000"/>
              <w:left w:val="single" w:sz="8" w:space="0" w:color="000000"/>
              <w:bottom w:val="single" w:sz="8" w:space="0" w:color="000000"/>
              <w:right w:val="single" w:sz="8" w:space="0" w:color="000000"/>
            </w:tcBorders>
            <w:vAlign w:val="bottom"/>
          </w:tcPr>
          <w:p w14:paraId="33E178A8" w14:textId="77777777" w:rsidR="00670FD4" w:rsidRDefault="00670FD4" w:rsidP="001925BA">
            <w:pPr>
              <w:spacing w:after="0"/>
              <w:rPr>
                <w:rFonts w:eastAsia="Times New Roman" w:cs="Times New Roman"/>
                <w:sz w:val="18"/>
                <w:szCs w:val="18"/>
              </w:rPr>
            </w:pPr>
            <w:r>
              <w:rPr>
                <w:rFonts w:eastAsia="Times New Roman" w:cs="Times New Roman"/>
                <w:color w:val="000000"/>
                <w:sz w:val="18"/>
                <w:szCs w:val="18"/>
              </w:rPr>
              <w:t>F+K</w:t>
            </w:r>
          </w:p>
        </w:tc>
        <w:tc>
          <w:tcPr>
            <w:tcW w:w="942" w:type="dxa"/>
            <w:tcBorders>
              <w:top w:val="single" w:sz="8" w:space="0" w:color="000000"/>
              <w:left w:val="single" w:sz="8" w:space="0" w:color="000000"/>
              <w:bottom w:val="single" w:sz="8" w:space="0" w:color="000000"/>
              <w:right w:val="single" w:sz="8" w:space="0" w:color="000000"/>
            </w:tcBorders>
            <w:vAlign w:val="bottom"/>
          </w:tcPr>
          <w:p w14:paraId="6BDE925B"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Da</w:t>
            </w:r>
          </w:p>
        </w:tc>
        <w:tc>
          <w:tcPr>
            <w:tcW w:w="992" w:type="dxa"/>
            <w:tcBorders>
              <w:top w:val="single" w:sz="8" w:space="0" w:color="000000"/>
              <w:left w:val="single" w:sz="8" w:space="0" w:color="000000"/>
              <w:bottom w:val="single" w:sz="8" w:space="0" w:color="000000"/>
              <w:right w:val="single" w:sz="8" w:space="0" w:color="000000"/>
            </w:tcBorders>
            <w:vAlign w:val="bottom"/>
          </w:tcPr>
          <w:p w14:paraId="54A19848"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0-20</w:t>
            </w:r>
          </w:p>
        </w:tc>
        <w:tc>
          <w:tcPr>
            <w:tcW w:w="709" w:type="dxa"/>
            <w:tcBorders>
              <w:top w:val="single" w:sz="8" w:space="0" w:color="000000"/>
              <w:left w:val="single" w:sz="8" w:space="0" w:color="000000"/>
              <w:bottom w:val="single" w:sz="8" w:space="0" w:color="000000"/>
              <w:right w:val="single" w:sz="8" w:space="0" w:color="000000"/>
            </w:tcBorders>
            <w:vAlign w:val="bottom"/>
          </w:tcPr>
          <w:p w14:paraId="565BD94C"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PO,I,IR,A, AL</w:t>
            </w:r>
          </w:p>
        </w:tc>
        <w:tc>
          <w:tcPr>
            <w:tcW w:w="992" w:type="dxa"/>
            <w:tcBorders>
              <w:top w:val="single" w:sz="8" w:space="0" w:color="000000"/>
              <w:left w:val="single" w:sz="8" w:space="0" w:color="000000"/>
              <w:bottom w:val="single" w:sz="8" w:space="0" w:color="000000"/>
              <w:right w:val="single" w:sz="8" w:space="0" w:color="000000"/>
            </w:tcBorders>
            <w:vAlign w:val="bottom"/>
          </w:tcPr>
          <w:p w14:paraId="1CAC1BF7"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I,M,Z,D</w:t>
            </w:r>
          </w:p>
        </w:tc>
        <w:tc>
          <w:tcPr>
            <w:tcW w:w="992" w:type="dxa"/>
            <w:tcBorders>
              <w:top w:val="single" w:sz="8" w:space="0" w:color="000000"/>
              <w:left w:val="single" w:sz="8" w:space="0" w:color="000000"/>
              <w:bottom w:val="single" w:sz="8" w:space="0" w:color="000000"/>
              <w:right w:val="single" w:sz="8" w:space="0" w:color="000000"/>
            </w:tcBorders>
            <w:vAlign w:val="bottom"/>
          </w:tcPr>
          <w:p w14:paraId="11B9A707"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PM,PG</w:t>
            </w:r>
          </w:p>
        </w:tc>
        <w:tc>
          <w:tcPr>
            <w:tcW w:w="1134" w:type="dxa"/>
            <w:tcBorders>
              <w:top w:val="single" w:sz="8" w:space="0" w:color="000000"/>
              <w:left w:val="single" w:sz="8" w:space="0" w:color="000000"/>
              <w:bottom w:val="single" w:sz="8" w:space="0" w:color="000000"/>
              <w:right w:val="single" w:sz="8" w:space="0" w:color="000000"/>
            </w:tcBorders>
            <w:vAlign w:val="bottom"/>
          </w:tcPr>
          <w:p w14:paraId="1A497849"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Da /Bulgaria</w:t>
            </w:r>
          </w:p>
        </w:tc>
      </w:tr>
      <w:tr w:rsidR="00670FD4" w14:paraId="4503D33B" w14:textId="77777777" w:rsidTr="001925BA">
        <w:trPr>
          <w:trHeight w:val="626"/>
        </w:trPr>
        <w:tc>
          <w:tcPr>
            <w:tcW w:w="1833" w:type="dxa"/>
            <w:tcBorders>
              <w:top w:val="single" w:sz="8" w:space="0" w:color="000000"/>
              <w:left w:val="single" w:sz="8" w:space="0" w:color="000000"/>
              <w:bottom w:val="single" w:sz="8" w:space="0" w:color="000000"/>
              <w:right w:val="single" w:sz="8" w:space="0" w:color="000000"/>
            </w:tcBorders>
            <w:vAlign w:val="bottom"/>
          </w:tcPr>
          <w:p w14:paraId="5DE67B72"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RODL05/Dobrogea Centrala</w:t>
            </w:r>
          </w:p>
        </w:tc>
        <w:tc>
          <w:tcPr>
            <w:tcW w:w="992" w:type="dxa"/>
            <w:tcBorders>
              <w:top w:val="single" w:sz="8" w:space="0" w:color="000000"/>
              <w:left w:val="single" w:sz="8" w:space="0" w:color="000000"/>
              <w:bottom w:val="single" w:sz="8" w:space="0" w:color="000000"/>
              <w:right w:val="single" w:sz="8" w:space="0" w:color="000000"/>
            </w:tcBorders>
            <w:vAlign w:val="bottom"/>
          </w:tcPr>
          <w:p w14:paraId="6E1AAE96" w14:textId="77777777" w:rsidR="00670FD4" w:rsidRDefault="00670FD4" w:rsidP="001925BA">
            <w:pPr>
              <w:spacing w:after="0"/>
              <w:rPr>
                <w:rFonts w:eastAsia="Times New Roman" w:cs="Times New Roman"/>
                <w:sz w:val="18"/>
                <w:szCs w:val="18"/>
              </w:rPr>
            </w:pPr>
            <w:r>
              <w:rPr>
                <w:rFonts w:eastAsia="Times New Roman" w:cs="Times New Roman"/>
                <w:color w:val="000000"/>
                <w:sz w:val="18"/>
                <w:szCs w:val="18"/>
              </w:rPr>
              <w:t xml:space="preserve"> 3.000</w:t>
            </w:r>
          </w:p>
        </w:tc>
        <w:tc>
          <w:tcPr>
            <w:tcW w:w="618" w:type="dxa"/>
            <w:tcBorders>
              <w:top w:val="single" w:sz="8" w:space="0" w:color="000000"/>
              <w:left w:val="single" w:sz="8" w:space="0" w:color="000000"/>
              <w:bottom w:val="single" w:sz="8" w:space="0" w:color="000000"/>
              <w:right w:val="single" w:sz="8" w:space="0" w:color="000000"/>
            </w:tcBorders>
            <w:vAlign w:val="bottom"/>
          </w:tcPr>
          <w:p w14:paraId="10A89918" w14:textId="77777777" w:rsidR="00670FD4" w:rsidRDefault="00670FD4" w:rsidP="001925BA">
            <w:pPr>
              <w:spacing w:after="0"/>
              <w:rPr>
                <w:rFonts w:eastAsia="Times New Roman" w:cs="Times New Roman"/>
                <w:sz w:val="18"/>
                <w:szCs w:val="18"/>
              </w:rPr>
            </w:pPr>
            <w:r>
              <w:rPr>
                <w:rFonts w:eastAsia="Times New Roman" w:cs="Times New Roman"/>
                <w:color w:val="000000"/>
                <w:sz w:val="18"/>
                <w:szCs w:val="18"/>
              </w:rPr>
              <w:t xml:space="preserve"> P</w:t>
            </w:r>
          </w:p>
        </w:tc>
        <w:tc>
          <w:tcPr>
            <w:tcW w:w="942" w:type="dxa"/>
            <w:tcBorders>
              <w:top w:val="single" w:sz="8" w:space="0" w:color="000000"/>
              <w:left w:val="single" w:sz="8" w:space="0" w:color="000000"/>
              <w:bottom w:val="single" w:sz="8" w:space="0" w:color="000000"/>
              <w:right w:val="single" w:sz="8" w:space="0" w:color="000000"/>
            </w:tcBorders>
            <w:vAlign w:val="bottom"/>
          </w:tcPr>
          <w:p w14:paraId="2F05F713"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Nu</w:t>
            </w:r>
          </w:p>
        </w:tc>
        <w:tc>
          <w:tcPr>
            <w:tcW w:w="992" w:type="dxa"/>
            <w:tcBorders>
              <w:top w:val="single" w:sz="8" w:space="0" w:color="000000"/>
              <w:left w:val="single" w:sz="8" w:space="0" w:color="000000"/>
              <w:bottom w:val="single" w:sz="8" w:space="0" w:color="000000"/>
              <w:right w:val="single" w:sz="8" w:space="0" w:color="000000"/>
            </w:tcBorders>
            <w:vAlign w:val="bottom"/>
          </w:tcPr>
          <w:p w14:paraId="12E46713"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0-0,5</w:t>
            </w:r>
          </w:p>
        </w:tc>
        <w:tc>
          <w:tcPr>
            <w:tcW w:w="709" w:type="dxa"/>
            <w:tcBorders>
              <w:top w:val="single" w:sz="8" w:space="0" w:color="000000"/>
              <w:left w:val="single" w:sz="8" w:space="0" w:color="000000"/>
              <w:bottom w:val="single" w:sz="8" w:space="0" w:color="000000"/>
              <w:right w:val="single" w:sz="8" w:space="0" w:color="000000"/>
            </w:tcBorders>
            <w:vAlign w:val="bottom"/>
          </w:tcPr>
          <w:p w14:paraId="5F530F34"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PO,I,IR, Z, AL</w:t>
            </w:r>
          </w:p>
        </w:tc>
        <w:tc>
          <w:tcPr>
            <w:tcW w:w="992" w:type="dxa"/>
            <w:tcBorders>
              <w:top w:val="single" w:sz="8" w:space="0" w:color="000000"/>
              <w:left w:val="single" w:sz="8" w:space="0" w:color="000000"/>
              <w:bottom w:val="single" w:sz="8" w:space="0" w:color="000000"/>
              <w:right w:val="single" w:sz="8" w:space="0" w:color="000000"/>
            </w:tcBorders>
            <w:vAlign w:val="bottom"/>
          </w:tcPr>
          <w:p w14:paraId="107B2CCA"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I,M,Z,D</w:t>
            </w:r>
          </w:p>
        </w:tc>
        <w:tc>
          <w:tcPr>
            <w:tcW w:w="992" w:type="dxa"/>
            <w:tcBorders>
              <w:top w:val="single" w:sz="8" w:space="0" w:color="000000"/>
              <w:left w:val="single" w:sz="8" w:space="0" w:color="000000"/>
              <w:bottom w:val="single" w:sz="8" w:space="0" w:color="000000"/>
              <w:right w:val="single" w:sz="8" w:space="0" w:color="000000"/>
            </w:tcBorders>
            <w:vAlign w:val="bottom"/>
          </w:tcPr>
          <w:p w14:paraId="6071EE43"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PM</w:t>
            </w:r>
          </w:p>
        </w:tc>
        <w:tc>
          <w:tcPr>
            <w:tcW w:w="1134" w:type="dxa"/>
            <w:tcBorders>
              <w:top w:val="single" w:sz="8" w:space="0" w:color="000000"/>
              <w:left w:val="single" w:sz="8" w:space="0" w:color="000000"/>
              <w:bottom w:val="single" w:sz="8" w:space="0" w:color="000000"/>
              <w:right w:val="single" w:sz="8" w:space="0" w:color="000000"/>
            </w:tcBorders>
            <w:vAlign w:val="bottom"/>
          </w:tcPr>
          <w:p w14:paraId="0DCE78FA"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 xml:space="preserve"> Nu</w:t>
            </w:r>
          </w:p>
        </w:tc>
      </w:tr>
      <w:tr w:rsidR="00670FD4" w14:paraId="0910B366" w14:textId="77777777" w:rsidTr="001925BA">
        <w:trPr>
          <w:trHeight w:val="626"/>
        </w:trPr>
        <w:tc>
          <w:tcPr>
            <w:tcW w:w="1833" w:type="dxa"/>
            <w:tcBorders>
              <w:top w:val="single" w:sz="8" w:space="0" w:color="000000"/>
              <w:left w:val="single" w:sz="8" w:space="0" w:color="000000"/>
              <w:bottom w:val="single" w:sz="8" w:space="0" w:color="000000"/>
              <w:right w:val="single" w:sz="8" w:space="0" w:color="000000"/>
            </w:tcBorders>
            <w:vAlign w:val="bottom"/>
          </w:tcPr>
          <w:p w14:paraId="3ECB520E" w14:textId="77777777" w:rsidR="00670FD4" w:rsidRDefault="00670FD4" w:rsidP="001925BA">
            <w:pPr>
              <w:spacing w:after="0"/>
              <w:ind w:firstLine="0"/>
              <w:rPr>
                <w:rFonts w:eastAsia="Times New Roman" w:cs="Times New Roman"/>
                <w:color w:val="000000"/>
                <w:sz w:val="18"/>
                <w:szCs w:val="18"/>
              </w:rPr>
            </w:pPr>
            <w:r>
              <w:rPr>
                <w:rFonts w:eastAsia="Times New Roman" w:cs="Times New Roman"/>
                <w:color w:val="000000"/>
                <w:sz w:val="18"/>
                <w:szCs w:val="18"/>
              </w:rPr>
              <w:t>RODL06/ Platforma Valahă</w:t>
            </w:r>
          </w:p>
        </w:tc>
        <w:tc>
          <w:tcPr>
            <w:tcW w:w="992" w:type="dxa"/>
            <w:tcBorders>
              <w:top w:val="single" w:sz="8" w:space="0" w:color="000000"/>
              <w:left w:val="single" w:sz="8" w:space="0" w:color="000000"/>
              <w:bottom w:val="single" w:sz="8" w:space="0" w:color="000000"/>
              <w:right w:val="single" w:sz="8" w:space="0" w:color="000000"/>
            </w:tcBorders>
            <w:vAlign w:val="bottom"/>
          </w:tcPr>
          <w:p w14:paraId="1917B1D7" w14:textId="77777777" w:rsidR="00670FD4" w:rsidRDefault="00670FD4" w:rsidP="001925BA">
            <w:pPr>
              <w:spacing w:after="0"/>
              <w:ind w:firstLine="0"/>
              <w:rPr>
                <w:rFonts w:eastAsia="Times New Roman" w:cs="Times New Roman"/>
                <w:color w:val="000000"/>
                <w:sz w:val="18"/>
                <w:szCs w:val="18"/>
              </w:rPr>
            </w:pPr>
            <w:r>
              <w:rPr>
                <w:rFonts w:eastAsia="Times New Roman" w:cs="Times New Roman"/>
                <w:color w:val="000000"/>
                <w:sz w:val="18"/>
                <w:szCs w:val="18"/>
              </w:rPr>
              <w:t>11.340</w:t>
            </w:r>
          </w:p>
        </w:tc>
        <w:tc>
          <w:tcPr>
            <w:tcW w:w="618" w:type="dxa"/>
            <w:tcBorders>
              <w:top w:val="single" w:sz="8" w:space="0" w:color="000000"/>
              <w:left w:val="single" w:sz="8" w:space="0" w:color="000000"/>
              <w:bottom w:val="single" w:sz="8" w:space="0" w:color="000000"/>
              <w:right w:val="single" w:sz="8" w:space="0" w:color="000000"/>
            </w:tcBorders>
            <w:vAlign w:val="bottom"/>
          </w:tcPr>
          <w:p w14:paraId="3D0E34E9" w14:textId="77777777" w:rsidR="00670FD4" w:rsidRDefault="00670FD4" w:rsidP="001925BA">
            <w:pPr>
              <w:spacing w:after="0"/>
              <w:rPr>
                <w:rFonts w:eastAsia="Times New Roman" w:cs="Times New Roman"/>
                <w:color w:val="000000"/>
                <w:sz w:val="18"/>
                <w:szCs w:val="18"/>
              </w:rPr>
            </w:pPr>
            <w:r>
              <w:rPr>
                <w:rFonts w:eastAsia="Times New Roman" w:cs="Times New Roman"/>
                <w:color w:val="000000"/>
                <w:sz w:val="18"/>
                <w:szCs w:val="18"/>
              </w:rPr>
              <w:t>K+F</w:t>
            </w:r>
          </w:p>
        </w:tc>
        <w:tc>
          <w:tcPr>
            <w:tcW w:w="942" w:type="dxa"/>
            <w:tcBorders>
              <w:top w:val="single" w:sz="8" w:space="0" w:color="000000"/>
              <w:left w:val="single" w:sz="8" w:space="0" w:color="000000"/>
              <w:bottom w:val="single" w:sz="8" w:space="0" w:color="000000"/>
              <w:right w:val="single" w:sz="8" w:space="0" w:color="000000"/>
            </w:tcBorders>
            <w:vAlign w:val="bottom"/>
          </w:tcPr>
          <w:p w14:paraId="6510A423" w14:textId="77777777" w:rsidR="00670FD4" w:rsidRDefault="00670FD4" w:rsidP="001925BA">
            <w:pPr>
              <w:spacing w:after="0"/>
              <w:ind w:firstLine="0"/>
              <w:rPr>
                <w:rFonts w:eastAsia="Times New Roman" w:cs="Times New Roman"/>
                <w:color w:val="000000"/>
                <w:sz w:val="18"/>
                <w:szCs w:val="18"/>
              </w:rPr>
            </w:pPr>
            <w:r>
              <w:rPr>
                <w:rFonts w:eastAsia="Times New Roman" w:cs="Times New Roman"/>
                <w:color w:val="000000"/>
                <w:sz w:val="18"/>
                <w:szCs w:val="18"/>
              </w:rPr>
              <w:t>Da</w:t>
            </w:r>
          </w:p>
        </w:tc>
        <w:tc>
          <w:tcPr>
            <w:tcW w:w="992" w:type="dxa"/>
            <w:tcBorders>
              <w:top w:val="single" w:sz="8" w:space="0" w:color="000000"/>
              <w:left w:val="single" w:sz="8" w:space="0" w:color="000000"/>
              <w:bottom w:val="single" w:sz="8" w:space="0" w:color="000000"/>
              <w:right w:val="single" w:sz="8" w:space="0" w:color="000000"/>
            </w:tcBorders>
            <w:vAlign w:val="bottom"/>
          </w:tcPr>
          <w:p w14:paraId="4A75B638" w14:textId="77777777" w:rsidR="00670FD4" w:rsidRDefault="00670FD4" w:rsidP="001925BA">
            <w:pPr>
              <w:spacing w:after="0"/>
              <w:ind w:firstLine="0"/>
              <w:rPr>
                <w:rFonts w:eastAsia="Times New Roman" w:cs="Times New Roman"/>
                <w:color w:val="000000"/>
                <w:sz w:val="18"/>
                <w:szCs w:val="18"/>
              </w:rPr>
            </w:pPr>
            <w:r>
              <w:rPr>
                <w:rFonts w:eastAsia="Times New Roman" w:cs="Times New Roman"/>
                <w:color w:val="000000"/>
                <w:sz w:val="18"/>
                <w:szCs w:val="18"/>
              </w:rPr>
              <w:t>0/variabilă</w:t>
            </w:r>
          </w:p>
        </w:tc>
        <w:tc>
          <w:tcPr>
            <w:tcW w:w="709" w:type="dxa"/>
            <w:tcBorders>
              <w:top w:val="single" w:sz="8" w:space="0" w:color="000000"/>
              <w:left w:val="single" w:sz="8" w:space="0" w:color="000000"/>
              <w:bottom w:val="single" w:sz="8" w:space="0" w:color="000000"/>
              <w:right w:val="single" w:sz="8" w:space="0" w:color="000000"/>
            </w:tcBorders>
            <w:vAlign w:val="bottom"/>
          </w:tcPr>
          <w:p w14:paraId="20DC6494" w14:textId="77777777" w:rsidR="00670FD4" w:rsidRDefault="00670FD4" w:rsidP="001925BA">
            <w:pPr>
              <w:spacing w:after="0"/>
              <w:ind w:firstLine="0"/>
              <w:rPr>
                <w:rFonts w:eastAsia="Times New Roman" w:cs="Times New Roman"/>
                <w:color w:val="000000"/>
                <w:sz w:val="18"/>
                <w:szCs w:val="18"/>
              </w:rPr>
            </w:pPr>
            <w:r>
              <w:rPr>
                <w:rFonts w:eastAsia="Times New Roman" w:cs="Times New Roman"/>
                <w:color w:val="000000"/>
                <w:sz w:val="18"/>
                <w:szCs w:val="18"/>
              </w:rPr>
              <w:t>PO, I, Z</w:t>
            </w:r>
          </w:p>
        </w:tc>
        <w:tc>
          <w:tcPr>
            <w:tcW w:w="992" w:type="dxa"/>
            <w:tcBorders>
              <w:top w:val="single" w:sz="8" w:space="0" w:color="000000"/>
              <w:left w:val="single" w:sz="8" w:space="0" w:color="000000"/>
              <w:bottom w:val="single" w:sz="8" w:space="0" w:color="000000"/>
              <w:right w:val="single" w:sz="8" w:space="0" w:color="000000"/>
            </w:tcBorders>
            <w:vAlign w:val="bottom"/>
          </w:tcPr>
          <w:p w14:paraId="420B3A43" w14:textId="77777777" w:rsidR="00670FD4" w:rsidRDefault="00670FD4" w:rsidP="001925BA">
            <w:pPr>
              <w:spacing w:after="0"/>
              <w:ind w:firstLine="0"/>
              <w:rPr>
                <w:rFonts w:eastAsia="Times New Roman" w:cs="Times New Roman"/>
                <w:color w:val="000000"/>
                <w:sz w:val="18"/>
                <w:szCs w:val="18"/>
              </w:rPr>
            </w:pPr>
            <w:r>
              <w:rPr>
                <w:rFonts w:eastAsia="Times New Roman" w:cs="Times New Roman"/>
                <w:color w:val="000000"/>
                <w:sz w:val="18"/>
                <w:szCs w:val="18"/>
              </w:rPr>
              <w:t>I, M</w:t>
            </w:r>
          </w:p>
        </w:tc>
        <w:tc>
          <w:tcPr>
            <w:tcW w:w="992" w:type="dxa"/>
            <w:tcBorders>
              <w:top w:val="single" w:sz="8" w:space="0" w:color="000000"/>
              <w:left w:val="single" w:sz="8" w:space="0" w:color="000000"/>
              <w:bottom w:val="single" w:sz="8" w:space="0" w:color="000000"/>
              <w:right w:val="single" w:sz="8" w:space="0" w:color="000000"/>
            </w:tcBorders>
            <w:vAlign w:val="bottom"/>
          </w:tcPr>
          <w:p w14:paraId="43C6F488" w14:textId="77777777" w:rsidR="00670FD4" w:rsidRDefault="00670FD4" w:rsidP="001925BA">
            <w:pPr>
              <w:spacing w:after="0"/>
              <w:ind w:firstLine="0"/>
              <w:rPr>
                <w:rFonts w:eastAsia="Times New Roman" w:cs="Times New Roman"/>
                <w:color w:val="000000"/>
                <w:sz w:val="18"/>
                <w:szCs w:val="18"/>
              </w:rPr>
            </w:pPr>
            <w:r>
              <w:rPr>
                <w:rFonts w:eastAsia="Times New Roman" w:cs="Times New Roman"/>
                <w:color w:val="000000"/>
                <w:sz w:val="18"/>
                <w:szCs w:val="18"/>
              </w:rPr>
              <w:t>PG</w:t>
            </w:r>
          </w:p>
        </w:tc>
        <w:tc>
          <w:tcPr>
            <w:tcW w:w="1134" w:type="dxa"/>
            <w:tcBorders>
              <w:top w:val="single" w:sz="8" w:space="0" w:color="000000"/>
              <w:left w:val="single" w:sz="8" w:space="0" w:color="000000"/>
              <w:bottom w:val="single" w:sz="8" w:space="0" w:color="000000"/>
              <w:right w:val="single" w:sz="8" w:space="0" w:color="000000"/>
            </w:tcBorders>
            <w:vAlign w:val="bottom"/>
          </w:tcPr>
          <w:p w14:paraId="429FD73A" w14:textId="77777777" w:rsidR="00670FD4" w:rsidRDefault="00670FD4" w:rsidP="001925BA">
            <w:pPr>
              <w:spacing w:after="0"/>
              <w:ind w:firstLine="0"/>
              <w:rPr>
                <w:rFonts w:eastAsia="Times New Roman" w:cs="Times New Roman"/>
                <w:color w:val="000000"/>
                <w:sz w:val="18"/>
                <w:szCs w:val="18"/>
              </w:rPr>
            </w:pPr>
            <w:r>
              <w:rPr>
                <w:rFonts w:eastAsia="Times New Roman" w:cs="Times New Roman"/>
                <w:color w:val="000000"/>
                <w:sz w:val="18"/>
                <w:szCs w:val="18"/>
              </w:rPr>
              <w:t>Da /Bulgaria</w:t>
            </w:r>
          </w:p>
        </w:tc>
      </w:tr>
      <w:tr w:rsidR="00670FD4" w14:paraId="7CE93528" w14:textId="77777777" w:rsidTr="001925BA">
        <w:trPr>
          <w:trHeight w:val="437"/>
        </w:trPr>
        <w:tc>
          <w:tcPr>
            <w:tcW w:w="1833" w:type="dxa"/>
            <w:tcBorders>
              <w:top w:val="single" w:sz="8" w:space="0" w:color="000000"/>
              <w:left w:val="single" w:sz="8" w:space="0" w:color="000000"/>
              <w:bottom w:val="single" w:sz="8" w:space="0" w:color="000000"/>
              <w:right w:val="single" w:sz="8" w:space="0" w:color="000000"/>
            </w:tcBorders>
            <w:vAlign w:val="bottom"/>
          </w:tcPr>
          <w:p w14:paraId="60BF1609" w14:textId="77777777" w:rsidR="00670FD4" w:rsidRDefault="00670FD4" w:rsidP="001925BA">
            <w:pPr>
              <w:spacing w:after="0"/>
              <w:rPr>
                <w:rFonts w:eastAsia="Times New Roman" w:cs="Times New Roman"/>
                <w:sz w:val="18"/>
                <w:szCs w:val="18"/>
              </w:rPr>
            </w:pPr>
            <w:r>
              <w:rPr>
                <w:rFonts w:eastAsia="Times New Roman" w:cs="Times New Roman"/>
                <w:color w:val="000000"/>
                <w:sz w:val="18"/>
                <w:szCs w:val="18"/>
              </w:rPr>
              <w:t>RODL08/Casimcea</w:t>
            </w:r>
          </w:p>
        </w:tc>
        <w:tc>
          <w:tcPr>
            <w:tcW w:w="992" w:type="dxa"/>
            <w:tcBorders>
              <w:top w:val="single" w:sz="8" w:space="0" w:color="000000"/>
              <w:left w:val="single" w:sz="8" w:space="0" w:color="000000"/>
              <w:bottom w:val="single" w:sz="8" w:space="0" w:color="000000"/>
              <w:right w:val="single" w:sz="8" w:space="0" w:color="000000"/>
            </w:tcBorders>
            <w:vAlign w:val="bottom"/>
          </w:tcPr>
          <w:p w14:paraId="1DBD4A23"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92</w:t>
            </w:r>
          </w:p>
        </w:tc>
        <w:tc>
          <w:tcPr>
            <w:tcW w:w="618" w:type="dxa"/>
            <w:tcBorders>
              <w:top w:val="single" w:sz="8" w:space="0" w:color="000000"/>
              <w:left w:val="single" w:sz="8" w:space="0" w:color="000000"/>
              <w:bottom w:val="single" w:sz="8" w:space="0" w:color="000000"/>
              <w:right w:val="single" w:sz="8" w:space="0" w:color="000000"/>
            </w:tcBorders>
            <w:vAlign w:val="bottom"/>
          </w:tcPr>
          <w:p w14:paraId="01D1E5A7" w14:textId="77777777" w:rsidR="00670FD4" w:rsidRDefault="00670FD4" w:rsidP="001925BA">
            <w:pPr>
              <w:spacing w:after="0"/>
              <w:rPr>
                <w:rFonts w:eastAsia="Times New Roman" w:cs="Times New Roman"/>
                <w:sz w:val="18"/>
                <w:szCs w:val="18"/>
              </w:rPr>
            </w:pPr>
            <w:r>
              <w:rPr>
                <w:rFonts w:eastAsia="Times New Roman" w:cs="Times New Roman"/>
                <w:color w:val="000000"/>
                <w:sz w:val="18"/>
                <w:szCs w:val="18"/>
              </w:rPr>
              <w:t>F+K</w:t>
            </w:r>
          </w:p>
        </w:tc>
        <w:tc>
          <w:tcPr>
            <w:tcW w:w="942" w:type="dxa"/>
            <w:tcBorders>
              <w:top w:val="single" w:sz="8" w:space="0" w:color="000000"/>
              <w:left w:val="single" w:sz="8" w:space="0" w:color="000000"/>
              <w:bottom w:val="single" w:sz="8" w:space="0" w:color="000000"/>
              <w:right w:val="single" w:sz="8" w:space="0" w:color="000000"/>
            </w:tcBorders>
            <w:vAlign w:val="bottom"/>
          </w:tcPr>
          <w:p w14:paraId="6C63EF56"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Mixt</w:t>
            </w:r>
          </w:p>
        </w:tc>
        <w:tc>
          <w:tcPr>
            <w:tcW w:w="992" w:type="dxa"/>
            <w:tcBorders>
              <w:top w:val="single" w:sz="8" w:space="0" w:color="000000"/>
              <w:left w:val="single" w:sz="8" w:space="0" w:color="000000"/>
              <w:bottom w:val="single" w:sz="8" w:space="0" w:color="000000"/>
              <w:right w:val="single" w:sz="8" w:space="0" w:color="000000"/>
            </w:tcBorders>
            <w:vAlign w:val="bottom"/>
          </w:tcPr>
          <w:p w14:paraId="50E1B4DF"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0-10</w:t>
            </w:r>
          </w:p>
        </w:tc>
        <w:tc>
          <w:tcPr>
            <w:tcW w:w="709" w:type="dxa"/>
            <w:tcBorders>
              <w:top w:val="single" w:sz="8" w:space="0" w:color="000000"/>
              <w:left w:val="single" w:sz="8" w:space="0" w:color="000000"/>
              <w:bottom w:val="single" w:sz="8" w:space="0" w:color="000000"/>
              <w:right w:val="single" w:sz="8" w:space="0" w:color="000000"/>
            </w:tcBorders>
            <w:vAlign w:val="bottom"/>
          </w:tcPr>
          <w:p w14:paraId="7DE4BEE0"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I, Z, AL</w:t>
            </w:r>
          </w:p>
        </w:tc>
        <w:tc>
          <w:tcPr>
            <w:tcW w:w="992" w:type="dxa"/>
            <w:tcBorders>
              <w:top w:val="single" w:sz="8" w:space="0" w:color="000000"/>
              <w:left w:val="single" w:sz="8" w:space="0" w:color="000000"/>
              <w:bottom w:val="single" w:sz="8" w:space="0" w:color="000000"/>
              <w:right w:val="single" w:sz="8" w:space="0" w:color="000000"/>
            </w:tcBorders>
            <w:vAlign w:val="bottom"/>
          </w:tcPr>
          <w:p w14:paraId="4B7B9ED8"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w:t>
            </w:r>
          </w:p>
        </w:tc>
        <w:tc>
          <w:tcPr>
            <w:tcW w:w="992" w:type="dxa"/>
            <w:tcBorders>
              <w:top w:val="single" w:sz="8" w:space="0" w:color="000000"/>
              <w:left w:val="single" w:sz="8" w:space="0" w:color="000000"/>
              <w:bottom w:val="single" w:sz="8" w:space="0" w:color="000000"/>
              <w:right w:val="single" w:sz="8" w:space="0" w:color="000000"/>
            </w:tcBorders>
            <w:vAlign w:val="bottom"/>
          </w:tcPr>
          <w:p w14:paraId="6089ADE4"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PM,PU</w:t>
            </w:r>
          </w:p>
        </w:tc>
        <w:tc>
          <w:tcPr>
            <w:tcW w:w="1134" w:type="dxa"/>
            <w:tcBorders>
              <w:top w:val="single" w:sz="8" w:space="0" w:color="000000"/>
              <w:left w:val="single" w:sz="8" w:space="0" w:color="000000"/>
              <w:bottom w:val="single" w:sz="8" w:space="0" w:color="000000"/>
              <w:right w:val="single" w:sz="8" w:space="0" w:color="000000"/>
            </w:tcBorders>
            <w:vAlign w:val="bottom"/>
          </w:tcPr>
          <w:p w14:paraId="1CE0F379"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 xml:space="preserve"> Nu</w:t>
            </w:r>
          </w:p>
        </w:tc>
      </w:tr>
      <w:tr w:rsidR="00670FD4" w14:paraId="21560D65" w14:textId="77777777" w:rsidTr="001925BA">
        <w:trPr>
          <w:trHeight w:val="615"/>
        </w:trPr>
        <w:tc>
          <w:tcPr>
            <w:tcW w:w="1833" w:type="dxa"/>
            <w:tcBorders>
              <w:top w:val="single" w:sz="8" w:space="0" w:color="000000"/>
              <w:left w:val="single" w:sz="8" w:space="0" w:color="000000"/>
              <w:bottom w:val="single" w:sz="8" w:space="0" w:color="000000"/>
              <w:right w:val="single" w:sz="8" w:space="0" w:color="000000"/>
            </w:tcBorders>
            <w:vAlign w:val="bottom"/>
          </w:tcPr>
          <w:p w14:paraId="19A93552" w14:textId="77777777" w:rsidR="00670FD4" w:rsidRDefault="00670FD4" w:rsidP="001925BA">
            <w:pPr>
              <w:spacing w:after="0"/>
              <w:rPr>
                <w:rFonts w:eastAsia="Times New Roman" w:cs="Times New Roman"/>
                <w:sz w:val="18"/>
                <w:szCs w:val="18"/>
              </w:rPr>
            </w:pPr>
            <w:r>
              <w:rPr>
                <w:rFonts w:eastAsia="Times New Roman" w:cs="Times New Roman"/>
                <w:color w:val="000000"/>
                <w:sz w:val="18"/>
                <w:szCs w:val="18"/>
              </w:rPr>
              <w:t>RODL09/Dobrogea de Nord</w:t>
            </w:r>
          </w:p>
        </w:tc>
        <w:tc>
          <w:tcPr>
            <w:tcW w:w="992" w:type="dxa"/>
            <w:tcBorders>
              <w:top w:val="single" w:sz="8" w:space="0" w:color="000000"/>
              <w:left w:val="single" w:sz="8" w:space="0" w:color="000000"/>
              <w:bottom w:val="single" w:sz="8" w:space="0" w:color="000000"/>
              <w:right w:val="single" w:sz="8" w:space="0" w:color="000000"/>
            </w:tcBorders>
            <w:vAlign w:val="bottom"/>
          </w:tcPr>
          <w:p w14:paraId="0B6F52F3"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2.731</w:t>
            </w:r>
          </w:p>
        </w:tc>
        <w:tc>
          <w:tcPr>
            <w:tcW w:w="618" w:type="dxa"/>
            <w:tcBorders>
              <w:top w:val="single" w:sz="8" w:space="0" w:color="000000"/>
              <w:left w:val="single" w:sz="8" w:space="0" w:color="000000"/>
              <w:bottom w:val="single" w:sz="8" w:space="0" w:color="000000"/>
              <w:right w:val="single" w:sz="8" w:space="0" w:color="000000"/>
            </w:tcBorders>
            <w:vAlign w:val="bottom"/>
          </w:tcPr>
          <w:p w14:paraId="48CDE4AE" w14:textId="77777777" w:rsidR="00670FD4" w:rsidRDefault="00670FD4" w:rsidP="001925BA">
            <w:pPr>
              <w:spacing w:after="0"/>
              <w:rPr>
                <w:rFonts w:eastAsia="Times New Roman" w:cs="Times New Roman"/>
                <w:sz w:val="18"/>
                <w:szCs w:val="18"/>
              </w:rPr>
            </w:pPr>
            <w:r>
              <w:rPr>
                <w:rFonts w:eastAsia="Times New Roman" w:cs="Times New Roman"/>
                <w:color w:val="000000"/>
                <w:sz w:val="18"/>
                <w:szCs w:val="18"/>
              </w:rPr>
              <w:t xml:space="preserve"> P</w:t>
            </w:r>
          </w:p>
        </w:tc>
        <w:tc>
          <w:tcPr>
            <w:tcW w:w="942" w:type="dxa"/>
            <w:tcBorders>
              <w:top w:val="single" w:sz="8" w:space="0" w:color="000000"/>
              <w:left w:val="single" w:sz="8" w:space="0" w:color="000000"/>
              <w:bottom w:val="single" w:sz="8" w:space="0" w:color="000000"/>
              <w:right w:val="single" w:sz="8" w:space="0" w:color="000000"/>
            </w:tcBorders>
            <w:vAlign w:val="bottom"/>
          </w:tcPr>
          <w:p w14:paraId="1DCACE17"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Nu</w:t>
            </w:r>
          </w:p>
        </w:tc>
        <w:tc>
          <w:tcPr>
            <w:tcW w:w="992" w:type="dxa"/>
            <w:tcBorders>
              <w:top w:val="single" w:sz="8" w:space="0" w:color="000000"/>
              <w:left w:val="single" w:sz="8" w:space="0" w:color="000000"/>
              <w:bottom w:val="single" w:sz="8" w:space="0" w:color="000000"/>
              <w:right w:val="single" w:sz="8" w:space="0" w:color="000000"/>
            </w:tcBorders>
            <w:vAlign w:val="bottom"/>
          </w:tcPr>
          <w:p w14:paraId="08510AE5"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 xml:space="preserve"> 0-0,5</w:t>
            </w:r>
          </w:p>
        </w:tc>
        <w:tc>
          <w:tcPr>
            <w:tcW w:w="709" w:type="dxa"/>
            <w:tcBorders>
              <w:top w:val="single" w:sz="8" w:space="0" w:color="000000"/>
              <w:left w:val="single" w:sz="8" w:space="0" w:color="000000"/>
              <w:bottom w:val="single" w:sz="8" w:space="0" w:color="000000"/>
              <w:right w:val="single" w:sz="8" w:space="0" w:color="000000"/>
            </w:tcBorders>
            <w:vAlign w:val="bottom"/>
          </w:tcPr>
          <w:p w14:paraId="281BB20F"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PO,I,IR, P,Z</w:t>
            </w:r>
          </w:p>
        </w:tc>
        <w:tc>
          <w:tcPr>
            <w:tcW w:w="992" w:type="dxa"/>
            <w:tcBorders>
              <w:top w:val="single" w:sz="8" w:space="0" w:color="000000"/>
              <w:left w:val="single" w:sz="8" w:space="0" w:color="000000"/>
              <w:bottom w:val="single" w:sz="8" w:space="0" w:color="000000"/>
              <w:right w:val="single" w:sz="8" w:space="0" w:color="000000"/>
            </w:tcBorders>
            <w:vAlign w:val="bottom"/>
          </w:tcPr>
          <w:p w14:paraId="498AAC23"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I,M,D</w:t>
            </w:r>
          </w:p>
        </w:tc>
        <w:tc>
          <w:tcPr>
            <w:tcW w:w="992" w:type="dxa"/>
            <w:tcBorders>
              <w:top w:val="single" w:sz="8" w:space="0" w:color="000000"/>
              <w:left w:val="single" w:sz="8" w:space="0" w:color="000000"/>
              <w:bottom w:val="single" w:sz="8" w:space="0" w:color="000000"/>
              <w:right w:val="single" w:sz="8" w:space="0" w:color="000000"/>
            </w:tcBorders>
            <w:vAlign w:val="bottom"/>
          </w:tcPr>
          <w:p w14:paraId="67FA8784"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PM</w:t>
            </w:r>
          </w:p>
        </w:tc>
        <w:tc>
          <w:tcPr>
            <w:tcW w:w="1134" w:type="dxa"/>
            <w:tcBorders>
              <w:top w:val="single" w:sz="8" w:space="0" w:color="000000"/>
              <w:left w:val="single" w:sz="8" w:space="0" w:color="000000"/>
              <w:bottom w:val="single" w:sz="8" w:space="0" w:color="000000"/>
              <w:right w:val="single" w:sz="8" w:space="0" w:color="000000"/>
            </w:tcBorders>
            <w:vAlign w:val="bottom"/>
          </w:tcPr>
          <w:p w14:paraId="112DB3C3"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 xml:space="preserve"> Nu</w:t>
            </w:r>
          </w:p>
        </w:tc>
      </w:tr>
      <w:tr w:rsidR="00670FD4" w14:paraId="44901212" w14:textId="77777777" w:rsidTr="001925BA">
        <w:trPr>
          <w:trHeight w:val="581"/>
        </w:trPr>
        <w:tc>
          <w:tcPr>
            <w:tcW w:w="1833" w:type="dxa"/>
            <w:tcBorders>
              <w:top w:val="single" w:sz="8" w:space="0" w:color="000000"/>
              <w:left w:val="single" w:sz="8" w:space="0" w:color="000000"/>
              <w:bottom w:val="single" w:sz="8" w:space="0" w:color="000000"/>
              <w:right w:val="single" w:sz="8" w:space="0" w:color="000000"/>
            </w:tcBorders>
            <w:vAlign w:val="bottom"/>
          </w:tcPr>
          <w:p w14:paraId="7D4C8F17" w14:textId="77777777" w:rsidR="00670FD4" w:rsidRDefault="00670FD4" w:rsidP="001925BA">
            <w:pPr>
              <w:spacing w:after="0"/>
              <w:rPr>
                <w:rFonts w:eastAsia="Times New Roman" w:cs="Times New Roman"/>
                <w:sz w:val="18"/>
                <w:szCs w:val="18"/>
              </w:rPr>
            </w:pPr>
            <w:r>
              <w:rPr>
                <w:rFonts w:eastAsia="Times New Roman" w:cs="Times New Roman"/>
                <w:color w:val="000000"/>
                <w:sz w:val="18"/>
                <w:szCs w:val="18"/>
              </w:rPr>
              <w:t>RODL10/Dobrogea de Sud</w:t>
            </w:r>
          </w:p>
        </w:tc>
        <w:tc>
          <w:tcPr>
            <w:tcW w:w="992" w:type="dxa"/>
            <w:tcBorders>
              <w:top w:val="single" w:sz="8" w:space="0" w:color="000000"/>
              <w:left w:val="single" w:sz="8" w:space="0" w:color="000000"/>
              <w:bottom w:val="single" w:sz="8" w:space="0" w:color="000000"/>
              <w:right w:val="single" w:sz="8" w:space="0" w:color="000000"/>
            </w:tcBorders>
            <w:vAlign w:val="bottom"/>
          </w:tcPr>
          <w:p w14:paraId="7D1A566B"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4.442</w:t>
            </w:r>
          </w:p>
        </w:tc>
        <w:tc>
          <w:tcPr>
            <w:tcW w:w="618" w:type="dxa"/>
            <w:tcBorders>
              <w:top w:val="single" w:sz="8" w:space="0" w:color="000000"/>
              <w:left w:val="single" w:sz="8" w:space="0" w:color="000000"/>
              <w:bottom w:val="single" w:sz="8" w:space="0" w:color="000000"/>
              <w:right w:val="single" w:sz="8" w:space="0" w:color="000000"/>
            </w:tcBorders>
            <w:vAlign w:val="bottom"/>
          </w:tcPr>
          <w:p w14:paraId="76724AD1" w14:textId="77777777" w:rsidR="00670FD4" w:rsidRDefault="00670FD4" w:rsidP="001925BA">
            <w:pPr>
              <w:spacing w:after="0"/>
              <w:rPr>
                <w:rFonts w:eastAsia="Times New Roman" w:cs="Times New Roman"/>
                <w:sz w:val="18"/>
                <w:szCs w:val="18"/>
              </w:rPr>
            </w:pPr>
            <w:r>
              <w:rPr>
                <w:rFonts w:eastAsia="Times New Roman" w:cs="Times New Roman"/>
                <w:color w:val="000000"/>
                <w:sz w:val="18"/>
                <w:szCs w:val="18"/>
              </w:rPr>
              <w:t xml:space="preserve"> P</w:t>
            </w:r>
          </w:p>
        </w:tc>
        <w:tc>
          <w:tcPr>
            <w:tcW w:w="942" w:type="dxa"/>
            <w:tcBorders>
              <w:top w:val="single" w:sz="8" w:space="0" w:color="000000"/>
              <w:left w:val="single" w:sz="8" w:space="0" w:color="000000"/>
              <w:bottom w:val="single" w:sz="8" w:space="0" w:color="000000"/>
              <w:right w:val="single" w:sz="8" w:space="0" w:color="000000"/>
            </w:tcBorders>
            <w:vAlign w:val="bottom"/>
          </w:tcPr>
          <w:p w14:paraId="19AD2F2F"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Nu</w:t>
            </w:r>
          </w:p>
        </w:tc>
        <w:tc>
          <w:tcPr>
            <w:tcW w:w="992" w:type="dxa"/>
            <w:tcBorders>
              <w:top w:val="single" w:sz="8" w:space="0" w:color="000000"/>
              <w:left w:val="single" w:sz="8" w:space="0" w:color="000000"/>
              <w:bottom w:val="single" w:sz="8" w:space="0" w:color="000000"/>
              <w:right w:val="single" w:sz="8" w:space="0" w:color="000000"/>
            </w:tcBorders>
            <w:vAlign w:val="bottom"/>
          </w:tcPr>
          <w:p w14:paraId="23F7F046"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 xml:space="preserve"> 0-0,5</w:t>
            </w:r>
          </w:p>
        </w:tc>
        <w:tc>
          <w:tcPr>
            <w:tcW w:w="709" w:type="dxa"/>
            <w:tcBorders>
              <w:top w:val="single" w:sz="8" w:space="0" w:color="000000"/>
              <w:left w:val="single" w:sz="8" w:space="0" w:color="000000"/>
              <w:bottom w:val="single" w:sz="8" w:space="0" w:color="000000"/>
              <w:right w:val="single" w:sz="8" w:space="0" w:color="000000"/>
            </w:tcBorders>
            <w:vAlign w:val="bottom"/>
          </w:tcPr>
          <w:p w14:paraId="79C96ADE"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PO,I,IR,Z, AL</w:t>
            </w:r>
          </w:p>
        </w:tc>
        <w:tc>
          <w:tcPr>
            <w:tcW w:w="992" w:type="dxa"/>
            <w:tcBorders>
              <w:top w:val="single" w:sz="8" w:space="0" w:color="000000"/>
              <w:left w:val="single" w:sz="8" w:space="0" w:color="000000"/>
              <w:bottom w:val="single" w:sz="8" w:space="0" w:color="000000"/>
              <w:right w:val="single" w:sz="8" w:space="0" w:color="000000"/>
            </w:tcBorders>
            <w:vAlign w:val="bottom"/>
          </w:tcPr>
          <w:p w14:paraId="3F15C4C1"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I,M,Z,D</w:t>
            </w:r>
          </w:p>
        </w:tc>
        <w:tc>
          <w:tcPr>
            <w:tcW w:w="992" w:type="dxa"/>
            <w:tcBorders>
              <w:top w:val="single" w:sz="8" w:space="0" w:color="000000"/>
              <w:left w:val="single" w:sz="8" w:space="0" w:color="000000"/>
              <w:bottom w:val="single" w:sz="8" w:space="0" w:color="000000"/>
              <w:right w:val="single" w:sz="8" w:space="0" w:color="000000"/>
            </w:tcBorders>
            <w:vAlign w:val="bottom"/>
          </w:tcPr>
          <w:p w14:paraId="4129EE90"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PM</w:t>
            </w:r>
          </w:p>
        </w:tc>
        <w:tc>
          <w:tcPr>
            <w:tcW w:w="1134" w:type="dxa"/>
            <w:tcBorders>
              <w:top w:val="single" w:sz="8" w:space="0" w:color="000000"/>
              <w:left w:val="single" w:sz="8" w:space="0" w:color="000000"/>
              <w:bottom w:val="single" w:sz="8" w:space="0" w:color="000000"/>
              <w:right w:val="single" w:sz="8" w:space="0" w:color="000000"/>
            </w:tcBorders>
            <w:vAlign w:val="bottom"/>
          </w:tcPr>
          <w:p w14:paraId="00B1EAF9" w14:textId="77777777" w:rsidR="00670FD4" w:rsidRDefault="00670FD4" w:rsidP="001925BA">
            <w:pPr>
              <w:spacing w:after="0"/>
              <w:ind w:firstLine="0"/>
              <w:rPr>
                <w:rFonts w:eastAsia="Times New Roman" w:cs="Times New Roman"/>
                <w:sz w:val="18"/>
                <w:szCs w:val="18"/>
              </w:rPr>
            </w:pPr>
            <w:r>
              <w:rPr>
                <w:rFonts w:eastAsia="Times New Roman" w:cs="Times New Roman"/>
                <w:color w:val="000000"/>
                <w:sz w:val="18"/>
                <w:szCs w:val="18"/>
              </w:rPr>
              <w:t xml:space="preserve"> Nu</w:t>
            </w:r>
          </w:p>
        </w:tc>
      </w:tr>
    </w:tbl>
    <w:p w14:paraId="66121E8B" w14:textId="77777777" w:rsidR="00670FD4" w:rsidRDefault="00670FD4" w:rsidP="00670FD4">
      <w:pPr>
        <w:spacing w:before="0" w:after="0"/>
        <w:rPr>
          <w:rFonts w:eastAsia="Times New Roman" w:cs="Times New Roman"/>
          <w:color w:val="000000"/>
          <w:sz w:val="20"/>
          <w:szCs w:val="20"/>
        </w:rPr>
      </w:pPr>
      <w:r>
        <w:rPr>
          <w:rFonts w:eastAsia="Times New Roman" w:cs="Times New Roman"/>
          <w:color w:val="000000"/>
          <w:sz w:val="20"/>
          <w:szCs w:val="20"/>
        </w:rPr>
        <w:t>Tip predominant: P-poros; K-karstic; F-fisural</w:t>
      </w:r>
    </w:p>
    <w:p w14:paraId="602AB647" w14:textId="77777777" w:rsidR="00670FD4" w:rsidRDefault="00670FD4" w:rsidP="00670FD4">
      <w:pPr>
        <w:spacing w:before="0" w:after="0"/>
        <w:rPr>
          <w:rFonts w:eastAsia="Times New Roman" w:cs="Times New Roman"/>
          <w:color w:val="000000"/>
          <w:sz w:val="20"/>
          <w:szCs w:val="20"/>
        </w:rPr>
      </w:pPr>
      <w:r>
        <w:rPr>
          <w:rFonts w:eastAsia="Times New Roman" w:cs="Times New Roman"/>
          <w:color w:val="000000"/>
          <w:sz w:val="20"/>
          <w:szCs w:val="20"/>
        </w:rPr>
        <w:t>Sub presiune: Da/Nu/Mixt</w:t>
      </w:r>
    </w:p>
    <w:p w14:paraId="619F9E54" w14:textId="77777777" w:rsidR="00670FD4" w:rsidRDefault="00670FD4" w:rsidP="00670FD4">
      <w:pPr>
        <w:spacing w:before="0" w:after="0"/>
        <w:rPr>
          <w:rFonts w:eastAsia="Times New Roman" w:cs="Times New Roman"/>
          <w:color w:val="000000"/>
          <w:sz w:val="20"/>
          <w:szCs w:val="20"/>
        </w:rPr>
      </w:pPr>
      <w:r>
        <w:rPr>
          <w:rFonts w:eastAsia="Times New Roman" w:cs="Times New Roman"/>
          <w:color w:val="000000"/>
          <w:sz w:val="20"/>
          <w:szCs w:val="20"/>
        </w:rPr>
        <w:t>Utilizarea apei: PO - alimentări cu apă populaţie; IR - irigaţii; I - industrie; P - piscicultură; Z – zootehnie; A-agricultură; AL- alte utilizări</w:t>
      </w:r>
    </w:p>
    <w:p w14:paraId="4389E2DE" w14:textId="77777777" w:rsidR="00670FD4" w:rsidRDefault="00670FD4" w:rsidP="00670FD4">
      <w:pPr>
        <w:spacing w:before="0" w:after="0"/>
        <w:rPr>
          <w:rFonts w:eastAsia="Times New Roman" w:cs="Times New Roman"/>
          <w:color w:val="000000"/>
          <w:sz w:val="20"/>
          <w:szCs w:val="20"/>
        </w:rPr>
      </w:pPr>
      <w:r>
        <w:rPr>
          <w:rFonts w:eastAsia="Times New Roman" w:cs="Times New Roman"/>
          <w:color w:val="000000"/>
          <w:sz w:val="20"/>
          <w:szCs w:val="20"/>
        </w:rPr>
        <w:t>Surse de poluare: I - industriale; A - agricole; M - aglomerări umane; Z - zootehnice, D – deșeuri</w:t>
      </w:r>
    </w:p>
    <w:p w14:paraId="1BD13D23" w14:textId="77777777" w:rsidR="00670FD4" w:rsidRDefault="00670FD4" w:rsidP="00670FD4">
      <w:pPr>
        <w:spacing w:before="0" w:after="0"/>
        <w:rPr>
          <w:rFonts w:eastAsia="Times New Roman" w:cs="Times New Roman"/>
          <w:color w:val="000000"/>
          <w:sz w:val="20"/>
          <w:szCs w:val="20"/>
        </w:rPr>
      </w:pPr>
      <w:r>
        <w:rPr>
          <w:rFonts w:eastAsia="Times New Roman" w:cs="Times New Roman"/>
          <w:color w:val="000000"/>
          <w:sz w:val="20"/>
          <w:szCs w:val="20"/>
        </w:rPr>
        <w:t>Gradul de protecţie globală: PVG - foarte bună; PG - bună; PM - medie; PU - nesatisfăcătoare; PVU - puternic nesatisfăcătoare</w:t>
      </w:r>
    </w:p>
    <w:p w14:paraId="45231D10" w14:textId="77777777" w:rsidR="00670FD4" w:rsidRDefault="00670FD4" w:rsidP="00670FD4">
      <w:pPr>
        <w:spacing w:before="0" w:after="0"/>
        <w:rPr>
          <w:rFonts w:eastAsia="Times New Roman" w:cs="Times New Roman"/>
          <w:color w:val="000000"/>
          <w:sz w:val="20"/>
          <w:szCs w:val="20"/>
        </w:rPr>
      </w:pPr>
      <w:r>
        <w:rPr>
          <w:rFonts w:eastAsia="Times New Roman" w:cs="Times New Roman"/>
          <w:color w:val="000000"/>
          <w:sz w:val="20"/>
          <w:szCs w:val="20"/>
        </w:rPr>
        <w:t>Transfrontalier: Da/Nu</w:t>
      </w:r>
    </w:p>
    <w:p w14:paraId="6F1ED53D" w14:textId="77777777" w:rsidR="00670FD4" w:rsidRDefault="00670FD4" w:rsidP="00670FD4">
      <w:pPr>
        <w:spacing w:after="0"/>
        <w:rPr>
          <w:rFonts w:eastAsia="Times New Roman" w:cs="Times New Roman"/>
          <w:color w:val="000000"/>
          <w:sz w:val="20"/>
          <w:szCs w:val="20"/>
        </w:rPr>
      </w:pPr>
    </w:p>
    <w:p w14:paraId="0CE76A9E" w14:textId="77777777" w:rsidR="00670FD4" w:rsidRDefault="00670FD4" w:rsidP="00670FD4">
      <w:pPr>
        <w:spacing w:before="0"/>
        <w:ind w:firstLine="567"/>
        <w:rPr>
          <w:rFonts w:eastAsia="Times New Roman" w:cs="Times New Roman"/>
        </w:rPr>
      </w:pPr>
      <w:r>
        <w:rPr>
          <w:rFonts w:eastAsia="Times New Roman" w:cs="Times New Roman"/>
        </w:rPr>
        <w:t>Din punct de vedere calitativ, măsurătorile periodice realizate de către ABADL arată frecvente depășiri ale valorilor standard pentru azotați pentru corpurile de apă subterană RODL04 (Cobadin-Mangalia), RODL05 (Dobrogea Centrală) și RODL10 (Dobrogea Sud), ceea ce face ca aceste corpuri de apă să fie la risc de neatingere a stării chimice bune. Restul corpurilor de apă subterane din zona costieră se consideră a fi în stare chimică bună, cu menţiunea că în cazul tuturor corpurilor de apă subterană au fost înregistrate local depăşiri faţă de standardul de calitate sau de valorile de prag la diferiţi indicatori (ex. cloruri, azotaţi, azotiți şi fosfați) (ABADL, PMSHDL, 2021). Din punct de vedere cantitativ, niciun corp de apă subterană nu a fost identificat la risc de neatingere a stării bune.</w:t>
      </w:r>
    </w:p>
    <w:p w14:paraId="24F1E0C7" w14:textId="77777777" w:rsidR="00670FD4" w:rsidRDefault="00670FD4" w:rsidP="00670FD4">
      <w:pPr>
        <w:spacing w:before="0"/>
        <w:rPr>
          <w:rFonts w:eastAsia="Times New Roman" w:cs="Times New Roman"/>
          <w:i/>
        </w:rPr>
      </w:pPr>
      <w:r>
        <w:rPr>
          <w:rFonts w:eastAsia="Times New Roman" w:cs="Times New Roman"/>
          <w:i/>
        </w:rPr>
        <w:t>Ape de suprafață - ape dulci (Dunăre și lacuri)</w:t>
      </w:r>
    </w:p>
    <w:p w14:paraId="6E4900AA" w14:textId="77777777" w:rsidR="00670FD4" w:rsidRDefault="00670FD4" w:rsidP="00670FD4">
      <w:pPr>
        <w:spacing w:before="0"/>
        <w:ind w:firstLine="567"/>
        <w:rPr>
          <w:rFonts w:eastAsia="Times New Roman" w:cs="Times New Roman"/>
        </w:rPr>
      </w:pPr>
      <w:r>
        <w:rPr>
          <w:rFonts w:eastAsia="Times New Roman" w:cs="Times New Roman"/>
          <w:color w:val="000000"/>
        </w:rPr>
        <w:t xml:space="preserve">Măsurătorile realizate de ANAR pe cele trei brațe ale Dunării, respectiv la Vâlcov (brațul Chilia), Sulina și Sfântu Gheorghe, arată o tendință generală de scădere a concentrațiilor azotului total observată după anul 2010. În 2021, concentrații medii anuale ale azotului total ușor mai ridicate s-au determinat pe brațul Chilia (Fig. 2.4.2.2.1). În ceea ce privește fosforul total, concentrațiile medii anuale în ale acestuia determinate în 2021, pe brațele Dunării nu au </w:t>
      </w:r>
      <w:r>
        <w:rPr>
          <w:rFonts w:eastAsia="Times New Roman" w:cs="Times New Roman"/>
          <w:color w:val="000000"/>
        </w:rPr>
        <w:lastRenderedPageBreak/>
        <w:t>diferit semnificativ față de cele determinate în 2020. Totuși, se observă o tendință de scădere a concentrațiilor fosforului total, începând cu 2013-2014, pe toate cele trei brațe (Fig. 2.4.2.2.1).</w:t>
      </w:r>
    </w:p>
    <w:p w14:paraId="01AB79D0" w14:textId="77777777" w:rsidR="00670FD4" w:rsidRDefault="00670FD4" w:rsidP="00670FD4">
      <w:pPr>
        <w:spacing w:before="0"/>
        <w:rPr>
          <w:rFonts w:eastAsia="Times New Roman" w:cs="Times New Roman"/>
          <w:color w:val="000000"/>
        </w:rPr>
      </w:pPr>
    </w:p>
    <w:p w14:paraId="2A6CE460" w14:textId="77777777" w:rsidR="00670FD4" w:rsidRDefault="00670FD4" w:rsidP="00670FD4">
      <w:pPr>
        <w:rPr>
          <w:rFonts w:eastAsia="Times New Roman" w:cs="Times New Roman"/>
          <w:b/>
          <w:color w:val="000000"/>
        </w:rPr>
      </w:pPr>
      <w:r>
        <w:rPr>
          <w:rFonts w:eastAsia="Times New Roman" w:cs="Times New Roman"/>
          <w:b/>
          <w:noProof/>
          <w:color w:val="000000"/>
        </w:rPr>
        <w:drawing>
          <wp:inline distT="0" distB="0" distL="0" distR="0" wp14:anchorId="40B257D8" wp14:editId="14E0E153">
            <wp:extent cx="5913120" cy="2054225"/>
            <wp:effectExtent l="0" t="0" r="0" b="0"/>
            <wp:docPr id="214140196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4"/>
                    <a:srcRect/>
                    <a:stretch>
                      <a:fillRect/>
                    </a:stretch>
                  </pic:blipFill>
                  <pic:spPr>
                    <a:xfrm>
                      <a:off x="0" y="0"/>
                      <a:ext cx="5913120" cy="2054225"/>
                    </a:xfrm>
                    <a:prstGeom prst="rect">
                      <a:avLst/>
                    </a:prstGeom>
                    <a:ln/>
                  </pic:spPr>
                </pic:pic>
              </a:graphicData>
            </a:graphic>
          </wp:inline>
        </w:drawing>
      </w:r>
    </w:p>
    <w:p w14:paraId="2E81F91E" w14:textId="77777777" w:rsidR="00670FD4" w:rsidRDefault="00670FD4" w:rsidP="00670FD4">
      <w:pPr>
        <w:ind w:firstLine="540"/>
        <w:jc w:val="center"/>
        <w:rPr>
          <w:rFonts w:eastAsia="Times New Roman" w:cs="Times New Roman"/>
        </w:rPr>
      </w:pPr>
      <w:r>
        <w:rPr>
          <w:rFonts w:eastAsia="Times New Roman" w:cs="Times New Roman"/>
          <w:b/>
          <w:color w:val="000000"/>
        </w:rPr>
        <w:t>Fig. 2.4.2.2.1 Variația mediilor anuale ale concentrațiior azotului (a) și fosforului total (b) pe brațele Dunării</w:t>
      </w:r>
    </w:p>
    <w:p w14:paraId="4B3EADE5" w14:textId="77777777" w:rsidR="00670FD4" w:rsidRDefault="00670FD4" w:rsidP="00670FD4">
      <w:pPr>
        <w:spacing w:before="0"/>
        <w:rPr>
          <w:rFonts w:eastAsia="Times New Roman" w:cs="Times New Roman"/>
        </w:rPr>
      </w:pPr>
    </w:p>
    <w:p w14:paraId="3EA1F44C" w14:textId="77777777" w:rsidR="00670FD4" w:rsidRDefault="00670FD4" w:rsidP="00670FD4">
      <w:pPr>
        <w:spacing w:before="0"/>
        <w:ind w:firstLine="567"/>
        <w:rPr>
          <w:rFonts w:eastAsia="Times New Roman" w:cs="Times New Roman"/>
          <w:color w:val="000000"/>
        </w:rPr>
      </w:pPr>
      <w:r>
        <w:rPr>
          <w:rFonts w:eastAsia="Times New Roman" w:cs="Times New Roman"/>
          <w:color w:val="000000"/>
        </w:rPr>
        <w:t>Referitor la poluanții organici, măsurătorile realizate de ANAR arată o creștere, în anul 2021, a concentrațiilor de hidrocarburi (dizolvate sau în emulsie), în special pe brațul Sulina (Fig. 2.4.2.2.2), comparativ cu anii 2019 și 2020, ca urmare a intensificării transportului fluvial pe acest braț, în condițiile conflictului generat de invazia Rusiei asupra Ucrainei. Totuși, aceste valori ale concentrațiilor hidrocarburilor determinate în 2021 arată medii anuale sub valorile măsurate în perioada 2015-2017 (Fig. 2.4.2.2.2) sugerând o tendința generală de reducere a gradului de poluare cu hidrocarburi totale.</w:t>
      </w:r>
    </w:p>
    <w:p w14:paraId="6625D3BC" w14:textId="77777777" w:rsidR="00670FD4" w:rsidRDefault="00670FD4" w:rsidP="00670FD4">
      <w:pPr>
        <w:ind w:firstLine="567"/>
        <w:rPr>
          <w:rFonts w:eastAsia="Times New Roman" w:cs="Times New Roman"/>
          <w:color w:val="000000"/>
        </w:rPr>
      </w:pPr>
    </w:p>
    <w:p w14:paraId="5438C21D" w14:textId="77777777" w:rsidR="00670FD4" w:rsidRDefault="00670FD4" w:rsidP="00670FD4">
      <w:pPr>
        <w:jc w:val="center"/>
        <w:rPr>
          <w:rFonts w:eastAsia="Times New Roman" w:cs="Times New Roman"/>
        </w:rPr>
      </w:pPr>
      <w:r>
        <w:rPr>
          <w:rFonts w:eastAsia="Times New Roman" w:cs="Times New Roman"/>
          <w:noProof/>
        </w:rPr>
        <w:drawing>
          <wp:inline distT="0" distB="0" distL="0" distR="0" wp14:anchorId="1230D731" wp14:editId="76BC2274">
            <wp:extent cx="4023995" cy="2207260"/>
            <wp:effectExtent l="0" t="0" r="0" b="0"/>
            <wp:docPr id="214140196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5"/>
                    <a:srcRect/>
                    <a:stretch>
                      <a:fillRect/>
                    </a:stretch>
                  </pic:blipFill>
                  <pic:spPr>
                    <a:xfrm>
                      <a:off x="0" y="0"/>
                      <a:ext cx="4023995" cy="2207260"/>
                    </a:xfrm>
                    <a:prstGeom prst="rect">
                      <a:avLst/>
                    </a:prstGeom>
                    <a:ln/>
                  </pic:spPr>
                </pic:pic>
              </a:graphicData>
            </a:graphic>
          </wp:inline>
        </w:drawing>
      </w:r>
    </w:p>
    <w:p w14:paraId="207BC52D" w14:textId="77777777" w:rsidR="00670FD4" w:rsidRDefault="00670FD4" w:rsidP="00670FD4">
      <w:pPr>
        <w:ind w:firstLine="540"/>
        <w:jc w:val="center"/>
        <w:rPr>
          <w:rFonts w:eastAsia="Times New Roman" w:cs="Times New Roman"/>
          <w:b/>
          <w:color w:val="000000"/>
        </w:rPr>
      </w:pPr>
      <w:bookmarkStart w:id="66" w:name="_heading=h.2xcytpi" w:colFirst="0" w:colLast="0"/>
      <w:bookmarkEnd w:id="66"/>
      <w:r>
        <w:rPr>
          <w:rFonts w:eastAsia="Times New Roman" w:cs="Times New Roman"/>
          <w:b/>
          <w:color w:val="000000"/>
        </w:rPr>
        <w:t> Fig. 2.4.2.2.2 Variația mediilor anuale a concentrației hidrocarburilor totale pe brațele Dunării în perioada 2011- 2021 </w:t>
      </w:r>
    </w:p>
    <w:p w14:paraId="474825BD" w14:textId="77777777" w:rsidR="00670FD4" w:rsidRDefault="00670FD4" w:rsidP="00670FD4">
      <w:pPr>
        <w:spacing w:before="0"/>
        <w:rPr>
          <w:rFonts w:eastAsia="Times New Roman" w:cs="Times New Roman"/>
        </w:rPr>
      </w:pPr>
    </w:p>
    <w:p w14:paraId="35DCAE0F" w14:textId="77777777" w:rsidR="00670FD4" w:rsidRDefault="00670FD4" w:rsidP="00670FD4">
      <w:pPr>
        <w:spacing w:before="0"/>
        <w:ind w:firstLine="567"/>
        <w:rPr>
          <w:rFonts w:eastAsia="Times New Roman" w:cs="Times New Roman"/>
          <w:b/>
          <w:color w:val="000000"/>
          <w:sz w:val="20"/>
          <w:szCs w:val="20"/>
        </w:rPr>
      </w:pPr>
      <w:r>
        <w:rPr>
          <w:rFonts w:eastAsia="Times New Roman" w:cs="Times New Roman"/>
          <w:color w:val="000000"/>
        </w:rPr>
        <w:lastRenderedPageBreak/>
        <w:t>Dintre metalele grele, Zn și Cu au prezentat, în 2021, concentrații semnificativ mai scăzute comparativ cu 2019 și 2020, când au fost atinse mediile anuale cele mai ridicate din ultimul deceniu (Fig. 2.4.2.2.3). Cromul a prezentat o medie anuală în 2021 apropiată cu cea din 2020 (mai puțin pe brațul Sulina), dar a urmat tendința de reducere observată din 2018. În schimb, arsenicul a prezentat în 2021 concentrații medii anuale mai ridicate comparativ cu ultimii ani, pe toate cele trei brațe (Fig. 2.4.2.2.3).</w:t>
      </w:r>
    </w:p>
    <w:p w14:paraId="6E0E4C97" w14:textId="77777777" w:rsidR="00670FD4" w:rsidRDefault="00670FD4" w:rsidP="00670FD4">
      <w:pPr>
        <w:spacing w:before="0"/>
        <w:ind w:firstLine="567"/>
        <w:rPr>
          <w:rFonts w:eastAsia="Times New Roman" w:cs="Times New Roman"/>
        </w:rPr>
      </w:pPr>
      <w:r>
        <w:rPr>
          <w:rFonts w:eastAsia="Times New Roman" w:cs="Times New Roman"/>
        </w:rPr>
        <w:t xml:space="preserve">Conform Anexei 6.1 a Planului de Management actualizat al fluviului Dunărea, Deltei Dunării, spațiului hidrografic Dobrogea și apelor costiere (2022-2027), starea ecologică a lacurilor naturale din zona costieră este Bună, cu excepția lacului Nuntași, care prezintă o stare ecologică Moderată. De asemenea, o stare ecologică Moderată prezintă și lacurile Tăbăcăriei (lac natural puternic modificat) și Mangalia (corp de apă costiere puternic modificat). Laguna Sinoe, corp de apă tranzitorii, prezintă o stare ecologică Proastă. Referitor la râurile din zona costieră, acestea prezintă o stare ecologică Moderată, iar în ceea ce privește Canalul Dunăre-Marea Neagră și Canalul Poarta Albă-Midia Năvodari, corpuri de apă artificiale, aceste prezintă o stare ecologică Bună. </w:t>
      </w:r>
    </w:p>
    <w:p w14:paraId="359D2036" w14:textId="77777777" w:rsidR="00670FD4" w:rsidRDefault="00670FD4" w:rsidP="00670FD4">
      <w:pPr>
        <w:rPr>
          <w:rFonts w:eastAsia="Times New Roman" w:cs="Times New Roman"/>
          <w:b/>
          <w:color w:val="000000"/>
          <w:sz w:val="20"/>
          <w:szCs w:val="20"/>
        </w:rPr>
      </w:pPr>
    </w:p>
    <w:p w14:paraId="67E98C0F" w14:textId="77777777" w:rsidR="00670FD4" w:rsidRDefault="00670FD4" w:rsidP="00670FD4">
      <w:pPr>
        <w:rPr>
          <w:rFonts w:eastAsia="Times New Roman" w:cs="Times New Roman"/>
          <w:b/>
          <w:color w:val="000000"/>
          <w:sz w:val="20"/>
          <w:szCs w:val="20"/>
        </w:rPr>
      </w:pPr>
      <w:bookmarkStart w:id="67" w:name="_heading=h.1ci93xb" w:colFirst="0" w:colLast="0"/>
      <w:bookmarkEnd w:id="67"/>
      <w:r>
        <w:rPr>
          <w:rFonts w:eastAsia="Times New Roman" w:cs="Times New Roman"/>
          <w:b/>
          <w:noProof/>
          <w:color w:val="000000"/>
          <w:sz w:val="20"/>
          <w:szCs w:val="20"/>
        </w:rPr>
        <w:drawing>
          <wp:inline distT="0" distB="0" distL="0" distR="0" wp14:anchorId="2A82AA10" wp14:editId="71C2ED45">
            <wp:extent cx="5715000" cy="3520440"/>
            <wp:effectExtent l="0" t="0" r="0" b="0"/>
            <wp:docPr id="214140196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6"/>
                    <a:srcRect/>
                    <a:stretch>
                      <a:fillRect/>
                    </a:stretch>
                  </pic:blipFill>
                  <pic:spPr>
                    <a:xfrm>
                      <a:off x="0" y="0"/>
                      <a:ext cx="5715000" cy="3520440"/>
                    </a:xfrm>
                    <a:prstGeom prst="rect">
                      <a:avLst/>
                    </a:prstGeom>
                    <a:ln/>
                  </pic:spPr>
                </pic:pic>
              </a:graphicData>
            </a:graphic>
          </wp:inline>
        </w:drawing>
      </w:r>
    </w:p>
    <w:p w14:paraId="05AF107E" w14:textId="77777777" w:rsidR="00670FD4" w:rsidRDefault="00670FD4" w:rsidP="00670FD4">
      <w:pPr>
        <w:jc w:val="center"/>
        <w:rPr>
          <w:rFonts w:eastAsia="Times New Roman" w:cs="Times New Roman"/>
          <w:b/>
          <w:color w:val="000000"/>
          <w:sz w:val="20"/>
          <w:szCs w:val="20"/>
        </w:rPr>
      </w:pPr>
    </w:p>
    <w:p w14:paraId="28185A9C" w14:textId="77777777" w:rsidR="00670FD4" w:rsidRDefault="00670FD4" w:rsidP="00670FD4">
      <w:pPr>
        <w:jc w:val="center"/>
        <w:rPr>
          <w:rFonts w:eastAsia="Times New Roman" w:cs="Times New Roman"/>
        </w:rPr>
      </w:pPr>
      <w:r>
        <w:rPr>
          <w:rFonts w:eastAsia="Times New Roman" w:cs="Times New Roman"/>
          <w:b/>
          <w:color w:val="000000"/>
        </w:rPr>
        <w:t>Fig. 2.4.2.2.3 Variațiile mediilor anuale ale concentrațiilor Zn, Cu, Cr și As pe brațele Dunării</w:t>
      </w:r>
    </w:p>
    <w:p w14:paraId="4958EC49" w14:textId="77777777" w:rsidR="00670FD4" w:rsidRDefault="00670FD4" w:rsidP="00670FD4">
      <w:pPr>
        <w:spacing w:after="200"/>
        <w:ind w:firstLine="567"/>
        <w:rPr>
          <w:rFonts w:eastAsia="Times New Roman" w:cs="Times New Roman"/>
        </w:rPr>
      </w:pPr>
    </w:p>
    <w:p w14:paraId="736D8FA6" w14:textId="77777777" w:rsidR="00670FD4" w:rsidRDefault="00670FD4" w:rsidP="00670FD4">
      <w:pPr>
        <w:spacing w:after="200"/>
        <w:rPr>
          <w:rFonts w:eastAsia="Times New Roman" w:cs="Times New Roman"/>
          <w:i/>
        </w:rPr>
      </w:pPr>
      <w:r>
        <w:rPr>
          <w:rFonts w:eastAsia="Times New Roman" w:cs="Times New Roman"/>
          <w:i/>
        </w:rPr>
        <w:t xml:space="preserve">Sedimente dulcicole </w:t>
      </w:r>
    </w:p>
    <w:p w14:paraId="4D2CB90F" w14:textId="77777777" w:rsidR="00670FD4" w:rsidRDefault="00670FD4" w:rsidP="00670FD4">
      <w:pPr>
        <w:spacing w:before="0"/>
        <w:ind w:firstLine="567"/>
        <w:rPr>
          <w:rFonts w:eastAsia="Times New Roman" w:cs="Times New Roman"/>
        </w:rPr>
      </w:pPr>
      <w:r>
        <w:rPr>
          <w:rFonts w:eastAsia="Times New Roman" w:cs="Times New Roman"/>
        </w:rPr>
        <w:t xml:space="preserve">Măsurătorile de metale grele din probele de sedimente prelevate din brațele Sulina și Sfântu Gheorghe, precum și din lacurile din Delta Dunării, realizate de către INCD </w:t>
      </w:r>
      <w:r>
        <w:rPr>
          <w:rFonts w:eastAsia="Times New Roman" w:cs="Times New Roman"/>
        </w:rPr>
        <w:lastRenderedPageBreak/>
        <w:t>GeoEcoMar, nu au relevat concentrații care să depășească într-un procent mai mare de 15% concentrațiile caracteristice fondului natural, cu excepția nichelului. Depășirile frecvente ale concentrației de Ni se datorează în cea mai mare măsură materialului sedimentar transportat de Dunăre, străbătând rocile bazice din Munții Banatului, precum și șisturile verzi din Dobrogea, caracterizate de fonduri naturale ridicate. În general, concentrațiile metalelor grele periculoase determinate în sedimentele de pe brațele Dunării au fost semnificativ mai scăzute comparativ cu cele determinate în sedimentele lacurilor, dar și în acest din urmă caz, cu foarte puține excepții (Cu, Cr), s-au situat sub limitele admise.</w:t>
      </w:r>
    </w:p>
    <w:p w14:paraId="47C441B3" w14:textId="77777777" w:rsidR="00670FD4" w:rsidRDefault="00670FD4" w:rsidP="00670FD4">
      <w:pPr>
        <w:spacing w:before="0"/>
        <w:ind w:firstLine="567"/>
        <w:rPr>
          <w:rFonts w:eastAsia="Times New Roman" w:cs="Times New Roman"/>
        </w:rPr>
      </w:pPr>
      <w:r>
        <w:rPr>
          <w:rFonts w:eastAsia="Times New Roman" w:cs="Times New Roman"/>
        </w:rPr>
        <w:t xml:space="preserve">În lacurile litorale din centrul și sudul zonei costiere, evaluarea poluării cu metale grele a lacurilor litorale s-a realizat folosind și indicele PLI (Pollution Load Index), considerat reprezentativ întrucât ia în considerare toate metalele grele toxice prezente în stratul superficial al sedimentelor (Tomlinson și colab., 1980). Datele INCD GeoEcoMar au indicat valori mai ridicate în sedimente în toate lacurile litorale analizate, cel mai mare dintre aceste lacuri, respectiv lacul Tașaul, a arătat valori ale PLI cuprinse între 1 și 2, indicând o poluare moderată a sedimentor, în 85 % dintre probele analizate. Cele mai mari valori s-au măsurat sudul și în sud-estul lacului datorită proximității orașului Năvodari, uzinei petrochimice Midia, dar și activităților agricole (Vasiliu și colab., 2020). Metalele răspunzătoare pentru poluarea sedimentelor lacului Tașaul sunt, în primul rând, As (prezent în fertilizatori și pesticide), apoi Cu, Pb, și Zn (prezente în pesticide, dar și în deversările de apă uzată netratată sau parțial tratată) (Vasiliu și colab., 2020). Valorile ridicate ale Cu și, mai ales Ni, sunt normale datorită depozitelor de șisturi verzi din bazinul hidrografic al lacului. </w:t>
      </w:r>
    </w:p>
    <w:p w14:paraId="4F195448" w14:textId="77777777" w:rsidR="00670FD4" w:rsidRDefault="00670FD4" w:rsidP="00670FD4">
      <w:pPr>
        <w:spacing w:before="0"/>
        <w:ind w:firstLine="567"/>
        <w:rPr>
          <w:rFonts w:eastAsia="Times New Roman" w:cs="Times New Roman"/>
        </w:rPr>
      </w:pPr>
      <w:r>
        <w:rPr>
          <w:rFonts w:eastAsia="Times New Roman" w:cs="Times New Roman"/>
        </w:rPr>
        <w:t>Lacul Tăbăcăriei este caracterizat un grad de poluare foarte ridicat, concentrațiile majorității metalelor grele analizate (Cu, Zn, Pb, Hg și, parțial Ni) prezentând valori cu mult peste valorile caracteristice fondului natural. De altfel și indicele PLI a prezentat valori cuprinse între 2 și 4, sugerând o poluare ridicată. Principala sursă de poluare o constituie deversarea apelor pluviale, dar și activitățile de construcții din jurul lacului.</w:t>
      </w:r>
    </w:p>
    <w:p w14:paraId="19C32959" w14:textId="77777777" w:rsidR="00670FD4" w:rsidRDefault="00670FD4" w:rsidP="00670FD4">
      <w:pPr>
        <w:spacing w:before="0"/>
        <w:ind w:firstLine="567"/>
        <w:rPr>
          <w:rFonts w:eastAsia="Times New Roman" w:cs="Times New Roman"/>
        </w:rPr>
      </w:pPr>
      <w:r>
        <w:rPr>
          <w:rFonts w:eastAsia="Times New Roman" w:cs="Times New Roman"/>
        </w:rPr>
        <w:t xml:space="preserve">Lacul Siutghiol prezintă un grad de poluare moderat, concentrațiile metalelor grele din sedimente depășind semnificativ concentrațiile caracteristice fondului natural doar în unele zone, în special în zona fostei Centrale Termoelectrica Ovidiu (indicând o poluare istorică), dar și în colțul sud-estic al lacului, unde se resimte direct influența negativă a unei urbanizari excesive, dar și a activităților recreaționale. </w:t>
      </w:r>
    </w:p>
    <w:p w14:paraId="6F15F0FA" w14:textId="77777777" w:rsidR="00670FD4" w:rsidRDefault="00670FD4" w:rsidP="00670FD4">
      <w:pPr>
        <w:spacing w:before="0"/>
        <w:ind w:firstLine="567"/>
        <w:rPr>
          <w:rFonts w:eastAsia="Times New Roman" w:cs="Times New Roman"/>
        </w:rPr>
      </w:pPr>
      <w:r>
        <w:rPr>
          <w:rFonts w:eastAsia="Times New Roman" w:cs="Times New Roman"/>
        </w:rPr>
        <w:t>Sedimentele lacului Mangalia au prezentat concentrații relativ ridicate ale principalelor metale grele variind între 46,8-216 mg/kg (Cr), 11,5-50,5 mg/kg (Ni), 18,4-408 mg/kg (Cu), 41,9-607 mg/kg (Zn), 2,5 - 16,5 mg/kg (As) și 8,8-150 mg/kg (Pb). Cu excepția As, toate celelalte au prezentat depășiri ale concentrațiilor caracteristice fondului natural, cele mai frecvente observându-se în cazul Cu (80%), Zn (65%) și Ni (50%), sugerând o poluare destul de ridicată cu metale grele. Concentrațiile foarte mari ale Cu și Zn pot fi asociate, în principal, cu deversări ale apelor uzate netratate sau parțial tratate, dar și cu activități agricole.</w:t>
      </w:r>
    </w:p>
    <w:p w14:paraId="37CAA91F" w14:textId="77777777" w:rsidR="00670FD4" w:rsidRDefault="00670FD4" w:rsidP="00670FD4">
      <w:pPr>
        <w:spacing w:before="0"/>
        <w:rPr>
          <w:rFonts w:eastAsia="Times New Roman" w:cs="Times New Roman"/>
          <w:i/>
        </w:rPr>
      </w:pPr>
      <w:r>
        <w:rPr>
          <w:rFonts w:eastAsia="Times New Roman" w:cs="Times New Roman"/>
          <w:i/>
        </w:rPr>
        <w:t>Ape de suprafață - ape costiere și marine</w:t>
      </w:r>
    </w:p>
    <w:p w14:paraId="74C6DF4D" w14:textId="77777777" w:rsidR="00670FD4" w:rsidRDefault="00670FD4" w:rsidP="00670FD4">
      <w:pPr>
        <w:spacing w:before="0"/>
        <w:ind w:firstLine="567"/>
        <w:rPr>
          <w:rFonts w:eastAsia="Times New Roman" w:cs="Times New Roman"/>
        </w:rPr>
      </w:pPr>
      <w:r>
        <w:rPr>
          <w:rFonts w:eastAsia="Times New Roman" w:cs="Times New Roman"/>
        </w:rPr>
        <w:t xml:space="preserve">Datele și informațiile folosite pentru evaluarea stării curente a calității apelor costiere și marine au fost preluate din raportul de stare a mediului costier și marin elaborat de INCDM </w:t>
      </w:r>
      <w:r>
        <w:rPr>
          <w:rFonts w:eastAsia="Times New Roman" w:cs="Times New Roman"/>
        </w:rPr>
        <w:lastRenderedPageBreak/>
        <w:t>Grigore Antipa (INCDM, 2022), precum și rapoartele din programul NUCLEU - GEOECOMAR, elaborate de către INCD GeoEcoMar.</w:t>
      </w:r>
    </w:p>
    <w:p w14:paraId="0C719366" w14:textId="77777777" w:rsidR="00670FD4" w:rsidRDefault="00670FD4" w:rsidP="00670FD4">
      <w:pPr>
        <w:spacing w:before="0"/>
        <w:rPr>
          <w:rFonts w:eastAsia="Times New Roman" w:cs="Times New Roman"/>
          <w:u w:val="single"/>
        </w:rPr>
      </w:pPr>
      <w:r>
        <w:rPr>
          <w:rFonts w:eastAsia="Times New Roman" w:cs="Times New Roman"/>
          <w:u w:val="single"/>
        </w:rPr>
        <w:t>pH și oxigenul dizolvat</w:t>
      </w:r>
    </w:p>
    <w:p w14:paraId="7C305E6F" w14:textId="77777777" w:rsidR="00670FD4" w:rsidRDefault="00670FD4" w:rsidP="00670FD4">
      <w:pPr>
        <w:spacing w:before="0"/>
        <w:ind w:firstLine="567"/>
        <w:rPr>
          <w:rFonts w:eastAsia="Times New Roman" w:cs="Times New Roman"/>
        </w:rPr>
      </w:pPr>
      <w:r>
        <w:rPr>
          <w:rFonts w:eastAsia="Times New Roman" w:cs="Times New Roman"/>
        </w:rPr>
        <w:t>pH-ul apelor costiere din zona Constanța a înregistrat în 2021 o medie anuală de 8,21, cu valori mai mari în perioadele de înflorire algală (iunie) și mai reduse în august-septembrie, când temperatura apei a fost ridicată favorizând procesele de descompunere oxidativă a materiei organice. Media anului 2021, continuă seria descrescătoare a ultimilor doi ani, dar se încadrează în domeniul de variabilitate din ultima decadă (INCDM, 2022).</w:t>
      </w:r>
    </w:p>
    <w:p w14:paraId="66A3B2DF" w14:textId="77777777" w:rsidR="00670FD4" w:rsidRDefault="00670FD4" w:rsidP="00670FD4">
      <w:pPr>
        <w:spacing w:before="0"/>
        <w:ind w:firstLine="567"/>
        <w:rPr>
          <w:rFonts w:eastAsia="Times New Roman" w:cs="Times New Roman"/>
        </w:rPr>
      </w:pPr>
      <w:r>
        <w:rPr>
          <w:rFonts w:eastAsia="Times New Roman" w:cs="Times New Roman"/>
        </w:rPr>
        <w:t xml:space="preserve">Saturația oxigenului dizolvat a oscilat între 62,7% și 163,2%, (media 96,8%) în apele de mică adâncime din zona Constanța, indicând, în general o bună oxigenare a acestora. Comparând valorile medii anuale, se observă o continuare a ușoarei tendințe descrescătoare, începută din 2007 (INCDM, 2022). În ciuda acestei tendințe descrescătoare, este de remarcat faptul că în ultimii ani nu s-au observat fenomene de hipoxie și anoxie în zona costieră. </w:t>
      </w:r>
    </w:p>
    <w:p w14:paraId="3111FA3E" w14:textId="77777777" w:rsidR="00670FD4" w:rsidRDefault="00670FD4" w:rsidP="00670FD4">
      <w:pPr>
        <w:spacing w:before="0"/>
        <w:rPr>
          <w:rFonts w:eastAsia="Times New Roman" w:cs="Times New Roman"/>
          <w:u w:val="single"/>
        </w:rPr>
      </w:pPr>
      <w:r>
        <w:rPr>
          <w:rFonts w:eastAsia="Times New Roman" w:cs="Times New Roman"/>
          <w:u w:val="single"/>
        </w:rPr>
        <w:t xml:space="preserve">Nutrienți și clorofila </w:t>
      </w:r>
      <w:r>
        <w:rPr>
          <w:rFonts w:eastAsia="Times New Roman" w:cs="Times New Roman"/>
          <w:i/>
          <w:u w:val="single"/>
        </w:rPr>
        <w:t xml:space="preserve">a </w:t>
      </w:r>
    </w:p>
    <w:p w14:paraId="19B9DF36" w14:textId="77777777" w:rsidR="00670FD4" w:rsidRDefault="00670FD4" w:rsidP="00670FD4">
      <w:pPr>
        <w:spacing w:before="0"/>
        <w:ind w:firstLine="567"/>
        <w:rPr>
          <w:rFonts w:eastAsia="Times New Roman" w:cs="Times New Roman"/>
        </w:rPr>
      </w:pPr>
      <w:r>
        <w:rPr>
          <w:rFonts w:eastAsia="Times New Roman" w:cs="Times New Roman"/>
        </w:rPr>
        <w:t xml:space="preserve">În zona de mică adâncime de la Constanța nutrienții au prezentat, în 2021, concentrații normale, caracterizate printr-o variabilitate sezonieră ridicată (de obicei, maximele au fost măsurate în prima parte a anului, când debitele Dunării au fost mai ridicate), în linia celor măsurate în ultimii ani. Fosfații au prezentat o medie anuală de 0,63 µM, ușor mai ridicată comparativ cu mediile anuale din ultimii 20 de ani (cu excepția anului 2019) (INCDM, 2022). Silicații au prezentat o valoare medie anuală relativ scăzută, respectiv 7,4 µM, confirmând tendința de descreștere din ultimii ani. Compușii anorganici cu azot au prezentat concentrații medii anuale de 4,82 µM - azotații, 1,33 µM - azotații și 4,5 µM - amoniul (INCDM, 2022). Dacă pentru azotați și amoniu, aceste medii anuale confirmă tendința de ușoară scădere observată în ultimii ani, azotiții prezintă o medie anuală ridicată, confirmând tendința de creștere din ultimii 2-3 ani. Conţinutul de clorofilă a determinat în anul 2021 în apele de mică adâncime de la Constanța a variat între 0,21 și 12,35 μg/L (media 2,35 μg/L) este comparabilă cu cea din 2020 și 2019 (2,56 μg/L). </w:t>
      </w:r>
    </w:p>
    <w:p w14:paraId="0AB4E76C" w14:textId="77777777" w:rsidR="00670FD4" w:rsidRDefault="00670FD4" w:rsidP="00670FD4">
      <w:pPr>
        <w:spacing w:before="0"/>
        <w:ind w:firstLine="567"/>
        <w:rPr>
          <w:rFonts w:eastAsia="Times New Roman" w:cs="Times New Roman"/>
          <w:u w:val="single"/>
        </w:rPr>
      </w:pPr>
      <w:r>
        <w:rPr>
          <w:rFonts w:eastAsia="Times New Roman" w:cs="Times New Roman"/>
        </w:rPr>
        <w:t>Măsurătorile efectuate de către INCD GeoEcoMar, în vara anului 2021, în apele marine, au arătat cele mai ridicate concentrații ale fosforului anorganic în fața gurilor de vărsare a brațelor Sulina (0,32 µM) și Sfântu Gheorghe (0,37 µM). De asemenea, concentrații relativ ridicate ale fosfaților în stratul de suprafață s-au măsurat și în zona de deversare a apelor tratate în stației de epurare Eforie (0,30 µM), unde și concentrațiile formelor oxidate ale azotului anorganic au prezentat valorile maxime (azotiții – 0,24 µM, azotații – 1,28 µM). Faptul că maximele azotaților, azotiților și silicaților s-au măsurat în zona stației de epurare Eforie (influența deversărilor de ape probabil, insuficient epurate, dar și a portului Constanța Sud-Agigea) și nu în fața gurilor Dunării constituie un fenomen destul de neobișnuit pentru ultimii ani, sugerând o poluare locală, probabil accidentală. În ceea ce privește concentrația azotului amoniacal, s-au observat valori relativ ridicate în mai multe zone din apropierea țărmului, respectiv în zona baia Portița (1,73 µM) și în fața porturilor Constanța (1,46 µM) și Mangalia (1,64 µM).</w:t>
      </w:r>
    </w:p>
    <w:p w14:paraId="591ED4AD" w14:textId="77777777" w:rsidR="00670FD4" w:rsidRDefault="00670FD4" w:rsidP="00670FD4">
      <w:pPr>
        <w:ind w:firstLine="567"/>
        <w:rPr>
          <w:rFonts w:eastAsia="Times New Roman" w:cs="Times New Roman"/>
        </w:rPr>
      </w:pPr>
      <w:r>
        <w:rPr>
          <w:rFonts w:eastAsia="Times New Roman" w:cs="Times New Roman"/>
        </w:rPr>
        <w:lastRenderedPageBreak/>
        <w:t xml:space="preserve">Clorofila a, considerată un proxy al biomasei fitoplanctonice, precum și al productivității primare, a prezentat, de asemenea o variabilitate spațială foarte ridicată. În stratul de suprafață, clorofila a prezentat concentrațiile maxime în partea nordică a zonei costiere (în fața gurii de vărsare a brațelor Sulina (10,06 µg/L) și Sf. Gheorghe (4,82 µg/L), precum și în baia Portița (7,48 µg/L), indicând o înflorire algală puternică în zona de influență directă a Dunării. </w:t>
      </w:r>
    </w:p>
    <w:p w14:paraId="0ED1E4C4" w14:textId="77777777" w:rsidR="00670FD4" w:rsidRDefault="00670FD4" w:rsidP="00670FD4">
      <w:pPr>
        <w:spacing w:before="0"/>
        <w:ind w:firstLine="567"/>
        <w:rPr>
          <w:rFonts w:eastAsia="Times New Roman" w:cs="Times New Roman"/>
          <w:u w:val="single"/>
        </w:rPr>
      </w:pPr>
      <w:r>
        <w:rPr>
          <w:rFonts w:eastAsia="Times New Roman" w:cs="Times New Roman"/>
        </w:rPr>
        <w:t>Atât în cazul nutrienților (fosfați și compuși anorganici cu azot), cât și al clorofilei a medii anuale situate cu mult sub valorile prag stabilite pentru definirea stării ecologice bune (SEB) a apelor costiere și a celor cu salinitate variabilă, în conformitate cu Directiva Cadru privind Strategia pentru Mediul Marin (Boicenco și colab., 2018).</w:t>
      </w:r>
    </w:p>
    <w:p w14:paraId="2541E69B" w14:textId="77777777" w:rsidR="00670FD4" w:rsidRDefault="00670FD4" w:rsidP="00670FD4">
      <w:pPr>
        <w:spacing w:before="0"/>
        <w:rPr>
          <w:rFonts w:eastAsia="Times New Roman" w:cs="Times New Roman"/>
          <w:u w:val="single"/>
        </w:rPr>
      </w:pPr>
      <w:r>
        <w:rPr>
          <w:rFonts w:eastAsia="Times New Roman" w:cs="Times New Roman"/>
          <w:u w:val="single"/>
        </w:rPr>
        <w:t>Contaminanti anorganici în apă</w:t>
      </w:r>
    </w:p>
    <w:p w14:paraId="6C389302" w14:textId="77777777" w:rsidR="00670FD4" w:rsidRDefault="00670FD4" w:rsidP="00670FD4">
      <w:pPr>
        <w:spacing w:before="0"/>
        <w:ind w:firstLine="567"/>
        <w:rPr>
          <w:rFonts w:eastAsia="Times New Roman" w:cs="Times New Roman"/>
        </w:rPr>
      </w:pPr>
      <w:r>
        <w:rPr>
          <w:rFonts w:eastAsia="Times New Roman" w:cs="Times New Roman"/>
        </w:rPr>
        <w:t>Concentrațiile metalelor grele determinate în 2021 în apele marine, în stratul de suprafață, au fost caracterizate de un grad ridicat de variabilitate, dar în ansamblu cu valori medii încadrate în domenii normale: 7,29 (1,12–41,62) µg/L Cu; 0,25 (0,01–3,32) µg/L Cd; 2,55 (0,01–23,58) µg/L Pb; 3,12 (0,03–32,48) µg/L Ni; 6,89 (1,17–26,59) µg/L Cr. Conform INCDM (2022), starea chimice a apelor costiere și marine din punct de vederea al indicatorului metale grele în apă, în vara anului 2021, a fost una bună în raport cu standardele de calitate pentru metale grele (WFD-EQS Directive 2013/39/EU) (Boicenco și colab., 2018). În cazul Ni și Cr nu s-au înregistrat depășiri ale valorilor prag, în timp ce pentru Cd și Pb procentul depășirilor valorilor prag a fost foarte scăzut (2-5 %), aceste depășiri fiind observate în zona de influență a Dunării (baia Portița).</w:t>
      </w:r>
    </w:p>
    <w:p w14:paraId="516CB79A" w14:textId="77777777" w:rsidR="00670FD4" w:rsidRDefault="00670FD4" w:rsidP="00670FD4">
      <w:pPr>
        <w:spacing w:before="0"/>
        <w:rPr>
          <w:rFonts w:eastAsia="Times New Roman" w:cs="Times New Roman"/>
          <w:u w:val="single"/>
        </w:rPr>
      </w:pPr>
      <w:r>
        <w:rPr>
          <w:rFonts w:eastAsia="Times New Roman" w:cs="Times New Roman"/>
          <w:u w:val="single"/>
        </w:rPr>
        <w:t>Contaminanti organici în apă</w:t>
      </w:r>
    </w:p>
    <w:p w14:paraId="52CC5CCC" w14:textId="77777777" w:rsidR="00670FD4" w:rsidRDefault="00670FD4" w:rsidP="00670FD4">
      <w:pPr>
        <w:spacing w:before="0"/>
        <w:ind w:firstLine="567"/>
        <w:rPr>
          <w:rFonts w:eastAsia="Times New Roman" w:cs="Times New Roman"/>
        </w:rPr>
      </w:pPr>
      <w:r>
        <w:rPr>
          <w:rFonts w:eastAsia="Times New Roman" w:cs="Times New Roman"/>
        </w:rPr>
        <w:t xml:space="preserve">În anul 2021, concentrațiile hidrocarburilor petroliere totale (HPT) în stratul de suprafață al apelor costiere românești s-au situat între 0,21–34,04 μg/L (INCDM, 2022). </w:t>
      </w:r>
    </w:p>
    <w:p w14:paraId="0510CD63" w14:textId="77777777" w:rsidR="00670FD4" w:rsidRDefault="00670FD4" w:rsidP="00670FD4">
      <w:pPr>
        <w:spacing w:before="0"/>
        <w:ind w:firstLine="567"/>
        <w:rPr>
          <w:rFonts w:eastAsia="Times New Roman" w:cs="Times New Roman"/>
        </w:rPr>
      </w:pPr>
      <w:r>
        <w:rPr>
          <w:rFonts w:eastAsia="Times New Roman" w:cs="Times New Roman"/>
        </w:rPr>
        <w:t xml:space="preserve">Referitor la hidrocarburile policiclice aromatice (HAP), concentrațiile celor 16 compuși investigaţi s-au situat între valori sub limita de cuantificare și 1,20 µg/L. Valori peste limita de cuantificare au fost măsurate ocazional pentru antracen, acenaften, benzo[a]antracen, crisen, dibenzo(a,h)antracen şi benzo(g,h,i)perilen, în timp ce naftalina, fluorenul, fenantrenul, antracenul, fluorantenul, pirenul şi indeno(1,2,3-c,d)pirenul au avut frecvent concentraţii mai mari de 0,01 µg/L (INCDM, 2022), în special în zona portului Constanța, dar și în zona de influență directă a Dunării. </w:t>
      </w:r>
    </w:p>
    <w:p w14:paraId="70A4092E" w14:textId="77777777" w:rsidR="00670FD4" w:rsidRDefault="00670FD4" w:rsidP="00670FD4">
      <w:pPr>
        <w:spacing w:before="0"/>
        <w:ind w:firstLine="567"/>
        <w:rPr>
          <w:rFonts w:eastAsia="Times New Roman" w:cs="Times New Roman"/>
        </w:rPr>
      </w:pPr>
      <w:r>
        <w:rPr>
          <w:rFonts w:eastAsia="Times New Roman" w:cs="Times New Roman"/>
        </w:rPr>
        <w:t>Depășiri frecvente ale valorilor standard de calitate propuse pentru apă, în vederea definirii stării chimice bune conform Directivei 2013/39/EU (Boicenco et al., 2018), au fost observate, în 2021, pentru o serie de pesticide organoclorurate, respectiv pentru suma de ciclodiene (în 95% dintre probe), lindan (82,5%), suma de DDT (82,5%) și p,p’ DDT (75%), indicând în cazul acestora o stare chimică proastă. Concentrațiile mari au fost măsurate pentru p,p’ DDT, în zona de vărsare a brațului Sfântul Gheorghe, dar și în fața portului Mangalia.</w:t>
      </w:r>
    </w:p>
    <w:p w14:paraId="60012F15" w14:textId="77777777" w:rsidR="00670FD4" w:rsidRDefault="00670FD4" w:rsidP="00670FD4">
      <w:pPr>
        <w:spacing w:before="0"/>
        <w:rPr>
          <w:rFonts w:eastAsia="Times New Roman" w:cs="Times New Roman"/>
          <w:i/>
        </w:rPr>
      </w:pPr>
      <w:r>
        <w:rPr>
          <w:rFonts w:eastAsia="Times New Roman" w:cs="Times New Roman"/>
          <w:i/>
        </w:rPr>
        <w:t>Sedimente marine</w:t>
      </w:r>
    </w:p>
    <w:p w14:paraId="28781EC2" w14:textId="77777777" w:rsidR="00670FD4" w:rsidRDefault="00670FD4" w:rsidP="00670FD4">
      <w:pPr>
        <w:spacing w:before="0"/>
        <w:ind w:firstLine="567"/>
        <w:rPr>
          <w:rFonts w:eastAsia="Times New Roman" w:cs="Times New Roman"/>
        </w:rPr>
      </w:pPr>
      <w:r>
        <w:rPr>
          <w:rFonts w:eastAsia="Times New Roman" w:cs="Times New Roman"/>
        </w:rPr>
        <w:t xml:space="preserve">Datele furnizate de INCDM Grigore Antipa și INCD GeoEcoMar în vara anului 2021, referitoare la concentrațiile metalelor grele în sedimentele superficiale ale șelfului intern românesc arată o variabilitate foarte ridicată, valorile acestora variind între 30–140 μg/g (Cr); </w:t>
      </w:r>
      <w:r>
        <w:rPr>
          <w:rFonts w:eastAsia="Times New Roman" w:cs="Times New Roman"/>
        </w:rPr>
        <w:lastRenderedPageBreak/>
        <w:t xml:space="preserve">0,06-1,12 μg/g (Cd); 20–60 μg/g (Ni); 10–79 μg/g (Cu); 40–120 μg/g (Zn); 2–10 μg/g (As); 0,03–0,20 μg/g (Hg) și 10–96 μg/g (Pb). Cea mai mare încărcătură de metale grele prin aport antropic a fost observată în sedimentele din incinta portului Constanţa, aici măsurȃndu-se valori maxime ale cuprului (79 μg/g), cadmiului (1,12 μg/g) şi plumbului (96 μg/g) (INCDM, 2022). De asemenea, majoritatea elementelor investigate înregistrează valori mai mari de acumulare în sedimentele din faţa gurilor Dunării (Cr - 80-110 μg/g, Ni - 50-60 μg/g, Zn - 90-120 μg/g, As - 9-10μg/g și Hg - 0,11-0,14 μg/g). În zona platformelor petroliere din baia Portița, se remarcă concentrațiile mari de Cr (100 μg/g), Ni (60 μg/g), As (10 μg/g) și, în special Hg (0,20 μg/g). </w:t>
      </w:r>
    </w:p>
    <w:p w14:paraId="2340C20F" w14:textId="77777777" w:rsidR="00670FD4" w:rsidRDefault="00670FD4" w:rsidP="00670FD4">
      <w:pPr>
        <w:spacing w:before="0"/>
        <w:ind w:firstLine="567"/>
        <w:rPr>
          <w:rFonts w:eastAsia="Times New Roman" w:cs="Times New Roman"/>
        </w:rPr>
      </w:pPr>
      <w:r>
        <w:rPr>
          <w:rFonts w:eastAsia="Times New Roman" w:cs="Times New Roman"/>
        </w:rPr>
        <w:t xml:space="preserve">Starea sedimentelor marine în 2021, în raport cu standardele de calitate pentru sedimente marine (ERL), este considerată bună, în situația în care procentul depășirilor ERL pentru majoritatea metalelor analizate este situat sub 25% din totalul probelor analizate. </w:t>
      </w:r>
    </w:p>
    <w:p w14:paraId="06617B2A" w14:textId="77777777" w:rsidR="00670FD4" w:rsidRDefault="00670FD4" w:rsidP="00670FD4">
      <w:pPr>
        <w:spacing w:before="0"/>
        <w:ind w:firstLine="567"/>
        <w:rPr>
          <w:rFonts w:eastAsia="Times New Roman" w:cs="Times New Roman"/>
        </w:rPr>
      </w:pPr>
      <w:r>
        <w:rPr>
          <w:rFonts w:eastAsia="Times New Roman" w:cs="Times New Roman"/>
        </w:rPr>
        <w:t>Concentrațiile de hidrocarburi totale din probele de sediment prelevate 2021 au prezentat o variabilitate spațială foarte ridicată, fiind cuprinse în intervalul 0,48-329,97 μg/g sediment uscat (INCDM, 2022). Aceste valori au fost semnificativ mai scăzute comparativ cu anul 2020 (valoarea maximă înregistrată - 512,47 μg/g sediment uscat), confirmând o ușoară tendință de scădere observată în ultimii ani. Majoritatea concentraţiile determinate (96 %), au fost sub limita maxim admisibilă (100 μg/g) impusă de „Ordinul MAPPM nr.756/1997 pentru aprobarea Reglementării privind evaluarea poluării mediului”, indicând o stare ecologică bună sedimentelor marine. Valoarea maximă (329,97 μg/g sediment uscat) s-a înregistrat în zona de deversare a apelor uzate din stația Constanța-Sud, dar concentrații peste limita admisă s-au determinat și în zona de deversare a apelor uzate de la stația Constanța Nord (284,57 μg/g sediment uscat), precum și în zona Costineşti (262,21 μg/g sediment uscat) (INCDM, 2022).</w:t>
      </w:r>
    </w:p>
    <w:p w14:paraId="64BEB932" w14:textId="77777777" w:rsidR="00670FD4" w:rsidRDefault="00670FD4" w:rsidP="00670FD4">
      <w:pPr>
        <w:spacing w:before="0"/>
        <w:ind w:firstLine="567"/>
        <w:rPr>
          <w:rFonts w:eastAsia="Times New Roman" w:cs="Times New Roman"/>
        </w:rPr>
      </w:pPr>
      <w:r>
        <w:rPr>
          <w:rFonts w:eastAsia="Times New Roman" w:cs="Times New Roman"/>
        </w:rPr>
        <w:t xml:space="preserve">În 2021, conţinutul total de hidrocarburi aromatice polinucleare (∑16 HAP) a variat în intervalul 0,002-7,87 μg/g sediment uscat, depășind valoarea prag de 1,00 µg/g (Boicenco și colab., 2018) în doar 1,3 % din probele analizate (INCDM, 2022), ceea ce indică o stare ecologică bună. Concentraţiile compuşilor individuali au fost comparate cu valorile prag ce definesc starea ecologică bună a compușilor individuali în zona românească a Mării Negre în acord cu metodologia OSPAR, respectiv valorile ERL (Boicenco et al., 2018). Valorile prag care definesc starea ecologică bună în sedimente au fost depăşite de acenaftilen, acenaften, fluoren, fenantren, antracen, fluoranten, benzo[a]piren, benzo(g,h,i)perilen, indeno(1,2,3-c,d)piren în 0,6-2 % din probe (INCDM, 2022), confirmând astfel stare ecologică bună a sedimentelor marine în raport cu hidrocarburile policilice aromatice. </w:t>
      </w:r>
    </w:p>
    <w:p w14:paraId="03D3A330" w14:textId="77777777" w:rsidR="00670FD4" w:rsidRDefault="00670FD4" w:rsidP="00670FD4">
      <w:pPr>
        <w:spacing w:before="0"/>
        <w:ind w:firstLine="567"/>
        <w:rPr>
          <w:rFonts w:eastAsia="Times New Roman" w:cs="Times New Roman"/>
        </w:rPr>
      </w:pPr>
      <w:r>
        <w:rPr>
          <w:rFonts w:eastAsia="Times New Roman" w:cs="Times New Roman"/>
        </w:rPr>
        <w:t xml:space="preserve">Concentraţiile pesticidelor organoclorurate în sedimente au variat între limita de cuantificare şi 61,34 µg/g sediment uscat. Concentraţiile cele mai mari au fost măsurate în zona de influență directă a Dunării, dar și în partea sudică (zona porturilor Constanța și Mangalia, zone de deversare a apelor epurate din stația Eforie), mai ales pentru lindan, endrin și p,p’ DDT (INCDM, 2022). Depăşiri ale valorilor limită pentru definirea stării ecologice bune s-au observat în special pentru HCB și lindan în 57%, respectiv 40% din probele analizate (INCDM, 2022), sugerând o stare chimică proastă pentru acești compuși. </w:t>
      </w:r>
    </w:p>
    <w:p w14:paraId="69280AC1" w14:textId="77777777" w:rsidR="00670FD4" w:rsidRDefault="00670FD4" w:rsidP="00670FD4">
      <w:pPr>
        <w:spacing w:before="0"/>
        <w:rPr>
          <w:rFonts w:eastAsia="Times New Roman" w:cs="Times New Roman"/>
          <w:i/>
        </w:rPr>
      </w:pPr>
      <w:r>
        <w:rPr>
          <w:rFonts w:eastAsia="Times New Roman" w:cs="Times New Roman"/>
          <w:i/>
        </w:rPr>
        <w:t>Ape de îmbăiere</w:t>
      </w:r>
    </w:p>
    <w:p w14:paraId="40316F4C" w14:textId="77777777" w:rsidR="00670FD4" w:rsidRDefault="00670FD4" w:rsidP="00670FD4">
      <w:pPr>
        <w:spacing w:before="0"/>
        <w:ind w:firstLine="567"/>
        <w:rPr>
          <w:rFonts w:eastAsia="Times New Roman" w:cs="Times New Roman"/>
        </w:rPr>
      </w:pPr>
      <w:r>
        <w:rPr>
          <w:rFonts w:eastAsia="Times New Roman" w:cs="Times New Roman"/>
        </w:rPr>
        <w:lastRenderedPageBreak/>
        <w:t>Conform Raportului anual privind calitatea apelor de îmbăiere elaborat la nivel european, în anul 2022, din cele 50 de zone de îmbăiere, 46 s-au încadrat în valorile corespunzătoare calității excelente, iar 4 zone de îmbăiere au fost de calitate bună.</w:t>
      </w:r>
    </w:p>
    <w:p w14:paraId="438780A3" w14:textId="77777777" w:rsidR="00670FD4" w:rsidRDefault="00670FD4" w:rsidP="00670FD4">
      <w:pPr>
        <w:pStyle w:val="Heading4"/>
      </w:pPr>
      <w:bookmarkStart w:id="68" w:name="_Toc171084833"/>
      <w:r>
        <w:t>2.4.2.3 Soluri</w:t>
      </w:r>
      <w:bookmarkEnd w:id="68"/>
    </w:p>
    <w:p w14:paraId="405ED8BD" w14:textId="77777777" w:rsidR="00670FD4" w:rsidRDefault="00670FD4" w:rsidP="00670FD4">
      <w:pPr>
        <w:ind w:firstLine="567"/>
        <w:rPr>
          <w:rFonts w:eastAsia="Times New Roman" w:cs="Times New Roman"/>
        </w:rPr>
      </w:pPr>
      <w:r>
        <w:rPr>
          <w:rFonts w:eastAsia="Times New Roman" w:cs="Times New Roman"/>
        </w:rPr>
        <w:t>Particularitățile zonei evaluate, respectiv climatul temperat-continental cu influențe marine, apa, cu precădere corpurile de apă de suprafață în cazul zonei costiere, materialul parental reprezentat în general de calcare jurasice și cretacice, relieful, vegetația și fauna caracteristice zonei de stepă și, nu în ultimul rând timpul și activitatea antropică au dus la formarea unei varietăți deosebite de soluri (58 de tipuri și subtipuri de soluri prezentate în Fig. 2.4.2.3.1).). Apar astfel soluri dintre cele mai fertile, respectiv cernoziomurile, până la soluri mai puțin productive, rendzinice, la care procentul de schelet (rocile) poate să depășească valoarea de 50%. De asemenea, apar și soluri ce reflectă condițiile locale specifice, respectiv soluri turboase în Delta Dunarii, sau cu conținut mare de săruri, respectiv soloneturi și solonceacuri, fără să lipsească, însă, nici solurile nisipoase, psamosolurile.</w:t>
      </w:r>
    </w:p>
    <w:p w14:paraId="11AD973D" w14:textId="77777777" w:rsidR="00670FD4" w:rsidRDefault="00670FD4" w:rsidP="00670FD4">
      <w:pPr>
        <w:spacing w:before="0"/>
        <w:ind w:firstLine="567"/>
        <w:rPr>
          <w:rFonts w:eastAsia="Times New Roman" w:cs="Times New Roman"/>
        </w:rPr>
      </w:pPr>
      <w:r>
        <w:rPr>
          <w:rFonts w:eastAsia="Times New Roman" w:cs="Times New Roman"/>
        </w:rPr>
        <w:t>Din punct de vedere al indicatorilor privind calitatea solurilor se constată că cea mai mare parte din solurile din zona costieră sunt încadrate în categoria solurilor foarte productive, fiind reprezentate de cernoziomuri și kastanoziomuri, incluse în clasa Cernisoluri. În Dobrogea, cernoziomurile sunt caracterizate printr-un conținut mediu de humus (3,5-4%), sunt bine asigurate în săruri solubile și au un conținut mediu de elemente nutritive, pH-ul poate varia între 7 la cernoziomuri tipice și 8,4 la cernoziomuri calcarice și la kastanoziomuri. Aceste caracteristici oferă condiții medii de fertilitate, fiind favorabile pentru majoritatea culturilor agricole. Solurile din imediata vecinătate a lacurilor litorale au caracteristici de salinitate medie către pronunțată, iar pH-ul crește până la valori de 8 – 9, aceste zone fiind favorabile numai pentru plantele halofile, adaptate la condiții de salinitate ridicată.</w:t>
      </w:r>
    </w:p>
    <w:p w14:paraId="4B8FCB10" w14:textId="77777777" w:rsidR="00670FD4" w:rsidRDefault="00670FD4" w:rsidP="00670FD4">
      <w:pPr>
        <w:spacing w:before="0"/>
        <w:ind w:firstLine="567"/>
        <w:rPr>
          <w:rFonts w:eastAsia="Times New Roman" w:cs="Times New Roman"/>
        </w:rPr>
      </w:pPr>
      <w:r>
        <w:rPr>
          <w:rFonts w:eastAsia="Times New Roman" w:cs="Times New Roman"/>
        </w:rPr>
        <w:t xml:space="preserve">Principalii indicatori fizici de caracterizare a solurilor sunt alcătuirea granulometrică (textura), structura si gradul de tasare. Solurile din perimetrul analizat sunt în cea mai mare parte soluri lutoase sau cu un conținut mai ridicat în fracțiuni granulometrice grosiere (soluri nisipoase) ceea ce oferă un regim aerohidric favorabil dezvoltării plantelor. În condiții naturale solurile sunt bine structurate, prezinta agregate structurale stabile, de regulă cu structură poliedrică bine dezvoltată. </w:t>
      </w:r>
    </w:p>
    <w:p w14:paraId="666DFEB9" w14:textId="77777777" w:rsidR="00670FD4" w:rsidRDefault="00670FD4" w:rsidP="00670FD4">
      <w:pPr>
        <w:spacing w:before="0"/>
        <w:ind w:firstLine="567"/>
        <w:rPr>
          <w:rFonts w:eastAsia="Times New Roman" w:cs="Times New Roman"/>
        </w:rPr>
      </w:pPr>
      <w:r>
        <w:rPr>
          <w:rFonts w:eastAsia="Times New Roman" w:cs="Times New Roman"/>
        </w:rPr>
        <w:t>Activitatea microbiologică a solului este bună, fiind influențată de cantitatea de humus, de umiditatea solului și regimul de aeratie a solului. Pe solurile bine aprovizionate în materie organică, cu textură lutoasă și bine structurate pot apărea subtipurile vermice care sunt caracterizate de activitate intensă a râmelor și apariția neoformațiunilor biogene specifice – coprolite, într-un procent de peste 25% din volumul solului.</w:t>
      </w:r>
    </w:p>
    <w:p w14:paraId="24D1FE36" w14:textId="77777777" w:rsidR="00670FD4" w:rsidRDefault="00670FD4" w:rsidP="00670FD4">
      <w:pPr>
        <w:spacing w:before="0"/>
        <w:ind w:firstLine="567"/>
        <w:rPr>
          <w:rFonts w:eastAsia="Times New Roman" w:cs="Times New Roman"/>
        </w:rPr>
      </w:pPr>
      <w:r>
        <w:rPr>
          <w:rFonts w:eastAsia="Times New Roman" w:cs="Times New Roman"/>
        </w:rPr>
        <w:t>Din punct de vedere al riscurilor de degradare sunt de menționat eroziunea hidrică și eoliană, poluare urbană și industrială, aridizare, pierderea stratului de turbă din Delta Dunarii sau salinizarea solurilor. Riscurile menționate pot fi gestionate printr-o utilizare sustenabilă a acestei resurse.</w:t>
      </w:r>
    </w:p>
    <w:p w14:paraId="271232E3" w14:textId="77777777" w:rsidR="00670FD4" w:rsidRDefault="00670FD4" w:rsidP="00670FD4">
      <w:pPr>
        <w:ind w:firstLine="567"/>
        <w:rPr>
          <w:rFonts w:eastAsia="Times New Roman" w:cs="Times New Roman"/>
        </w:rPr>
      </w:pPr>
    </w:p>
    <w:p w14:paraId="0036FD12" w14:textId="77777777" w:rsidR="00670FD4" w:rsidRDefault="00670FD4" w:rsidP="00670FD4">
      <w:pPr>
        <w:pBdr>
          <w:top w:val="nil"/>
          <w:left w:val="nil"/>
          <w:bottom w:val="nil"/>
          <w:right w:val="nil"/>
          <w:between w:val="nil"/>
        </w:pBdr>
        <w:spacing w:after="200" w:line="240" w:lineRule="auto"/>
        <w:rPr>
          <w:rFonts w:eastAsia="Times New Roman" w:cs="Times New Roman"/>
          <w:color w:val="000000"/>
        </w:rPr>
      </w:pPr>
      <w:r>
        <w:rPr>
          <w:rFonts w:eastAsia="Times New Roman" w:cs="Times New Roman"/>
          <w:noProof/>
          <w:color w:val="000000"/>
          <w:highlight w:val="white"/>
        </w:rPr>
        <w:lastRenderedPageBreak/>
        <w:drawing>
          <wp:inline distT="0" distB="0" distL="0" distR="0" wp14:anchorId="5E155884" wp14:editId="73F1A1E2">
            <wp:extent cx="5463540" cy="5920740"/>
            <wp:effectExtent l="0" t="0" r="3810" b="3810"/>
            <wp:docPr id="2141401967" name="image29.jpg" descr="https://lh7-us.googleusercontent.com/stkxflSpkh7V0b-lkH3jeS3_UHowg9bW4Jo0MNTQGn_-qOA37JywWGSm4xqTw-z_0GdUN92aQne1uLKA_Y1R-ACaX87OMv8G4_53a0DKTwHFUuiMc1m-7QxsJrEfu_eYRBCWlQMFTW2K"/>
            <wp:cNvGraphicFramePr/>
            <a:graphic xmlns:a="http://schemas.openxmlformats.org/drawingml/2006/main">
              <a:graphicData uri="http://schemas.openxmlformats.org/drawingml/2006/picture">
                <pic:pic xmlns:pic="http://schemas.openxmlformats.org/drawingml/2006/picture">
                  <pic:nvPicPr>
                    <pic:cNvPr id="0" name="image29.jpg" descr="https://lh7-us.googleusercontent.com/stkxflSpkh7V0b-lkH3jeS3_UHowg9bW4Jo0MNTQGn_-qOA37JywWGSm4xqTw-z_0GdUN92aQne1uLKA_Y1R-ACaX87OMv8G4_53a0DKTwHFUuiMc1m-7QxsJrEfu_eYRBCWlQMFTW2K"/>
                    <pic:cNvPicPr preferRelativeResize="0"/>
                  </pic:nvPicPr>
                  <pic:blipFill>
                    <a:blip r:embed="rId27"/>
                    <a:srcRect/>
                    <a:stretch>
                      <a:fillRect/>
                    </a:stretch>
                  </pic:blipFill>
                  <pic:spPr>
                    <a:xfrm>
                      <a:off x="0" y="0"/>
                      <a:ext cx="5463540" cy="5920740"/>
                    </a:xfrm>
                    <a:prstGeom prst="rect">
                      <a:avLst/>
                    </a:prstGeom>
                    <a:ln/>
                  </pic:spPr>
                </pic:pic>
              </a:graphicData>
            </a:graphic>
          </wp:inline>
        </w:drawing>
      </w:r>
    </w:p>
    <w:p w14:paraId="58973D68" w14:textId="77777777" w:rsidR="00670FD4" w:rsidRDefault="00670FD4" w:rsidP="00670FD4">
      <w:pPr>
        <w:pBdr>
          <w:top w:val="nil"/>
          <w:left w:val="nil"/>
          <w:bottom w:val="nil"/>
          <w:right w:val="nil"/>
          <w:between w:val="nil"/>
        </w:pBdr>
        <w:spacing w:after="240" w:line="240" w:lineRule="auto"/>
        <w:jc w:val="center"/>
        <w:rPr>
          <w:rFonts w:eastAsia="Times New Roman" w:cs="Times New Roman"/>
          <w:b/>
          <w:color w:val="000000"/>
          <w:highlight w:val="white"/>
        </w:rPr>
      </w:pPr>
      <w:r>
        <w:rPr>
          <w:rFonts w:eastAsia="Times New Roman" w:cs="Times New Roman"/>
          <w:b/>
          <w:color w:val="000000"/>
          <w:highlight w:val="white"/>
        </w:rPr>
        <w:t>Fig. 2.4.2.3.1 Solurile din zona costieră a României</w:t>
      </w:r>
    </w:p>
    <w:p w14:paraId="3D1B9C85" w14:textId="77777777" w:rsidR="00670FD4" w:rsidRDefault="00670FD4" w:rsidP="00670FD4">
      <w:pPr>
        <w:pBdr>
          <w:top w:val="nil"/>
          <w:left w:val="nil"/>
          <w:bottom w:val="nil"/>
          <w:right w:val="nil"/>
          <w:between w:val="nil"/>
        </w:pBdr>
        <w:spacing w:after="240" w:line="240" w:lineRule="auto"/>
        <w:jc w:val="center"/>
        <w:rPr>
          <w:rFonts w:eastAsia="Times New Roman" w:cs="Times New Roman"/>
          <w:b/>
          <w:color w:val="000000"/>
          <w:highlight w:val="white"/>
        </w:rPr>
      </w:pPr>
    </w:p>
    <w:p w14:paraId="67506518" w14:textId="77777777" w:rsidR="00670FD4" w:rsidRDefault="00670FD4" w:rsidP="00670FD4">
      <w:pPr>
        <w:pStyle w:val="Heading3"/>
      </w:pPr>
      <w:bookmarkStart w:id="69" w:name="_Toc150501465"/>
      <w:bookmarkStart w:id="70" w:name="_Toc171084834"/>
      <w:r>
        <w:t>2.4.3 Biodiversitate</w:t>
      </w:r>
      <w:bookmarkEnd w:id="69"/>
      <w:bookmarkEnd w:id="70"/>
    </w:p>
    <w:p w14:paraId="12432E33"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 xml:space="preserve">În zona costieră, biodiversitatea se poate cuantifica în număr de specii, tipuri de habitate și arii protejate. </w:t>
      </w:r>
    </w:p>
    <w:p w14:paraId="36502442" w14:textId="77777777" w:rsidR="00670FD4" w:rsidRDefault="00670FD4" w:rsidP="00670FD4">
      <w:pPr>
        <w:pBdr>
          <w:top w:val="nil"/>
          <w:left w:val="nil"/>
          <w:bottom w:val="nil"/>
          <w:right w:val="nil"/>
          <w:between w:val="nil"/>
        </w:pBdr>
        <w:spacing w:before="0"/>
        <w:rPr>
          <w:rFonts w:eastAsia="Times New Roman" w:cs="Times New Roman"/>
          <w:i/>
          <w:color w:val="000000"/>
        </w:rPr>
      </w:pPr>
      <w:r>
        <w:rPr>
          <w:rFonts w:eastAsia="Times New Roman" w:cs="Times New Roman"/>
          <w:i/>
          <w:color w:val="000000"/>
        </w:rPr>
        <w:t>Număr de specii</w:t>
      </w:r>
    </w:p>
    <w:p w14:paraId="3B8BC7A0"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 xml:space="preserve">Numărul total de specii din zona litorală nu poate fi stabilit cu precizie, existând în continuare grupe taxonomice insuficient cunoscute pe de-o parte, iar pe de altă parte există specii străine și invazive, care apar în permanență atât în habitatele marine, cât și în cele dulcicole și terestre datorită diverselor activități umane, de la transporturi la turism și de la activitățile agricole la industria pet-shopurilor. Cu toate acestea, există lucrări de sinteză datând </w:t>
      </w:r>
      <w:r>
        <w:rPr>
          <w:rFonts w:eastAsia="Times New Roman" w:cs="Times New Roman"/>
          <w:color w:val="000000"/>
        </w:rPr>
        <w:lastRenderedPageBreak/>
        <w:t>din anii 2000, unde sunt listate speciile de plante, nevertebrate și vertebrate din zona costieră. Datele din literatura de specialitate din anii 2000 (Gomoiu și Skolka, 1998; Skolka și colab., 2005; Făgăraș și colab., 2008) indică un număr de circa 12.900 de specii pentru Dobrogea dintre care 10.596 animale și 2.271 plante. Dintre acestea, 3.159 sunt specii marine sau prezente în lacurile paramarine (fără a include insecte, aranee, acarieni și miriapode). În ceea ce privește speciile marine, 1.168 sunt microalge și macroalge, iar 1.991 animale (nevertebrate și vertebrate).</w:t>
      </w:r>
    </w:p>
    <w:p w14:paraId="7C76222F" w14:textId="77777777" w:rsidR="00670FD4" w:rsidRDefault="00670FD4" w:rsidP="00670FD4">
      <w:pPr>
        <w:pBdr>
          <w:top w:val="nil"/>
          <w:left w:val="nil"/>
          <w:bottom w:val="nil"/>
          <w:right w:val="nil"/>
          <w:between w:val="nil"/>
        </w:pBdr>
        <w:spacing w:before="0"/>
        <w:rPr>
          <w:rFonts w:eastAsia="Times New Roman" w:cs="Times New Roman"/>
          <w:i/>
          <w:color w:val="000000"/>
        </w:rPr>
      </w:pPr>
      <w:r>
        <w:rPr>
          <w:rFonts w:eastAsia="Times New Roman" w:cs="Times New Roman"/>
          <w:i/>
          <w:color w:val="000000"/>
        </w:rPr>
        <w:t>Habitate</w:t>
      </w:r>
    </w:p>
    <w:p w14:paraId="5B0A55D7"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 xml:space="preserve">În ceea ce privește diversitatea habitatelor, în zona costieră se regăsesc două regiuni biogeografice europene – pontică și stepică. Bioregiunea pontică include zona de litoral maritim până la circa 10 km în interiorul uscatului, malurile lacurilor paramarine și întreg sistemul de grinduri care separă complexul lagunar Razim–Sinoe de mare, iar </w:t>
      </w:r>
      <w:r>
        <w:rPr>
          <w:rFonts w:eastAsia="Times New Roman" w:cs="Times New Roman"/>
        </w:rPr>
        <w:t>în</w:t>
      </w:r>
      <w:r>
        <w:rPr>
          <w:rFonts w:eastAsia="Times New Roman" w:cs="Times New Roman"/>
          <w:color w:val="000000"/>
        </w:rPr>
        <w:t xml:space="preserve"> zona Deltei Dunării include toată zona situată la circa 20 km de țărmul mării. În lungul acestei bioregiuni se întinde o parte a celei de-a doua ca mărime rute de migrație a păsărilor la nivel European – Via Pontica. Bioregiunea stepică se întinde în toată partea continentală a zonei costiere, până la limita UAT-urilor componente. În cadrul bioregiunii pontice au fost identificate 16 tipuri de habitate costiere, marine și de dune (7 dintre ele fiind exclusiv marine), 5 tipuri de habitate de apă dulce, 7 tipuri de habitate de pajiști și tufărișuri, 1 tip de habitat prioritar de mlaștină și 2 tipuri de habitate de pădure. În aceste habitate se întâlnesc 79 de specii de animale și 6 specii de plante aflate pe listele Directivei Habitate și peste o treime din numărul total de specii de păsări incluse în Directiva Păsări (dintre acestea, 12 sunt amenințate la nivel global). Bioregiunea stepică este mai puțin bogată în habitate în zona costieră. De aici au fost menționate 2 tipuri de habitate de dune, unul dintre acestea fiind prioritar, 6 tipuri de habitate de ape dulci, 1 tip de habitat de tufărișuri, 6 tipuri de habitate de pajiști, 1 tip de habitat de stâncărie și 8 tipuri de habitate de pădure. Bioregiunea se caracterizează printr-un impact deosebit de ridicat al activităților antropice care a dus la fragmentarea habitatelor naturale datorită defrișărilor, extinderii agriculturii, suprapășunatului, desecărilor, extinderii localităților.</w:t>
      </w:r>
    </w:p>
    <w:p w14:paraId="368C012F"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 xml:space="preserve">În afară de speciile de plante si animale sau habitate protejate la nivelul Uniunii Europene și incluse pe listele Directivei Păsări sau Directivei Habitate, în zona costieră sunt prezente și o serie de specii (marine, salmastricole, dulcicole </w:t>
      </w:r>
      <w:sdt>
        <w:sdtPr>
          <w:tag w:val="goog_rdk_36"/>
          <w:id w:val="2028051039"/>
        </w:sdtPr>
        <w:sdtContent>
          <w:r>
            <w:rPr>
              <w:rFonts w:eastAsia="Times New Roman" w:cs="Times New Roman"/>
              <w:color w:val="000000"/>
            </w:rPr>
            <w:t>sau</w:t>
          </w:r>
        </w:sdtContent>
      </w:sdt>
      <w:r>
        <w:rPr>
          <w:rFonts w:eastAsia="Times New Roman" w:cs="Times New Roman"/>
          <w:color w:val="000000"/>
        </w:rPr>
        <w:t xml:space="preserve"> terestre) endemice pentru zona Mării Negre ca și specii incluse pe liste roșii, în cărți roșii sau declarate monumente ale naturii.</w:t>
      </w:r>
    </w:p>
    <w:p w14:paraId="34162704" w14:textId="77777777" w:rsidR="00670FD4" w:rsidRDefault="00670FD4" w:rsidP="00670FD4">
      <w:pPr>
        <w:pBdr>
          <w:top w:val="nil"/>
          <w:left w:val="nil"/>
          <w:bottom w:val="nil"/>
          <w:right w:val="nil"/>
          <w:between w:val="nil"/>
        </w:pBdr>
        <w:spacing w:before="0"/>
        <w:ind w:firstLine="560"/>
        <w:rPr>
          <w:rFonts w:eastAsia="Times New Roman" w:cs="Times New Roman"/>
          <w:color w:val="000000"/>
        </w:rPr>
      </w:pPr>
      <w:r>
        <w:rPr>
          <w:rFonts w:eastAsia="Times New Roman" w:cs="Times New Roman"/>
          <w:color w:val="000000"/>
        </w:rPr>
        <w:t xml:space="preserve">Habitate pelagice reprezintă apele deschise ale mării, care nu au un corespondent codificat la nivelul Uniunii Europene. Caracterizate printr-o componență specifică în organisme care plutesc sau înoată activ în masa apei, habitatele de tip pelagic prezintă o componență specifică de microalge care formează fitoplanctonul și o serie de nevertebrate de talie mică sau medie la care se adaugă stadii larvare ale organismelor care trăiesc pe fundul mării și care formează zooplanctonul. La acestea se adaugă speciile care înoată activ și care sunt reprezentate de pești – nectonul și mamiferele marine (trei specii de delfini: </w:t>
      </w:r>
      <w:r>
        <w:rPr>
          <w:rFonts w:eastAsia="Times New Roman" w:cs="Times New Roman"/>
          <w:i/>
          <w:color w:val="000000"/>
        </w:rPr>
        <w:t>Tursiops truncatus ssp. ponticus</w:t>
      </w:r>
      <w:r>
        <w:rPr>
          <w:rFonts w:eastAsia="Times New Roman" w:cs="Times New Roman"/>
          <w:color w:val="000000"/>
        </w:rPr>
        <w:t xml:space="preserve">, </w:t>
      </w:r>
      <w:r>
        <w:rPr>
          <w:rFonts w:eastAsia="Times New Roman" w:cs="Times New Roman"/>
          <w:i/>
          <w:color w:val="000000"/>
        </w:rPr>
        <w:t>Delphinus delphis ssp. ponticus</w:t>
      </w:r>
      <w:r>
        <w:rPr>
          <w:rFonts w:eastAsia="Times New Roman" w:cs="Times New Roman"/>
          <w:color w:val="000000"/>
        </w:rPr>
        <w:t xml:space="preserve"> și </w:t>
      </w:r>
      <w:r>
        <w:rPr>
          <w:rFonts w:eastAsia="Times New Roman" w:cs="Times New Roman"/>
          <w:i/>
          <w:color w:val="000000"/>
        </w:rPr>
        <w:t>Phocoena phocoena ssp. relicta).</w:t>
      </w:r>
      <w:r>
        <w:rPr>
          <w:rFonts w:eastAsia="Times New Roman" w:cs="Times New Roman"/>
          <w:color w:val="000000"/>
        </w:rPr>
        <w:t xml:space="preserve"> În ultimii 20 de ani, vidra - </w:t>
      </w:r>
      <w:r>
        <w:rPr>
          <w:rFonts w:eastAsia="Times New Roman" w:cs="Times New Roman"/>
          <w:i/>
          <w:color w:val="000000"/>
        </w:rPr>
        <w:t>Lutra lutra</w:t>
      </w:r>
      <w:r>
        <w:rPr>
          <w:rFonts w:eastAsia="Times New Roman" w:cs="Times New Roman"/>
          <w:color w:val="000000"/>
        </w:rPr>
        <w:t xml:space="preserve"> - a devenit de asemenea o prezență constantă în zona </w:t>
      </w:r>
      <w:r>
        <w:rPr>
          <w:rFonts w:eastAsia="Times New Roman" w:cs="Times New Roman"/>
          <w:color w:val="000000"/>
        </w:rPr>
        <w:lastRenderedPageBreak/>
        <w:t>litorală, nu numai în lacurile paramarine (efectivele acestei specii nu au au fost estimate până în prezent).</w:t>
      </w:r>
    </w:p>
    <w:p w14:paraId="50E38E1B" w14:textId="77777777" w:rsidR="00670FD4" w:rsidRDefault="00670FD4" w:rsidP="00670FD4">
      <w:pPr>
        <w:pBdr>
          <w:top w:val="nil"/>
          <w:left w:val="nil"/>
          <w:bottom w:val="nil"/>
          <w:right w:val="nil"/>
          <w:between w:val="nil"/>
        </w:pBdr>
        <w:spacing w:before="0"/>
        <w:ind w:firstLine="560"/>
        <w:rPr>
          <w:rFonts w:eastAsia="Times New Roman" w:cs="Times New Roman"/>
          <w:color w:val="000000"/>
        </w:rPr>
      </w:pPr>
      <w:r>
        <w:rPr>
          <w:rFonts w:eastAsia="Times New Roman" w:cs="Times New Roman"/>
          <w:color w:val="000000"/>
        </w:rPr>
        <w:t>Habitatele bentale reprezintă o componentă esențială a zonei costiere situată la limita și sub nivelul mării. Cele 20 de tipuri principale de habitate marine bentale sunt caracterizate fiecare printr-o faună caracteristică formată din alge microfite și macrofite – fitobentos – și de o faună specifică – zoobentosul - care include atât specii de talie mică (microzoobentos) cât și specii de talie mare (macrozoobentos). Cele mai bogate în ce privește biodiversitatea sunt habitatele de zone stâncoase din sudul litoralului, habitatele de nisipuri sau mâluri din zona centrală și de nord fiind mai sărace în specii dar prezentând de asemenea o serie de endemisme care definesc Marea Neagră. De asemenea, diferitele habitate bentale sunt diferențiate și prin modul care sunt afectate de impactul antropic.</w:t>
      </w:r>
    </w:p>
    <w:p w14:paraId="44CF90DA" w14:textId="77777777" w:rsidR="00670FD4" w:rsidRDefault="00670FD4" w:rsidP="00670FD4">
      <w:pPr>
        <w:pBdr>
          <w:top w:val="nil"/>
          <w:left w:val="nil"/>
          <w:bottom w:val="nil"/>
          <w:right w:val="nil"/>
          <w:between w:val="nil"/>
        </w:pBdr>
        <w:spacing w:before="0"/>
        <w:ind w:firstLine="540"/>
        <w:rPr>
          <w:rFonts w:eastAsia="Times New Roman" w:cs="Times New Roman"/>
          <w:color w:val="000000"/>
        </w:rPr>
      </w:pPr>
      <w:r>
        <w:rPr>
          <w:rFonts w:eastAsia="Times New Roman" w:cs="Times New Roman"/>
          <w:color w:val="000000"/>
        </w:rPr>
        <w:t>Starea habitatelor marine și costiere.</w:t>
      </w:r>
    </w:p>
    <w:p w14:paraId="69F4DC60" w14:textId="77777777" w:rsidR="00670FD4" w:rsidRDefault="00670FD4" w:rsidP="00670FD4">
      <w:pPr>
        <w:pBdr>
          <w:top w:val="nil"/>
          <w:left w:val="nil"/>
          <w:bottom w:val="nil"/>
          <w:right w:val="nil"/>
          <w:between w:val="nil"/>
        </w:pBdr>
        <w:spacing w:before="0"/>
        <w:ind w:firstLine="540"/>
        <w:rPr>
          <w:rFonts w:eastAsia="Times New Roman" w:cs="Times New Roman"/>
          <w:color w:val="000000"/>
        </w:rPr>
      </w:pPr>
      <w:r>
        <w:rPr>
          <w:rFonts w:eastAsia="Times New Roman" w:cs="Times New Roman"/>
          <w:color w:val="000000"/>
        </w:rPr>
        <w:t xml:space="preserve"> Conform datelor din raportul de stare a mediului costier și marin elaborat de INCDM Grigore Antipa (INCDM, 2021), precum și a rapoartelor din programul NUCLEU - GEOBIOECOMAR, elaborate de către INCD GeoEcoMar, în perioada 2018-2022, elementele biologice de bază ale Directivei Cadru Ape (DCA) și indicatorii celor 5 descriptori ai Directivei Cadru Strategia pentru Mediul Marin (DCSMM): Biodiversitate (D1), specii neindigene (D2), reţeaua trofică (D4), eutrofizare (D5) și integritatea sedimentelor marine (D6) au arătat următoarele stări ecologice: fitoplanctonul și zooplanctonul - nu au atins stare ecologică bună (non-SEB); fitobentos și macrozoobentosul - au atins starea ecologică bună (SEB).</w:t>
      </w:r>
    </w:p>
    <w:p w14:paraId="71B73F44" w14:textId="77777777" w:rsidR="00670FD4" w:rsidRDefault="00670FD4" w:rsidP="00670FD4">
      <w:pPr>
        <w:pBdr>
          <w:top w:val="nil"/>
          <w:left w:val="nil"/>
          <w:bottom w:val="nil"/>
          <w:right w:val="nil"/>
          <w:between w:val="nil"/>
        </w:pBdr>
        <w:spacing w:before="0"/>
        <w:ind w:firstLine="540"/>
        <w:rPr>
          <w:rFonts w:eastAsia="Times New Roman" w:cs="Times New Roman"/>
          <w:color w:val="000000"/>
        </w:rPr>
      </w:pPr>
      <w:r>
        <w:rPr>
          <w:rFonts w:eastAsia="Times New Roman" w:cs="Times New Roman"/>
          <w:color w:val="000000"/>
        </w:rPr>
        <w:t xml:space="preserve">În ultima perioadă, speciile sensibile la presiunea antropică au înregistrat o revigorare din punct de vedere al populaţiilor lor. Exemple ale acestui proces pot fi considerate populațiile de decapode: </w:t>
      </w:r>
      <w:r>
        <w:rPr>
          <w:rFonts w:eastAsia="Times New Roman" w:cs="Times New Roman"/>
          <w:i/>
          <w:color w:val="000000"/>
        </w:rPr>
        <w:t>Upogebia pusilla, Diogenes pugilator</w:t>
      </w:r>
      <w:r>
        <w:rPr>
          <w:rFonts w:eastAsia="Times New Roman" w:cs="Times New Roman"/>
          <w:color w:val="000000"/>
        </w:rPr>
        <w:t xml:space="preserve">, moluște: </w:t>
      </w:r>
      <w:r>
        <w:rPr>
          <w:rFonts w:eastAsia="Times New Roman" w:cs="Times New Roman"/>
          <w:i/>
          <w:color w:val="000000"/>
        </w:rPr>
        <w:t>Chamelea gallina, Polititapes aureus, Pitar rudis, Kurtiella bidentata</w:t>
      </w:r>
      <w:r>
        <w:rPr>
          <w:rFonts w:eastAsia="Times New Roman" w:cs="Times New Roman"/>
          <w:color w:val="000000"/>
        </w:rPr>
        <w:t xml:space="preserve">, macrofite: </w:t>
      </w:r>
      <w:r>
        <w:rPr>
          <w:rFonts w:eastAsia="Times New Roman" w:cs="Times New Roman"/>
          <w:i/>
          <w:color w:val="000000"/>
        </w:rPr>
        <w:t>Cystoseira barbata, Cystoseira brodiei, Coccotylus brodiei</w:t>
      </w:r>
      <w:r>
        <w:rPr>
          <w:rFonts w:eastAsia="Times New Roman" w:cs="Times New Roman"/>
          <w:color w:val="000000"/>
        </w:rPr>
        <w:t xml:space="preserve"> și </w:t>
      </w:r>
      <w:r>
        <w:rPr>
          <w:rFonts w:eastAsia="Times New Roman" w:cs="Times New Roman"/>
          <w:i/>
          <w:color w:val="000000"/>
        </w:rPr>
        <w:t>Zostera noltei.</w:t>
      </w:r>
      <w:r>
        <w:rPr>
          <w:rFonts w:eastAsia="Times New Roman" w:cs="Times New Roman"/>
          <w:color w:val="000000"/>
        </w:rPr>
        <w:t xml:space="preserve"> În acelaşi timp asistăm și la o proliferare a unor specii oportuniste, cum ar fi </w:t>
      </w:r>
      <w:r>
        <w:rPr>
          <w:rFonts w:eastAsia="Times New Roman" w:cs="Times New Roman"/>
          <w:i/>
          <w:color w:val="000000"/>
        </w:rPr>
        <w:t>Mya arenaria</w:t>
      </w:r>
      <w:r>
        <w:rPr>
          <w:rFonts w:eastAsia="Times New Roman" w:cs="Times New Roman"/>
          <w:color w:val="000000"/>
        </w:rPr>
        <w:t xml:space="preserve"> (în zona guri de vărsare a brațului Sf. Gheorghe, dar și în dreptul Constanței), </w:t>
      </w:r>
      <w:r>
        <w:rPr>
          <w:rFonts w:eastAsia="Times New Roman" w:cs="Times New Roman"/>
          <w:i/>
          <w:color w:val="000000"/>
        </w:rPr>
        <w:t>Melinna palmata</w:t>
      </w:r>
      <w:r>
        <w:rPr>
          <w:rFonts w:eastAsia="Times New Roman" w:cs="Times New Roman"/>
          <w:color w:val="000000"/>
        </w:rPr>
        <w:t xml:space="preserve"> (zona predeltaică între 15-30 m adâncime), </w:t>
      </w:r>
      <w:r>
        <w:rPr>
          <w:rFonts w:eastAsia="Times New Roman" w:cs="Times New Roman"/>
          <w:i/>
          <w:color w:val="000000"/>
        </w:rPr>
        <w:t>Dipolydora quadrilobata</w:t>
      </w:r>
      <w:r>
        <w:rPr>
          <w:rFonts w:eastAsia="Times New Roman" w:cs="Times New Roman"/>
          <w:color w:val="000000"/>
        </w:rPr>
        <w:t xml:space="preserve"> (35-45 m adâncime) și </w:t>
      </w:r>
      <w:r>
        <w:rPr>
          <w:rFonts w:eastAsia="Times New Roman" w:cs="Times New Roman"/>
          <w:i/>
          <w:color w:val="000000"/>
        </w:rPr>
        <w:t>Streblospio gynobranchiata</w:t>
      </w:r>
      <w:r>
        <w:rPr>
          <w:rFonts w:eastAsia="Times New Roman" w:cs="Times New Roman"/>
          <w:color w:val="000000"/>
        </w:rPr>
        <w:t>. Ultima fiind o specie invazivă în habitatele bentale cu substrat mâlos-nisipos, cu o tendință de lărgire a ariei de distribuție la litoralul românesc (Teacă și colab., 2021). Aceste exemple ne indică că ecosistemul costier este încă fragil și în orice moment poate trece de la o stare bună la una nesatisfăcătoare. </w:t>
      </w:r>
    </w:p>
    <w:p w14:paraId="1E02FF3A"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Dezvoltarea infrastructurii urbane, industriale, agricole, turistice și de transport din zona costieră reprezintă cauza principală a pierderii biodiversității, ducând la degradarea, distrugerea şi fragmentarea habitatelor şi implicit la declinul populaţiilor naturale. Dezvoltarea urbană necontrolată, însoțită de diminuarea spațiilor verzi, a zonelor naturale și de măsuri insuficiente pentru colectarea şi tratarea corespunzătoare a deşeurilor şi a apelor uzate, de asemenea are efecte negative considerabile asupra biodiversităţii. Pierderi majore de biodiversitate sunt datorate și supraexploatării resurselor naturale, poluării și speciilor alogene invazive. </w:t>
      </w:r>
    </w:p>
    <w:p w14:paraId="740620B8" w14:textId="77777777" w:rsidR="00670FD4" w:rsidRDefault="00670FD4" w:rsidP="00670FD4">
      <w:pPr>
        <w:pBdr>
          <w:top w:val="nil"/>
          <w:left w:val="nil"/>
          <w:bottom w:val="nil"/>
          <w:right w:val="nil"/>
          <w:between w:val="nil"/>
        </w:pBdr>
        <w:spacing w:before="0" w:line="240" w:lineRule="auto"/>
        <w:rPr>
          <w:rFonts w:eastAsia="Times New Roman" w:cs="Times New Roman"/>
          <w:color w:val="000000"/>
        </w:rPr>
      </w:pPr>
      <w:r>
        <w:rPr>
          <w:rFonts w:eastAsia="Times New Roman" w:cs="Times New Roman"/>
          <w:i/>
          <w:color w:val="000000"/>
        </w:rPr>
        <w:t>Arii protejate (marine /terestre) </w:t>
      </w:r>
    </w:p>
    <w:p w14:paraId="2A222C14" w14:textId="77777777" w:rsidR="00670FD4" w:rsidRDefault="00670FD4" w:rsidP="00670FD4">
      <w:pPr>
        <w:pBdr>
          <w:top w:val="nil"/>
          <w:left w:val="nil"/>
          <w:bottom w:val="nil"/>
          <w:right w:val="nil"/>
          <w:between w:val="nil"/>
        </w:pBdr>
        <w:spacing w:before="0"/>
        <w:rPr>
          <w:rFonts w:eastAsia="Times New Roman" w:cs="Times New Roman"/>
          <w:color w:val="000000"/>
        </w:rPr>
      </w:pPr>
      <w:r>
        <w:rPr>
          <w:rFonts w:eastAsia="Times New Roman" w:cs="Times New Roman"/>
          <w:color w:val="000000"/>
        </w:rPr>
        <w:lastRenderedPageBreak/>
        <w:t>În zona costieră se găsesc 23 arii protejate incluse în Rețeaua Ecologică NATURA 2000, plus Rezervația Biosferei Delta Dunării care se suprapune în mare măsură cu ROSCI0065 și ROSCI0066. Aceste arii protejate sunt atât arii protejate desemnate ca situri de importanță comunitară, respectiv SCI-uri, cât și arii de importanță avifaunistică, respectiv SPA-uri. În conformitate cu prevederile Ordinului nr. 46/2016 privind instituirea regimului de arie naturală protejată şi declararea siturilor de importanţă comunitară ca parte integrantă a reţelei ecologice europene Natura 2000 în România, rețeaua de arii protejate din zona costieră este constituită din 15 SCI-uri și 8 SPA-uri, dintre care un SPA si 8 SCI-uri. </w:t>
      </w:r>
    </w:p>
    <w:p w14:paraId="7C01D134" w14:textId="77777777" w:rsidR="00670FD4" w:rsidRDefault="00670FD4" w:rsidP="00670FD4">
      <w:pPr>
        <w:pBdr>
          <w:top w:val="nil"/>
          <w:left w:val="nil"/>
          <w:bottom w:val="nil"/>
          <w:right w:val="nil"/>
          <w:between w:val="nil"/>
        </w:pBdr>
        <w:ind w:firstLine="540"/>
        <w:rPr>
          <w:rFonts w:eastAsia="Times New Roman" w:cs="Times New Roman"/>
          <w:color w:val="000000"/>
        </w:rPr>
      </w:pPr>
      <w:r>
        <w:rPr>
          <w:rFonts w:eastAsia="Times New Roman" w:cs="Times New Roman"/>
          <w:color w:val="000000"/>
        </w:rPr>
        <w:t>Din cele 23 de arii protejate doar 13 au Plan de Management, iar dintre acestea patru SCI-uri din apele teritoriale marine au Plan de Management elaborat pe limitele vechi. Prin urmare, 44% dintre ariile protejate din zona costieră au nevoie de Planuri de Management. Pe de altă parte, multe dintre ariile cu Plan de Management necesită actualizarea datelor de prezență și stare de conservare.</w:t>
      </w:r>
    </w:p>
    <w:p w14:paraId="6CC3C534" w14:textId="77777777" w:rsidR="00670FD4" w:rsidRPr="00C335F0" w:rsidRDefault="00670FD4" w:rsidP="00670FD4">
      <w:pPr>
        <w:pBdr>
          <w:top w:val="nil"/>
          <w:left w:val="nil"/>
          <w:bottom w:val="nil"/>
          <w:right w:val="nil"/>
          <w:between w:val="nil"/>
        </w:pBdr>
        <w:ind w:firstLine="540"/>
        <w:rPr>
          <w:rFonts w:eastAsia="Times New Roman" w:cs="Times New Roman"/>
          <w:color w:val="000000"/>
        </w:rPr>
      </w:pPr>
      <w:r w:rsidRPr="00D2719F">
        <w:rPr>
          <w:rFonts w:eastAsia="Times New Roman" w:cs="Times New Roman"/>
          <w:color w:val="000000"/>
        </w:rPr>
        <w:t>SCI-urile din zona costieră se suprapun parțial cu SPA-urile, ocupând o suprafață totală de 12.986,88 km</w:t>
      </w:r>
      <w:r w:rsidRPr="00D2719F">
        <w:rPr>
          <w:rFonts w:eastAsia="Times New Roman" w:cs="Times New Roman"/>
          <w:color w:val="000000"/>
          <w:vertAlign w:val="superscript"/>
        </w:rPr>
        <w:t>2</w:t>
      </w:r>
      <w:r w:rsidRPr="00D2719F">
        <w:rPr>
          <w:rFonts w:eastAsia="Times New Roman" w:cs="Times New Roman"/>
          <w:color w:val="000000"/>
        </w:rPr>
        <w:t xml:space="preserve">, dintre care SPA-urile reprezintă 51,17 %, iar SCI-urile 48,83 %. În apele teritoriale marine cele 8 SCI-uri ocupă 80,21 % din suprafața totală, evidențiind importanța zonei costiere din punct de vedere a biodiversității ridicate, dar și a varietății habitatelor bentale marine. O diversitate ridicată întâlnim și în zona terestră unde avem 7 SCI-uri și 7 SPA-uri, ce ocupă o suprafață totală de 7910,49 km2 (Tabel </w:t>
      </w:r>
      <w:r>
        <w:rPr>
          <w:rFonts w:eastAsia="Times New Roman" w:cs="Times New Roman"/>
          <w:color w:val="000000"/>
        </w:rPr>
        <w:t>2.</w:t>
      </w:r>
      <w:r w:rsidRPr="00D2719F">
        <w:rPr>
          <w:rFonts w:eastAsia="Times New Roman" w:cs="Times New Roman"/>
          <w:color w:val="000000"/>
        </w:rPr>
        <w:t xml:space="preserve">4.3.1, Figurile </w:t>
      </w:r>
      <w:r>
        <w:rPr>
          <w:rFonts w:eastAsia="Times New Roman" w:cs="Times New Roman"/>
          <w:color w:val="000000"/>
        </w:rPr>
        <w:t>2.</w:t>
      </w:r>
      <w:r w:rsidRPr="00D2719F">
        <w:rPr>
          <w:rFonts w:eastAsia="Times New Roman" w:cs="Times New Roman"/>
          <w:color w:val="000000"/>
        </w:rPr>
        <w:t xml:space="preserve">4.3.1 și </w:t>
      </w:r>
      <w:r>
        <w:rPr>
          <w:rFonts w:eastAsia="Times New Roman" w:cs="Times New Roman"/>
          <w:color w:val="000000"/>
        </w:rPr>
        <w:t>2.</w:t>
      </w:r>
      <w:r w:rsidRPr="00D2719F">
        <w:rPr>
          <w:rFonts w:eastAsia="Times New Roman" w:cs="Times New Roman"/>
          <w:color w:val="000000"/>
        </w:rPr>
        <w:t>4.3.2).</w:t>
      </w:r>
    </w:p>
    <w:p w14:paraId="2D714BE9" w14:textId="77777777" w:rsidR="00670FD4" w:rsidRDefault="00670FD4" w:rsidP="00670FD4">
      <w:pPr>
        <w:rPr>
          <w:lang w:val="ro-RO" w:eastAsia="en-GB"/>
        </w:rPr>
      </w:pPr>
    </w:p>
    <w:p w14:paraId="6E79F266" w14:textId="77777777" w:rsidR="00670FD4" w:rsidRDefault="00670FD4" w:rsidP="00670FD4">
      <w:pPr>
        <w:jc w:val="center"/>
        <w:rPr>
          <w:b/>
          <w:lang w:val="ro-RO" w:eastAsia="en-GB"/>
        </w:rPr>
      </w:pPr>
      <w:r w:rsidRPr="00D2719F">
        <w:rPr>
          <w:b/>
          <w:lang w:val="ro-RO" w:eastAsia="en-GB"/>
        </w:rPr>
        <w:t>Tabel 2.4.3.1 Ariile protejate din zona costieră românească (* - arii protejate cu Plan de management)</w:t>
      </w:r>
    </w:p>
    <w:tbl>
      <w:tblPr>
        <w:tblW w:w="9006" w:type="dxa"/>
        <w:tblLayout w:type="fixed"/>
        <w:tblLook w:val="0400" w:firstRow="0" w:lastRow="0" w:firstColumn="0" w:lastColumn="0" w:noHBand="0" w:noVBand="1"/>
      </w:tblPr>
      <w:tblGrid>
        <w:gridCol w:w="5592"/>
        <w:gridCol w:w="3414"/>
      </w:tblGrid>
      <w:tr w:rsidR="00670FD4" w14:paraId="2C250EBC" w14:textId="77777777" w:rsidTr="001925BA">
        <w:tc>
          <w:tcPr>
            <w:tcW w:w="5592" w:type="dxa"/>
            <w:tcBorders>
              <w:top w:val="single" w:sz="8" w:space="0" w:color="000000"/>
              <w:left w:val="single" w:sz="8" w:space="0" w:color="000000"/>
              <w:bottom w:val="single" w:sz="8" w:space="0" w:color="000000"/>
              <w:right w:val="single" w:sz="8" w:space="0" w:color="000000"/>
            </w:tcBorders>
            <w:shd w:val="clear" w:color="auto" w:fill="F7CAAC"/>
            <w:tcMar>
              <w:top w:w="100" w:type="dxa"/>
              <w:left w:w="100" w:type="dxa"/>
              <w:bottom w:w="100" w:type="dxa"/>
              <w:right w:w="100" w:type="dxa"/>
            </w:tcMar>
            <w:vAlign w:val="center"/>
          </w:tcPr>
          <w:p w14:paraId="57551B34" w14:textId="77777777" w:rsidR="00670FD4" w:rsidRDefault="00670FD4" w:rsidP="001925BA">
            <w:pPr>
              <w:spacing w:after="0"/>
              <w:rPr>
                <w:rFonts w:eastAsia="Times New Roman" w:cs="Times New Roman"/>
                <w:sz w:val="20"/>
                <w:szCs w:val="20"/>
              </w:rPr>
            </w:pPr>
            <w:r>
              <w:rPr>
                <w:rFonts w:eastAsia="Times New Roman" w:cs="Times New Roman"/>
                <w:b/>
                <w:color w:val="000000"/>
                <w:sz w:val="20"/>
                <w:szCs w:val="20"/>
              </w:rPr>
              <w:t>Arie protejată</w:t>
            </w:r>
          </w:p>
        </w:tc>
        <w:tc>
          <w:tcPr>
            <w:tcW w:w="3414" w:type="dxa"/>
            <w:tcBorders>
              <w:top w:val="single" w:sz="8" w:space="0" w:color="000000"/>
              <w:left w:val="single" w:sz="8" w:space="0" w:color="000000"/>
              <w:bottom w:val="single" w:sz="8" w:space="0" w:color="000000"/>
              <w:right w:val="single" w:sz="8" w:space="0" w:color="000000"/>
            </w:tcBorders>
            <w:shd w:val="clear" w:color="auto" w:fill="F7CAAC"/>
            <w:tcMar>
              <w:top w:w="100" w:type="dxa"/>
              <w:left w:w="100" w:type="dxa"/>
              <w:bottom w:w="100" w:type="dxa"/>
              <w:right w:w="100" w:type="dxa"/>
            </w:tcMar>
          </w:tcPr>
          <w:p w14:paraId="7701864F" w14:textId="77777777" w:rsidR="00670FD4" w:rsidRDefault="00670FD4" w:rsidP="001925BA">
            <w:pPr>
              <w:spacing w:after="0"/>
              <w:ind w:firstLine="0"/>
              <w:rPr>
                <w:rFonts w:eastAsia="Times New Roman" w:cs="Times New Roman"/>
                <w:sz w:val="20"/>
                <w:szCs w:val="20"/>
              </w:rPr>
            </w:pPr>
            <w:r>
              <w:rPr>
                <w:rFonts w:eastAsia="Times New Roman" w:cs="Times New Roman"/>
                <w:b/>
                <w:color w:val="000000"/>
                <w:sz w:val="20"/>
                <w:szCs w:val="20"/>
              </w:rPr>
              <w:t>Suprafață SCI (km</w:t>
            </w:r>
            <w:r>
              <w:rPr>
                <w:rFonts w:eastAsia="Times New Roman" w:cs="Times New Roman"/>
                <w:b/>
                <w:color w:val="000000"/>
                <w:sz w:val="20"/>
                <w:szCs w:val="20"/>
                <w:vertAlign w:val="superscript"/>
              </w:rPr>
              <w:t>2</w:t>
            </w:r>
            <w:r>
              <w:rPr>
                <w:rFonts w:eastAsia="Times New Roman" w:cs="Times New Roman"/>
                <w:b/>
                <w:color w:val="000000"/>
                <w:sz w:val="20"/>
                <w:szCs w:val="20"/>
              </w:rPr>
              <w:t>) în zona costieră;</w:t>
            </w:r>
          </w:p>
          <w:p w14:paraId="108A7E89" w14:textId="77777777" w:rsidR="00670FD4" w:rsidRDefault="00670FD4" w:rsidP="001925BA">
            <w:pPr>
              <w:spacing w:after="0"/>
              <w:ind w:firstLine="0"/>
              <w:rPr>
                <w:rFonts w:eastAsia="Times New Roman" w:cs="Times New Roman"/>
                <w:sz w:val="20"/>
                <w:szCs w:val="20"/>
              </w:rPr>
            </w:pPr>
            <w:r>
              <w:rPr>
                <w:rFonts w:eastAsia="Times New Roman" w:cs="Times New Roman"/>
                <w:b/>
                <w:color w:val="000000"/>
                <w:sz w:val="20"/>
                <w:szCs w:val="20"/>
              </w:rPr>
              <w:t>% din suprafața totală a AP</w:t>
            </w:r>
          </w:p>
        </w:tc>
      </w:tr>
      <w:tr w:rsidR="00670FD4" w14:paraId="03517EA9" w14:textId="77777777" w:rsidTr="001925BA">
        <w:trPr>
          <w:trHeight w:val="273"/>
        </w:trPr>
        <w:tc>
          <w:tcPr>
            <w:tcW w:w="9006" w:type="dxa"/>
            <w:gridSpan w:val="2"/>
            <w:tcBorders>
              <w:top w:val="single" w:sz="8" w:space="0" w:color="000000"/>
              <w:left w:val="single" w:sz="8" w:space="0" w:color="000000"/>
              <w:bottom w:val="single" w:sz="8" w:space="0" w:color="000000"/>
              <w:right w:val="single" w:sz="8" w:space="0" w:color="000000"/>
            </w:tcBorders>
            <w:shd w:val="clear" w:color="auto" w:fill="DBDBDB"/>
            <w:tcMar>
              <w:top w:w="100" w:type="dxa"/>
              <w:left w:w="100" w:type="dxa"/>
              <w:bottom w:w="100" w:type="dxa"/>
              <w:right w:w="100" w:type="dxa"/>
            </w:tcMar>
          </w:tcPr>
          <w:p w14:paraId="24B30848" w14:textId="77777777" w:rsidR="00670FD4" w:rsidRDefault="00670FD4" w:rsidP="001925BA">
            <w:pPr>
              <w:spacing w:after="0"/>
              <w:rPr>
                <w:rFonts w:eastAsia="Times New Roman" w:cs="Times New Roman"/>
                <w:sz w:val="20"/>
                <w:szCs w:val="20"/>
              </w:rPr>
            </w:pPr>
            <w:r>
              <w:rPr>
                <w:rFonts w:eastAsia="Times New Roman" w:cs="Times New Roman"/>
                <w:b/>
                <w:color w:val="000000"/>
                <w:sz w:val="20"/>
                <w:szCs w:val="20"/>
              </w:rPr>
              <w:t>Arii marine protejate</w:t>
            </w:r>
          </w:p>
        </w:tc>
      </w:tr>
      <w:tr w:rsidR="00670FD4" w14:paraId="2841827E" w14:textId="77777777" w:rsidTr="001925BA">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74DE54" w14:textId="77777777" w:rsidR="00670FD4" w:rsidRDefault="00670FD4" w:rsidP="001925BA">
            <w:pPr>
              <w:spacing w:after="0"/>
              <w:ind w:firstLine="0"/>
              <w:rPr>
                <w:rFonts w:eastAsia="Times New Roman" w:cs="Times New Roman"/>
                <w:sz w:val="20"/>
                <w:szCs w:val="20"/>
              </w:rPr>
            </w:pPr>
            <w:r>
              <w:rPr>
                <w:rFonts w:eastAsia="Times New Roman" w:cs="Times New Roman"/>
                <w:color w:val="000000"/>
                <w:sz w:val="20"/>
                <w:szCs w:val="20"/>
              </w:rPr>
              <w:t>*ROSCI0066 Rezervaţia Biosferei Delta Dunării - zona marină </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821A8D" w14:textId="77777777" w:rsidR="00670FD4" w:rsidRDefault="00670FD4" w:rsidP="001925BA">
            <w:pPr>
              <w:spacing w:after="0"/>
              <w:rPr>
                <w:rFonts w:eastAsia="Times New Roman" w:cs="Times New Roman"/>
                <w:sz w:val="20"/>
                <w:szCs w:val="20"/>
              </w:rPr>
            </w:pPr>
            <w:r>
              <w:rPr>
                <w:rFonts w:eastAsia="Times New Roman" w:cs="Times New Roman"/>
                <w:color w:val="000000"/>
                <w:sz w:val="20"/>
                <w:szCs w:val="20"/>
              </w:rPr>
              <w:t>2914,28 (86,68%)</w:t>
            </w:r>
          </w:p>
        </w:tc>
      </w:tr>
      <w:tr w:rsidR="00670FD4" w14:paraId="101A76FB" w14:textId="77777777" w:rsidTr="001925BA">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37EB7F" w14:textId="77777777" w:rsidR="00670FD4" w:rsidRDefault="00670FD4" w:rsidP="001925BA">
            <w:pPr>
              <w:spacing w:after="0"/>
              <w:ind w:firstLine="0"/>
              <w:rPr>
                <w:rFonts w:eastAsia="Times New Roman" w:cs="Times New Roman"/>
                <w:sz w:val="20"/>
                <w:szCs w:val="20"/>
              </w:rPr>
            </w:pPr>
            <w:r>
              <w:rPr>
                <w:rFonts w:eastAsia="Times New Roman" w:cs="Times New Roman"/>
                <w:color w:val="000000"/>
                <w:sz w:val="20"/>
                <w:szCs w:val="20"/>
              </w:rPr>
              <w:t xml:space="preserve">ROSCI0413 Lobul sudic al Câmpului de </w:t>
            </w:r>
            <w:r>
              <w:rPr>
                <w:rFonts w:eastAsia="Times New Roman" w:cs="Times New Roman"/>
                <w:i/>
                <w:color w:val="000000"/>
                <w:sz w:val="20"/>
                <w:szCs w:val="20"/>
              </w:rPr>
              <w:t xml:space="preserve">Phyllophora </w:t>
            </w:r>
            <w:r>
              <w:rPr>
                <w:rFonts w:eastAsia="Times New Roman" w:cs="Times New Roman"/>
                <w:color w:val="000000"/>
                <w:sz w:val="20"/>
                <w:szCs w:val="20"/>
              </w:rPr>
              <w:t>al lui Zernov</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524B2B" w14:textId="77777777" w:rsidR="00670FD4" w:rsidRDefault="00670FD4" w:rsidP="001925BA">
            <w:pPr>
              <w:spacing w:after="0"/>
              <w:rPr>
                <w:rFonts w:eastAsia="Times New Roman" w:cs="Times New Roman"/>
                <w:sz w:val="20"/>
                <w:szCs w:val="20"/>
              </w:rPr>
            </w:pPr>
            <w:r>
              <w:rPr>
                <w:rFonts w:eastAsia="Times New Roman" w:cs="Times New Roman"/>
                <w:color w:val="000000"/>
                <w:sz w:val="20"/>
                <w:szCs w:val="20"/>
              </w:rPr>
              <w:t>212,91 (11,40%)</w:t>
            </w:r>
          </w:p>
        </w:tc>
      </w:tr>
      <w:tr w:rsidR="00670FD4" w14:paraId="309EAB30" w14:textId="77777777" w:rsidTr="001925BA">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534429" w14:textId="77777777" w:rsidR="00670FD4" w:rsidRDefault="00670FD4" w:rsidP="001925BA">
            <w:pPr>
              <w:spacing w:after="0"/>
              <w:ind w:firstLine="0"/>
              <w:rPr>
                <w:rFonts w:eastAsia="Times New Roman" w:cs="Times New Roman"/>
                <w:sz w:val="20"/>
                <w:szCs w:val="20"/>
              </w:rPr>
            </w:pPr>
            <w:r>
              <w:rPr>
                <w:rFonts w:eastAsia="Times New Roman" w:cs="Times New Roman"/>
                <w:color w:val="000000"/>
                <w:sz w:val="20"/>
                <w:szCs w:val="20"/>
              </w:rPr>
              <w:t>*ROSCI0197 Plaja submersă Eforie Nord - Eforie Sud </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6AD5F4" w14:textId="77777777" w:rsidR="00670FD4" w:rsidRDefault="00670FD4" w:rsidP="001925BA">
            <w:pPr>
              <w:spacing w:after="0"/>
              <w:rPr>
                <w:rFonts w:eastAsia="Times New Roman" w:cs="Times New Roman"/>
                <w:sz w:val="20"/>
                <w:szCs w:val="20"/>
              </w:rPr>
            </w:pPr>
            <w:r>
              <w:rPr>
                <w:rFonts w:eastAsia="Times New Roman" w:cs="Times New Roman"/>
                <w:color w:val="000000"/>
                <w:sz w:val="20"/>
                <w:szCs w:val="20"/>
              </w:rPr>
              <w:t>57,07 (100%)</w:t>
            </w:r>
          </w:p>
        </w:tc>
      </w:tr>
      <w:tr w:rsidR="00670FD4" w14:paraId="4525459C" w14:textId="77777777" w:rsidTr="001925BA">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1A1718" w14:textId="77777777" w:rsidR="00670FD4" w:rsidRDefault="00670FD4" w:rsidP="001925BA">
            <w:pPr>
              <w:spacing w:after="0"/>
              <w:ind w:firstLine="0"/>
              <w:rPr>
                <w:rFonts w:eastAsia="Times New Roman" w:cs="Times New Roman"/>
                <w:sz w:val="20"/>
                <w:szCs w:val="20"/>
              </w:rPr>
            </w:pPr>
            <w:r>
              <w:rPr>
                <w:rFonts w:eastAsia="Times New Roman" w:cs="Times New Roman"/>
                <w:color w:val="000000"/>
                <w:sz w:val="20"/>
                <w:szCs w:val="20"/>
              </w:rPr>
              <w:t>*ROSCI0273 Zona marină de la Capul Tuzla</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F4D892" w14:textId="77777777" w:rsidR="00670FD4" w:rsidRDefault="00670FD4" w:rsidP="001925BA">
            <w:pPr>
              <w:spacing w:after="0"/>
              <w:rPr>
                <w:rFonts w:eastAsia="Times New Roman" w:cs="Times New Roman"/>
                <w:sz w:val="20"/>
                <w:szCs w:val="20"/>
              </w:rPr>
            </w:pPr>
            <w:r>
              <w:rPr>
                <w:rFonts w:eastAsia="Times New Roman" w:cs="Times New Roman"/>
                <w:color w:val="000000"/>
                <w:sz w:val="20"/>
                <w:szCs w:val="20"/>
              </w:rPr>
              <w:t>49,39 (100%)</w:t>
            </w:r>
          </w:p>
        </w:tc>
      </w:tr>
      <w:tr w:rsidR="00670FD4" w14:paraId="73A054AF" w14:textId="77777777" w:rsidTr="001925BA">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EC5314" w14:textId="77777777" w:rsidR="00670FD4" w:rsidRDefault="00670FD4" w:rsidP="001925BA">
            <w:pPr>
              <w:spacing w:after="0"/>
              <w:ind w:firstLine="0"/>
              <w:rPr>
                <w:rFonts w:eastAsia="Times New Roman" w:cs="Times New Roman"/>
                <w:sz w:val="20"/>
                <w:szCs w:val="20"/>
              </w:rPr>
            </w:pPr>
            <w:r>
              <w:rPr>
                <w:rFonts w:eastAsia="Times New Roman" w:cs="Times New Roman"/>
                <w:color w:val="000000"/>
                <w:sz w:val="20"/>
                <w:szCs w:val="20"/>
              </w:rPr>
              <w:t>ROSCI0281 Cap Aurora</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3C0534" w14:textId="77777777" w:rsidR="00670FD4" w:rsidRDefault="00670FD4" w:rsidP="001925BA">
            <w:pPr>
              <w:spacing w:after="0"/>
              <w:rPr>
                <w:rFonts w:eastAsia="Times New Roman" w:cs="Times New Roman"/>
                <w:sz w:val="20"/>
                <w:szCs w:val="20"/>
              </w:rPr>
            </w:pPr>
            <w:r>
              <w:rPr>
                <w:rFonts w:eastAsia="Times New Roman" w:cs="Times New Roman"/>
                <w:color w:val="000000"/>
                <w:sz w:val="20"/>
                <w:szCs w:val="20"/>
              </w:rPr>
              <w:t>135,68 (100%) </w:t>
            </w:r>
          </w:p>
        </w:tc>
      </w:tr>
      <w:tr w:rsidR="00670FD4" w14:paraId="12F756B5" w14:textId="77777777" w:rsidTr="001925BA">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DDB1A3" w14:textId="77777777" w:rsidR="00670FD4" w:rsidRDefault="00670FD4" w:rsidP="001925BA">
            <w:pPr>
              <w:spacing w:after="0"/>
              <w:ind w:firstLine="0"/>
              <w:rPr>
                <w:rFonts w:eastAsia="Times New Roman" w:cs="Times New Roman"/>
                <w:sz w:val="20"/>
                <w:szCs w:val="20"/>
              </w:rPr>
            </w:pPr>
            <w:r>
              <w:rPr>
                <w:rFonts w:eastAsia="Times New Roman" w:cs="Times New Roman"/>
                <w:color w:val="000000"/>
                <w:sz w:val="20"/>
                <w:szCs w:val="20"/>
              </w:rPr>
              <w:t>ROSCI0293 Costineşti - 23 August</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F4A1FE" w14:textId="77777777" w:rsidR="00670FD4" w:rsidRDefault="00670FD4" w:rsidP="001925BA">
            <w:pPr>
              <w:spacing w:after="0"/>
              <w:rPr>
                <w:rFonts w:eastAsia="Times New Roman" w:cs="Times New Roman"/>
                <w:sz w:val="20"/>
                <w:szCs w:val="20"/>
              </w:rPr>
            </w:pPr>
            <w:r>
              <w:rPr>
                <w:rFonts w:eastAsia="Times New Roman" w:cs="Times New Roman"/>
                <w:color w:val="000000"/>
                <w:sz w:val="20"/>
                <w:szCs w:val="20"/>
              </w:rPr>
              <w:t>48,75 (100%)</w:t>
            </w:r>
          </w:p>
        </w:tc>
      </w:tr>
      <w:tr w:rsidR="00670FD4" w14:paraId="042F4AC4" w14:textId="77777777" w:rsidTr="001925BA">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C61188" w14:textId="77777777" w:rsidR="00670FD4" w:rsidRDefault="00670FD4" w:rsidP="001925BA">
            <w:pPr>
              <w:spacing w:after="0"/>
              <w:ind w:firstLine="0"/>
              <w:rPr>
                <w:rFonts w:eastAsia="Times New Roman" w:cs="Times New Roman"/>
                <w:sz w:val="20"/>
                <w:szCs w:val="20"/>
              </w:rPr>
            </w:pPr>
            <w:r>
              <w:rPr>
                <w:rFonts w:eastAsia="Times New Roman" w:cs="Times New Roman"/>
                <w:color w:val="000000"/>
                <w:sz w:val="20"/>
                <w:szCs w:val="20"/>
              </w:rPr>
              <w:t>*ROSCI0094 Izvoarele sulfuroase submarine de la Mangalia</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9B5597" w14:textId="77777777" w:rsidR="00670FD4" w:rsidRDefault="00670FD4" w:rsidP="001925BA">
            <w:pPr>
              <w:spacing w:after="0"/>
              <w:rPr>
                <w:rFonts w:eastAsia="Times New Roman" w:cs="Times New Roman"/>
                <w:sz w:val="20"/>
                <w:szCs w:val="20"/>
              </w:rPr>
            </w:pPr>
            <w:r>
              <w:rPr>
                <w:rFonts w:eastAsia="Times New Roman" w:cs="Times New Roman"/>
                <w:color w:val="000000"/>
                <w:sz w:val="20"/>
                <w:szCs w:val="20"/>
              </w:rPr>
              <w:t>57,73 (100%)</w:t>
            </w:r>
          </w:p>
        </w:tc>
      </w:tr>
      <w:tr w:rsidR="00670FD4" w14:paraId="6D144840" w14:textId="77777777" w:rsidTr="001925BA">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53EA91" w14:textId="77777777" w:rsidR="00670FD4" w:rsidRDefault="00670FD4" w:rsidP="001925BA">
            <w:pPr>
              <w:spacing w:after="0"/>
              <w:ind w:firstLine="0"/>
              <w:rPr>
                <w:rFonts w:eastAsia="Times New Roman" w:cs="Times New Roman"/>
                <w:sz w:val="20"/>
                <w:szCs w:val="20"/>
              </w:rPr>
            </w:pPr>
            <w:r>
              <w:rPr>
                <w:rFonts w:eastAsia="Times New Roman" w:cs="Times New Roman"/>
                <w:color w:val="000000"/>
                <w:sz w:val="20"/>
                <w:szCs w:val="20"/>
              </w:rPr>
              <w:lastRenderedPageBreak/>
              <w:t>*ROSCI0269 Vama Veche - 2 Mai</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5A7A58" w14:textId="77777777" w:rsidR="00670FD4" w:rsidRDefault="00670FD4" w:rsidP="001925BA">
            <w:pPr>
              <w:spacing w:after="0"/>
              <w:rPr>
                <w:rFonts w:eastAsia="Times New Roman" w:cs="Times New Roman"/>
                <w:sz w:val="20"/>
                <w:szCs w:val="20"/>
              </w:rPr>
            </w:pPr>
            <w:r>
              <w:rPr>
                <w:rFonts w:eastAsia="Times New Roman" w:cs="Times New Roman"/>
                <w:color w:val="000000"/>
                <w:sz w:val="20"/>
                <w:szCs w:val="20"/>
              </w:rPr>
              <w:t>123,11 (100%)</w:t>
            </w:r>
          </w:p>
        </w:tc>
      </w:tr>
      <w:tr w:rsidR="00670FD4" w14:paraId="621ED997" w14:textId="77777777" w:rsidTr="001925BA">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24A7A0" w14:textId="77777777" w:rsidR="00670FD4" w:rsidRDefault="00670FD4" w:rsidP="001925BA">
            <w:pPr>
              <w:spacing w:after="0"/>
              <w:ind w:firstLine="0"/>
              <w:rPr>
                <w:rFonts w:eastAsia="Times New Roman" w:cs="Times New Roman"/>
                <w:sz w:val="20"/>
                <w:szCs w:val="20"/>
              </w:rPr>
            </w:pPr>
            <w:r>
              <w:rPr>
                <w:rFonts w:eastAsia="Times New Roman" w:cs="Times New Roman"/>
                <w:color w:val="000000"/>
                <w:sz w:val="20"/>
                <w:szCs w:val="20"/>
              </w:rPr>
              <w:t>*ROSPA0076 Marea Neagră</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3F8004" w14:textId="77777777" w:rsidR="00670FD4" w:rsidRDefault="00670FD4" w:rsidP="001925BA">
            <w:pPr>
              <w:spacing w:after="0"/>
              <w:rPr>
                <w:rFonts w:eastAsia="Times New Roman" w:cs="Times New Roman"/>
                <w:sz w:val="20"/>
                <w:szCs w:val="20"/>
              </w:rPr>
            </w:pPr>
            <w:r>
              <w:rPr>
                <w:rFonts w:eastAsia="Times New Roman" w:cs="Times New Roman"/>
                <w:color w:val="000000"/>
                <w:sz w:val="20"/>
                <w:szCs w:val="20"/>
              </w:rPr>
              <w:t>1477,47 (100%)</w:t>
            </w:r>
          </w:p>
        </w:tc>
      </w:tr>
      <w:tr w:rsidR="00670FD4" w14:paraId="755D1143" w14:textId="77777777" w:rsidTr="001925BA">
        <w:trPr>
          <w:trHeight w:val="440"/>
        </w:trPr>
        <w:tc>
          <w:tcPr>
            <w:tcW w:w="9006"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8E6247" w14:textId="77777777" w:rsidR="00670FD4" w:rsidRDefault="00670FD4" w:rsidP="001925BA">
            <w:pPr>
              <w:spacing w:after="0"/>
              <w:rPr>
                <w:rFonts w:eastAsia="Times New Roman" w:cs="Times New Roman"/>
                <w:sz w:val="20"/>
                <w:szCs w:val="20"/>
              </w:rPr>
            </w:pPr>
            <w:r>
              <w:rPr>
                <w:rFonts w:eastAsia="Times New Roman" w:cs="Times New Roman"/>
                <w:b/>
                <w:color w:val="000000"/>
                <w:sz w:val="20"/>
                <w:szCs w:val="20"/>
              </w:rPr>
              <w:t>Arii terestre protejate</w:t>
            </w:r>
          </w:p>
        </w:tc>
      </w:tr>
      <w:tr w:rsidR="00670FD4" w14:paraId="55A78066" w14:textId="77777777" w:rsidTr="001925BA">
        <w:trPr>
          <w:trHeight w:val="351"/>
        </w:trPr>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6C1E85" w14:textId="77777777" w:rsidR="00670FD4" w:rsidRDefault="00670FD4" w:rsidP="001925BA">
            <w:pPr>
              <w:spacing w:after="0"/>
              <w:ind w:firstLine="0"/>
              <w:rPr>
                <w:rFonts w:eastAsia="Times New Roman" w:cs="Times New Roman"/>
                <w:sz w:val="20"/>
                <w:szCs w:val="20"/>
              </w:rPr>
            </w:pPr>
            <w:r>
              <w:rPr>
                <w:rFonts w:eastAsia="Times New Roman" w:cs="Times New Roman"/>
                <w:color w:val="000000"/>
                <w:sz w:val="20"/>
                <w:szCs w:val="20"/>
              </w:rPr>
              <w:t>*ROSCI0065 Delta Dunării</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DB8C70" w14:textId="77777777" w:rsidR="00670FD4" w:rsidRDefault="00670FD4" w:rsidP="001925BA">
            <w:pPr>
              <w:spacing w:after="0"/>
              <w:rPr>
                <w:rFonts w:eastAsia="Times New Roman" w:cs="Times New Roman"/>
                <w:sz w:val="20"/>
                <w:szCs w:val="20"/>
              </w:rPr>
            </w:pPr>
            <w:r>
              <w:rPr>
                <w:rFonts w:eastAsia="Times New Roman" w:cs="Times New Roman"/>
                <w:color w:val="000000"/>
                <w:sz w:val="20"/>
                <w:szCs w:val="20"/>
              </w:rPr>
              <w:t>2720,76 (59,98%)</w:t>
            </w:r>
          </w:p>
        </w:tc>
      </w:tr>
      <w:tr w:rsidR="00670FD4" w14:paraId="4D05014E" w14:textId="77777777" w:rsidTr="001925BA">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F5AF7C" w14:textId="77777777" w:rsidR="00670FD4" w:rsidRDefault="00670FD4" w:rsidP="001925BA">
            <w:pPr>
              <w:spacing w:after="0"/>
              <w:ind w:firstLine="0"/>
              <w:rPr>
                <w:rFonts w:eastAsia="Times New Roman" w:cs="Times New Roman"/>
                <w:sz w:val="20"/>
                <w:szCs w:val="20"/>
              </w:rPr>
            </w:pPr>
            <w:r>
              <w:rPr>
                <w:rFonts w:eastAsia="Times New Roman" w:cs="Times New Roman"/>
                <w:color w:val="000000"/>
                <w:sz w:val="20"/>
                <w:szCs w:val="20"/>
              </w:rPr>
              <w:t>ROSCI0114 Mlaștina Hergheliei - Obanul Mare și Peștera Movilei</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59E724" w14:textId="77777777" w:rsidR="00670FD4" w:rsidRDefault="00670FD4" w:rsidP="001925BA">
            <w:pPr>
              <w:spacing w:after="0"/>
              <w:rPr>
                <w:rFonts w:eastAsia="Times New Roman" w:cs="Times New Roman"/>
                <w:sz w:val="20"/>
                <w:szCs w:val="20"/>
              </w:rPr>
            </w:pPr>
            <w:r>
              <w:rPr>
                <w:rFonts w:eastAsia="Times New Roman" w:cs="Times New Roman"/>
                <w:color w:val="000000"/>
                <w:sz w:val="20"/>
                <w:szCs w:val="20"/>
              </w:rPr>
              <w:t>2,31 (99,70%)</w:t>
            </w:r>
          </w:p>
        </w:tc>
      </w:tr>
      <w:tr w:rsidR="00670FD4" w14:paraId="7525D74A" w14:textId="77777777" w:rsidTr="001925BA">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0FF423" w14:textId="77777777" w:rsidR="00670FD4" w:rsidRDefault="00670FD4" w:rsidP="001925BA">
            <w:pPr>
              <w:spacing w:after="0"/>
              <w:ind w:firstLine="0"/>
              <w:rPr>
                <w:rFonts w:eastAsia="Times New Roman" w:cs="Times New Roman"/>
                <w:sz w:val="20"/>
                <w:szCs w:val="20"/>
              </w:rPr>
            </w:pPr>
            <w:r>
              <w:rPr>
                <w:rFonts w:eastAsia="Times New Roman" w:cs="Times New Roman"/>
                <w:color w:val="000000"/>
                <w:sz w:val="20"/>
                <w:szCs w:val="20"/>
              </w:rPr>
              <w:t>*ROSCI0157 Pădurea Hagieni - Cotul Văii</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15C4A6" w14:textId="77777777" w:rsidR="00670FD4" w:rsidRDefault="00670FD4" w:rsidP="001925BA">
            <w:pPr>
              <w:spacing w:after="0"/>
              <w:rPr>
                <w:rFonts w:eastAsia="Times New Roman" w:cs="Times New Roman"/>
                <w:sz w:val="20"/>
                <w:szCs w:val="20"/>
              </w:rPr>
            </w:pPr>
            <w:r>
              <w:rPr>
                <w:rFonts w:eastAsia="Times New Roman" w:cs="Times New Roman"/>
                <w:color w:val="000000"/>
                <w:sz w:val="20"/>
                <w:szCs w:val="20"/>
              </w:rPr>
              <w:t>11,24 (30,54%)</w:t>
            </w:r>
          </w:p>
        </w:tc>
      </w:tr>
      <w:tr w:rsidR="00670FD4" w14:paraId="5BFDB4C6" w14:textId="77777777" w:rsidTr="001925BA">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C11A8F" w14:textId="77777777" w:rsidR="00670FD4" w:rsidRDefault="00670FD4" w:rsidP="001925BA">
            <w:pPr>
              <w:spacing w:after="0"/>
              <w:ind w:firstLine="0"/>
              <w:rPr>
                <w:rFonts w:eastAsia="Times New Roman" w:cs="Times New Roman"/>
                <w:sz w:val="20"/>
                <w:szCs w:val="20"/>
              </w:rPr>
            </w:pPr>
            <w:r>
              <w:rPr>
                <w:rFonts w:eastAsia="Times New Roman" w:cs="Times New Roman"/>
                <w:color w:val="000000"/>
                <w:sz w:val="20"/>
                <w:szCs w:val="20"/>
              </w:rPr>
              <w:t>*ROSCI0073 Dunele marine de la Agigea</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24C746" w14:textId="77777777" w:rsidR="00670FD4" w:rsidRDefault="00670FD4" w:rsidP="001925BA">
            <w:pPr>
              <w:spacing w:after="0"/>
              <w:rPr>
                <w:rFonts w:eastAsia="Times New Roman" w:cs="Times New Roman"/>
                <w:sz w:val="20"/>
                <w:szCs w:val="20"/>
              </w:rPr>
            </w:pPr>
            <w:r>
              <w:rPr>
                <w:rFonts w:eastAsia="Times New Roman" w:cs="Times New Roman"/>
                <w:color w:val="000000"/>
                <w:sz w:val="20"/>
                <w:szCs w:val="20"/>
              </w:rPr>
              <w:t>0,12 (100%)</w:t>
            </w:r>
          </w:p>
        </w:tc>
      </w:tr>
      <w:tr w:rsidR="00670FD4" w14:paraId="7267B107" w14:textId="77777777" w:rsidTr="001925BA">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0D02CC" w14:textId="77777777" w:rsidR="00670FD4" w:rsidRDefault="00670FD4" w:rsidP="001925BA">
            <w:pPr>
              <w:spacing w:after="0"/>
              <w:ind w:firstLine="0"/>
              <w:rPr>
                <w:rFonts w:eastAsia="Times New Roman" w:cs="Times New Roman"/>
                <w:sz w:val="20"/>
                <w:szCs w:val="20"/>
              </w:rPr>
            </w:pPr>
            <w:r>
              <w:rPr>
                <w:rFonts w:eastAsia="Times New Roman" w:cs="Times New Roman"/>
                <w:color w:val="000000"/>
                <w:sz w:val="20"/>
                <w:szCs w:val="20"/>
              </w:rPr>
              <w:t>ROSCI0191 Peștera Limanu</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31110C" w14:textId="77777777" w:rsidR="00670FD4" w:rsidRDefault="00670FD4" w:rsidP="001925BA">
            <w:pPr>
              <w:spacing w:after="0"/>
              <w:rPr>
                <w:rFonts w:eastAsia="Times New Roman" w:cs="Times New Roman"/>
                <w:sz w:val="20"/>
                <w:szCs w:val="20"/>
              </w:rPr>
            </w:pPr>
            <w:r>
              <w:rPr>
                <w:rFonts w:eastAsia="Times New Roman" w:cs="Times New Roman"/>
                <w:color w:val="000000"/>
                <w:sz w:val="20"/>
                <w:szCs w:val="20"/>
              </w:rPr>
              <w:t>0,21 (100%)</w:t>
            </w:r>
          </w:p>
        </w:tc>
      </w:tr>
      <w:tr w:rsidR="00670FD4" w14:paraId="465416E0" w14:textId="77777777" w:rsidTr="001925BA">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FF582D" w14:textId="77777777" w:rsidR="00670FD4" w:rsidRDefault="00670FD4" w:rsidP="001925BA">
            <w:pPr>
              <w:spacing w:after="0"/>
              <w:ind w:firstLine="0"/>
              <w:rPr>
                <w:rFonts w:eastAsia="Times New Roman" w:cs="Times New Roman"/>
                <w:sz w:val="20"/>
                <w:szCs w:val="20"/>
              </w:rPr>
            </w:pPr>
            <w:r>
              <w:rPr>
                <w:rFonts w:eastAsia="Times New Roman" w:cs="Times New Roman"/>
                <w:color w:val="000000"/>
                <w:sz w:val="20"/>
                <w:szCs w:val="20"/>
              </w:rPr>
              <w:t>*ROSCI0201 Podișul Nord Dobrogean</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E668EC" w14:textId="77777777" w:rsidR="00670FD4" w:rsidRDefault="00670FD4" w:rsidP="001925BA">
            <w:pPr>
              <w:spacing w:after="0"/>
              <w:rPr>
                <w:rFonts w:eastAsia="Times New Roman" w:cs="Times New Roman"/>
                <w:sz w:val="20"/>
                <w:szCs w:val="20"/>
              </w:rPr>
            </w:pPr>
            <w:r>
              <w:rPr>
                <w:rFonts w:eastAsia="Times New Roman" w:cs="Times New Roman"/>
                <w:color w:val="000000"/>
                <w:sz w:val="20"/>
                <w:szCs w:val="20"/>
              </w:rPr>
              <w:t>5,53 (0,65%)</w:t>
            </w:r>
          </w:p>
        </w:tc>
      </w:tr>
      <w:tr w:rsidR="00670FD4" w14:paraId="3DE75450" w14:textId="77777777" w:rsidTr="001925BA">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FE7401" w14:textId="77777777" w:rsidR="00670FD4" w:rsidRDefault="00670FD4" w:rsidP="001925BA">
            <w:pPr>
              <w:spacing w:after="0"/>
              <w:ind w:firstLine="0"/>
              <w:rPr>
                <w:rFonts w:eastAsia="Times New Roman" w:cs="Times New Roman"/>
                <w:sz w:val="20"/>
                <w:szCs w:val="20"/>
              </w:rPr>
            </w:pPr>
            <w:r>
              <w:rPr>
                <w:rFonts w:eastAsia="Times New Roman" w:cs="Times New Roman"/>
                <w:color w:val="000000"/>
                <w:sz w:val="20"/>
                <w:szCs w:val="20"/>
              </w:rPr>
              <w:t>ROSCI0398 Straja – Cumpăna</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B52208" w14:textId="77777777" w:rsidR="00670FD4" w:rsidRDefault="00670FD4" w:rsidP="001925BA">
            <w:pPr>
              <w:spacing w:after="0"/>
              <w:rPr>
                <w:rFonts w:eastAsia="Times New Roman" w:cs="Times New Roman"/>
                <w:sz w:val="20"/>
                <w:szCs w:val="20"/>
              </w:rPr>
            </w:pPr>
            <w:r>
              <w:rPr>
                <w:rFonts w:eastAsia="Times New Roman" w:cs="Times New Roman"/>
                <w:color w:val="000000"/>
                <w:sz w:val="20"/>
                <w:szCs w:val="20"/>
              </w:rPr>
              <w:t>1,79 (16,28%)</w:t>
            </w:r>
          </w:p>
        </w:tc>
      </w:tr>
      <w:tr w:rsidR="00670FD4" w14:paraId="4C0F6386" w14:textId="77777777" w:rsidTr="001925BA">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9A5EDF" w14:textId="77777777" w:rsidR="00670FD4" w:rsidRDefault="00670FD4" w:rsidP="001925BA">
            <w:pPr>
              <w:spacing w:after="0"/>
              <w:ind w:firstLine="0"/>
              <w:rPr>
                <w:rFonts w:eastAsia="Times New Roman" w:cs="Times New Roman"/>
                <w:sz w:val="20"/>
                <w:szCs w:val="20"/>
              </w:rPr>
            </w:pPr>
            <w:r>
              <w:rPr>
                <w:rFonts w:eastAsia="Times New Roman" w:cs="Times New Roman"/>
                <w:color w:val="000000"/>
                <w:sz w:val="20"/>
                <w:szCs w:val="20"/>
              </w:rPr>
              <w:t>*ROSPA0061 Lacul Techirghiol</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367ABD" w14:textId="77777777" w:rsidR="00670FD4" w:rsidRDefault="00670FD4" w:rsidP="001925BA">
            <w:pPr>
              <w:spacing w:after="0"/>
              <w:rPr>
                <w:rFonts w:eastAsia="Times New Roman" w:cs="Times New Roman"/>
                <w:sz w:val="20"/>
                <w:szCs w:val="20"/>
              </w:rPr>
            </w:pPr>
            <w:r>
              <w:rPr>
                <w:rFonts w:eastAsia="Times New Roman" w:cs="Times New Roman"/>
                <w:color w:val="000000"/>
                <w:sz w:val="20"/>
                <w:szCs w:val="20"/>
              </w:rPr>
              <w:t>19,56 (66,29%)</w:t>
            </w:r>
          </w:p>
        </w:tc>
      </w:tr>
      <w:tr w:rsidR="00670FD4" w14:paraId="0D7DEB1C" w14:textId="77777777" w:rsidTr="001925BA">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69F4BC" w14:textId="77777777" w:rsidR="00670FD4" w:rsidRDefault="00670FD4" w:rsidP="001925BA">
            <w:pPr>
              <w:spacing w:after="0"/>
              <w:ind w:firstLine="0"/>
              <w:rPr>
                <w:rFonts w:eastAsia="Times New Roman" w:cs="Times New Roman"/>
                <w:sz w:val="20"/>
                <w:szCs w:val="20"/>
              </w:rPr>
            </w:pPr>
            <w:r>
              <w:rPr>
                <w:rFonts w:eastAsia="Times New Roman" w:cs="Times New Roman"/>
                <w:color w:val="000000"/>
                <w:sz w:val="20"/>
                <w:szCs w:val="20"/>
              </w:rPr>
              <w:t>ROSPA0057 Lacul Siutghiol</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DE76BC" w14:textId="77777777" w:rsidR="00670FD4" w:rsidRDefault="00670FD4" w:rsidP="001925BA">
            <w:pPr>
              <w:spacing w:after="0"/>
              <w:rPr>
                <w:rFonts w:eastAsia="Times New Roman" w:cs="Times New Roman"/>
                <w:sz w:val="20"/>
                <w:szCs w:val="20"/>
              </w:rPr>
            </w:pPr>
            <w:r>
              <w:rPr>
                <w:rFonts w:eastAsia="Times New Roman" w:cs="Times New Roman"/>
                <w:color w:val="000000"/>
                <w:sz w:val="20"/>
                <w:szCs w:val="20"/>
              </w:rPr>
              <w:t>13,65 (73,43%)</w:t>
            </w:r>
          </w:p>
        </w:tc>
      </w:tr>
      <w:tr w:rsidR="00670FD4" w14:paraId="53702B24" w14:textId="77777777" w:rsidTr="001925BA">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B1385C" w14:textId="77777777" w:rsidR="00670FD4" w:rsidRDefault="00670FD4" w:rsidP="001925BA">
            <w:pPr>
              <w:spacing w:after="0"/>
              <w:ind w:firstLine="0"/>
              <w:rPr>
                <w:rFonts w:eastAsia="Times New Roman" w:cs="Times New Roman"/>
                <w:sz w:val="20"/>
                <w:szCs w:val="20"/>
              </w:rPr>
            </w:pPr>
            <w:r>
              <w:rPr>
                <w:rFonts w:eastAsia="Times New Roman" w:cs="Times New Roman"/>
                <w:color w:val="000000"/>
                <w:sz w:val="20"/>
                <w:szCs w:val="20"/>
              </w:rPr>
              <w:t>ROSPA0060 Lacurile Tașaul – Corbu</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CBFB2F" w14:textId="77777777" w:rsidR="00670FD4" w:rsidRDefault="00670FD4" w:rsidP="001925BA">
            <w:pPr>
              <w:spacing w:after="0"/>
              <w:rPr>
                <w:rFonts w:eastAsia="Times New Roman" w:cs="Times New Roman"/>
                <w:sz w:val="20"/>
                <w:szCs w:val="20"/>
              </w:rPr>
            </w:pPr>
            <w:r>
              <w:rPr>
                <w:rFonts w:eastAsia="Times New Roman" w:cs="Times New Roman"/>
                <w:color w:val="000000"/>
                <w:sz w:val="20"/>
                <w:szCs w:val="20"/>
              </w:rPr>
              <w:t>24,93 (91,19%)</w:t>
            </w:r>
          </w:p>
        </w:tc>
      </w:tr>
      <w:tr w:rsidR="00670FD4" w14:paraId="67338E07" w14:textId="77777777" w:rsidTr="001925BA">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33E198" w14:textId="77777777" w:rsidR="00670FD4" w:rsidRDefault="00670FD4" w:rsidP="001925BA">
            <w:pPr>
              <w:spacing w:after="0"/>
              <w:ind w:firstLine="0"/>
              <w:rPr>
                <w:rFonts w:eastAsia="Times New Roman" w:cs="Times New Roman"/>
                <w:sz w:val="20"/>
                <w:szCs w:val="20"/>
              </w:rPr>
            </w:pPr>
            <w:r>
              <w:rPr>
                <w:rFonts w:eastAsia="Times New Roman" w:cs="Times New Roman"/>
                <w:color w:val="000000"/>
                <w:sz w:val="20"/>
                <w:szCs w:val="20"/>
              </w:rPr>
              <w:t>*ROSPA0052 Lacul Beibugeac</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622BB6" w14:textId="77777777" w:rsidR="00670FD4" w:rsidRDefault="00670FD4" w:rsidP="001925BA">
            <w:pPr>
              <w:spacing w:after="0"/>
              <w:rPr>
                <w:rFonts w:eastAsia="Times New Roman" w:cs="Times New Roman"/>
                <w:sz w:val="20"/>
                <w:szCs w:val="20"/>
              </w:rPr>
            </w:pPr>
            <w:r>
              <w:rPr>
                <w:rFonts w:eastAsia="Times New Roman" w:cs="Times New Roman"/>
                <w:color w:val="000000"/>
                <w:sz w:val="20"/>
                <w:szCs w:val="20"/>
              </w:rPr>
              <w:t>4,68 (99,79%)</w:t>
            </w:r>
          </w:p>
        </w:tc>
      </w:tr>
      <w:tr w:rsidR="00670FD4" w14:paraId="3DA5C9FB" w14:textId="77777777" w:rsidTr="001925BA">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DC8320" w14:textId="77777777" w:rsidR="00670FD4" w:rsidRDefault="00670FD4" w:rsidP="001925BA">
            <w:pPr>
              <w:spacing w:after="0"/>
              <w:ind w:firstLine="0"/>
              <w:rPr>
                <w:rFonts w:eastAsia="Times New Roman" w:cs="Times New Roman"/>
                <w:sz w:val="20"/>
                <w:szCs w:val="20"/>
              </w:rPr>
            </w:pPr>
            <w:r>
              <w:rPr>
                <w:rFonts w:eastAsia="Times New Roman" w:cs="Times New Roman"/>
                <w:color w:val="000000"/>
                <w:sz w:val="20"/>
                <w:szCs w:val="20"/>
                <w:highlight w:val="white"/>
              </w:rPr>
              <w:t>*ROSPA0031 Delta Dunării şi Complexul Razim Sinoe</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9F41A3" w14:textId="77777777" w:rsidR="00670FD4" w:rsidRDefault="00670FD4" w:rsidP="001925BA">
            <w:pPr>
              <w:spacing w:after="0"/>
              <w:rPr>
                <w:rFonts w:eastAsia="Times New Roman" w:cs="Times New Roman"/>
                <w:sz w:val="20"/>
                <w:szCs w:val="20"/>
              </w:rPr>
            </w:pPr>
            <w:r>
              <w:rPr>
                <w:rFonts w:eastAsia="Times New Roman" w:cs="Times New Roman"/>
                <w:color w:val="000000"/>
                <w:sz w:val="20"/>
                <w:szCs w:val="20"/>
              </w:rPr>
              <w:t>5083,02 (100%)</w:t>
            </w:r>
          </w:p>
        </w:tc>
      </w:tr>
      <w:tr w:rsidR="00670FD4" w14:paraId="48629950" w14:textId="77777777" w:rsidTr="001925BA">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426BC4" w14:textId="77777777" w:rsidR="00670FD4" w:rsidRDefault="00670FD4" w:rsidP="001925BA">
            <w:pPr>
              <w:spacing w:after="0"/>
              <w:ind w:firstLine="0"/>
              <w:rPr>
                <w:rFonts w:eastAsia="Times New Roman" w:cs="Times New Roman"/>
                <w:sz w:val="20"/>
                <w:szCs w:val="20"/>
              </w:rPr>
            </w:pPr>
            <w:r>
              <w:rPr>
                <w:rFonts w:eastAsia="Times New Roman" w:cs="Times New Roman"/>
                <w:color w:val="000000"/>
                <w:sz w:val="20"/>
                <w:szCs w:val="20"/>
                <w:highlight w:val="white"/>
              </w:rPr>
              <w:t>ROSPA0066 Limanu – Herghelia</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2CFFEA" w14:textId="77777777" w:rsidR="00670FD4" w:rsidRDefault="00670FD4" w:rsidP="001925BA">
            <w:pPr>
              <w:spacing w:after="0"/>
              <w:rPr>
                <w:rFonts w:eastAsia="Times New Roman" w:cs="Times New Roman"/>
                <w:sz w:val="20"/>
                <w:szCs w:val="20"/>
              </w:rPr>
            </w:pPr>
            <w:r>
              <w:rPr>
                <w:rFonts w:eastAsia="Times New Roman" w:cs="Times New Roman"/>
                <w:color w:val="000000"/>
                <w:sz w:val="20"/>
                <w:szCs w:val="20"/>
              </w:rPr>
              <w:t>7,17 (81,37%)</w:t>
            </w:r>
          </w:p>
        </w:tc>
      </w:tr>
      <w:tr w:rsidR="00670FD4" w14:paraId="4D6277DC" w14:textId="77777777" w:rsidTr="001925BA">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A05BB8" w14:textId="77777777" w:rsidR="00670FD4" w:rsidRDefault="00670FD4" w:rsidP="001925BA">
            <w:pPr>
              <w:spacing w:after="0"/>
              <w:ind w:firstLine="0"/>
              <w:rPr>
                <w:rFonts w:eastAsia="Times New Roman" w:cs="Times New Roman"/>
                <w:sz w:val="20"/>
                <w:szCs w:val="20"/>
              </w:rPr>
            </w:pPr>
            <w:r>
              <w:rPr>
                <w:rFonts w:eastAsia="Times New Roman" w:cs="Times New Roman"/>
                <w:color w:val="000000"/>
                <w:sz w:val="20"/>
                <w:szCs w:val="20"/>
                <w:highlight w:val="white"/>
              </w:rPr>
              <w:t>*ROSPA0019 Cheile Dobrogei</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EB6A86" w14:textId="77777777" w:rsidR="00670FD4" w:rsidRDefault="00670FD4" w:rsidP="001925BA">
            <w:pPr>
              <w:spacing w:after="0"/>
              <w:rPr>
                <w:rFonts w:eastAsia="Times New Roman" w:cs="Times New Roman"/>
                <w:sz w:val="20"/>
                <w:szCs w:val="20"/>
              </w:rPr>
            </w:pPr>
            <w:r>
              <w:rPr>
                <w:rFonts w:eastAsia="Times New Roman" w:cs="Times New Roman"/>
                <w:color w:val="000000"/>
                <w:sz w:val="20"/>
                <w:szCs w:val="20"/>
              </w:rPr>
              <w:t>15,52 (14,22%)</w:t>
            </w:r>
          </w:p>
        </w:tc>
      </w:tr>
    </w:tbl>
    <w:p w14:paraId="559D2350" w14:textId="77777777" w:rsidR="00670FD4" w:rsidRDefault="00670FD4" w:rsidP="00670FD4">
      <w:pPr>
        <w:ind w:firstLine="0"/>
        <w:jc w:val="center"/>
        <w:rPr>
          <w:b/>
          <w:lang w:val="ro-RO" w:eastAsia="en-GB"/>
        </w:rPr>
      </w:pPr>
    </w:p>
    <w:p w14:paraId="08609F97" w14:textId="77777777" w:rsidR="00670FD4" w:rsidRPr="00D2719F" w:rsidRDefault="00670FD4" w:rsidP="00670FD4">
      <w:pPr>
        <w:ind w:firstLine="0"/>
        <w:jc w:val="center"/>
        <w:rPr>
          <w:b/>
          <w:lang w:val="ro-RO" w:eastAsia="en-GB"/>
        </w:rPr>
      </w:pPr>
      <w:r>
        <w:rPr>
          <w:rFonts w:eastAsia="Times New Roman" w:cs="Times New Roman"/>
          <w:b/>
          <w:noProof/>
          <w:color w:val="FF0000"/>
        </w:rPr>
        <w:lastRenderedPageBreak/>
        <w:drawing>
          <wp:inline distT="0" distB="0" distL="0" distR="0" wp14:anchorId="17DC4474" wp14:editId="783AD899">
            <wp:extent cx="5356722" cy="6454140"/>
            <wp:effectExtent l="0" t="0" r="0" b="3810"/>
            <wp:docPr id="214140197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8"/>
                    <a:srcRect b="14166"/>
                    <a:stretch>
                      <a:fillRect/>
                    </a:stretch>
                  </pic:blipFill>
                  <pic:spPr>
                    <a:xfrm>
                      <a:off x="0" y="0"/>
                      <a:ext cx="5366999" cy="6466522"/>
                    </a:xfrm>
                    <a:prstGeom prst="rect">
                      <a:avLst/>
                    </a:prstGeom>
                    <a:ln/>
                  </pic:spPr>
                </pic:pic>
              </a:graphicData>
            </a:graphic>
          </wp:inline>
        </w:drawing>
      </w:r>
    </w:p>
    <w:p w14:paraId="7DD70A11" w14:textId="77777777" w:rsidR="00670FD4" w:rsidRDefault="00670FD4" w:rsidP="00670FD4">
      <w:pPr>
        <w:ind w:firstLine="567"/>
        <w:jc w:val="center"/>
        <w:rPr>
          <w:b/>
        </w:rPr>
      </w:pPr>
      <w:r w:rsidRPr="00D2719F">
        <w:rPr>
          <w:b/>
        </w:rPr>
        <w:t>Fig. 2.4.3.1 Siturile de importanță comunitară din zona costieră românească a Mării Negre</w:t>
      </w:r>
    </w:p>
    <w:p w14:paraId="3DAA2071" w14:textId="77777777" w:rsidR="00670FD4" w:rsidRDefault="00670FD4" w:rsidP="00670FD4">
      <w:pPr>
        <w:ind w:firstLine="567"/>
        <w:jc w:val="center"/>
      </w:pPr>
      <w:r>
        <w:rPr>
          <w:rFonts w:eastAsia="Times New Roman" w:cs="Times New Roman"/>
          <w:b/>
          <w:noProof/>
          <w:color w:val="FF0000"/>
        </w:rPr>
        <w:lastRenderedPageBreak/>
        <w:drawing>
          <wp:inline distT="0" distB="0" distL="0" distR="0" wp14:anchorId="04946A36" wp14:editId="4CBB3A36">
            <wp:extent cx="5181600" cy="6225540"/>
            <wp:effectExtent l="0" t="0" r="0" b="3810"/>
            <wp:docPr id="214140197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9"/>
                    <a:srcRect b="15121"/>
                    <a:stretch>
                      <a:fillRect/>
                    </a:stretch>
                  </pic:blipFill>
                  <pic:spPr>
                    <a:xfrm>
                      <a:off x="0" y="0"/>
                      <a:ext cx="5181726" cy="6225691"/>
                    </a:xfrm>
                    <a:prstGeom prst="rect">
                      <a:avLst/>
                    </a:prstGeom>
                    <a:ln/>
                  </pic:spPr>
                </pic:pic>
              </a:graphicData>
            </a:graphic>
          </wp:inline>
        </w:drawing>
      </w:r>
    </w:p>
    <w:p w14:paraId="42AB690A" w14:textId="77777777" w:rsidR="00670FD4" w:rsidRDefault="00670FD4" w:rsidP="00670FD4">
      <w:pPr>
        <w:ind w:firstLine="567"/>
        <w:jc w:val="center"/>
        <w:rPr>
          <w:rFonts w:eastAsia="Times New Roman" w:cs="Times New Roman"/>
          <w:b/>
        </w:rPr>
      </w:pPr>
      <w:r>
        <w:rPr>
          <w:rFonts w:eastAsia="Times New Roman" w:cs="Times New Roman"/>
          <w:b/>
        </w:rPr>
        <w:t>Fig. 2.4.3.2 Arii de importanță avifaunistică din zona costieră românească a Mării Negre</w:t>
      </w:r>
    </w:p>
    <w:p w14:paraId="44E9843E" w14:textId="77777777" w:rsidR="00670FD4" w:rsidRDefault="00670FD4" w:rsidP="00670FD4">
      <w:pPr>
        <w:ind w:firstLine="567"/>
        <w:jc w:val="center"/>
        <w:rPr>
          <w:rFonts w:eastAsia="Times New Roman" w:cs="Times New Roman"/>
          <w:b/>
        </w:rPr>
      </w:pPr>
    </w:p>
    <w:p w14:paraId="4D830FAC" w14:textId="77777777" w:rsidR="00670FD4" w:rsidRDefault="00670FD4" w:rsidP="00670FD4">
      <w:pPr>
        <w:pStyle w:val="Heading3"/>
      </w:pPr>
      <w:bookmarkStart w:id="71" w:name="_Toc150501466"/>
      <w:bookmarkStart w:id="72" w:name="_Toc171084835"/>
      <w:r>
        <w:t>2.4.4. Resurse naturale</w:t>
      </w:r>
      <w:bookmarkEnd w:id="71"/>
      <w:bookmarkEnd w:id="72"/>
    </w:p>
    <w:p w14:paraId="37FD0876" w14:textId="77777777" w:rsidR="00670FD4" w:rsidRDefault="00670FD4" w:rsidP="00670FD4">
      <w:pPr>
        <w:pStyle w:val="Heading4"/>
        <w:spacing w:before="0" w:after="120"/>
      </w:pPr>
      <w:bookmarkStart w:id="73" w:name="_Toc171084836"/>
      <w:r>
        <w:t>2.4.4.1 Resursa stuficolă</w:t>
      </w:r>
      <w:bookmarkEnd w:id="73"/>
    </w:p>
    <w:p w14:paraId="013A5B95" w14:textId="77777777" w:rsidR="00670FD4" w:rsidRDefault="00670FD4" w:rsidP="00670FD4">
      <w:pPr>
        <w:spacing w:before="0"/>
        <w:ind w:firstLine="567"/>
        <w:rPr>
          <w:rFonts w:eastAsia="Times New Roman" w:cs="Times New Roman"/>
          <w:color w:val="222222"/>
        </w:rPr>
      </w:pPr>
      <w:r>
        <w:rPr>
          <w:rFonts w:eastAsia="Times New Roman" w:cs="Times New Roman"/>
          <w:color w:val="222222"/>
        </w:rPr>
        <w:t>Stuful (</w:t>
      </w:r>
      <w:r>
        <w:rPr>
          <w:rFonts w:eastAsia="Times New Roman" w:cs="Times New Roman"/>
          <w:i/>
          <w:color w:val="222222"/>
        </w:rPr>
        <w:t>Phragmites australis</w:t>
      </w:r>
      <w:r>
        <w:rPr>
          <w:rFonts w:eastAsia="Times New Roman" w:cs="Times New Roman"/>
          <w:color w:val="222222"/>
        </w:rPr>
        <w:t>), formează una din cele mai întinse suprafețe compacte din Delta Dunării, acoperind peste 1500 de km</w:t>
      </w:r>
      <w:r>
        <w:rPr>
          <w:rFonts w:eastAsia="Times New Roman" w:cs="Times New Roman"/>
          <w:color w:val="222222"/>
          <w:vertAlign w:val="superscript"/>
        </w:rPr>
        <w:t>2</w:t>
      </w:r>
      <w:r>
        <w:rPr>
          <w:rFonts w:eastAsia="Times New Roman" w:cs="Times New Roman"/>
          <w:color w:val="222222"/>
        </w:rPr>
        <w:t xml:space="preserve"> din suprafața totală a acesteia. Stuful recoltat în Delta Dunării este utilizat: i) ca material în construcții, ii) ca bază pentru biomasă ”lemnoasă”/celulozică (sursă de energie locală tradițională), iii) pentru producerea de împletituri, iv) confecționarea de fascine folosite pentru protectia digurilor și v) ca hrană pentru </w:t>
      </w:r>
      <w:r>
        <w:rPr>
          <w:rFonts w:eastAsia="Times New Roman" w:cs="Times New Roman"/>
          <w:color w:val="222222"/>
        </w:rPr>
        <w:lastRenderedPageBreak/>
        <w:t xml:space="preserve">animale. De asemenea, masa stuficolă adăpostește un număr semnificativ de păsări, pești și o mare diversitate floristică ce atrage atenția specialiștilor și turiștilor. </w:t>
      </w:r>
    </w:p>
    <w:p w14:paraId="36D805E6" w14:textId="77777777" w:rsidR="00670FD4" w:rsidRDefault="00670FD4" w:rsidP="00670FD4">
      <w:pPr>
        <w:spacing w:before="0"/>
        <w:ind w:firstLine="567"/>
        <w:rPr>
          <w:rFonts w:eastAsia="Times New Roman" w:cs="Times New Roman"/>
          <w:color w:val="222222"/>
        </w:rPr>
      </w:pPr>
      <w:r>
        <w:rPr>
          <w:rFonts w:eastAsia="Times New Roman" w:cs="Times New Roman"/>
          <w:color w:val="222222"/>
        </w:rPr>
        <w:t>Zonele cu resursă stuficolă pretabilă pentru materiale de construcții, biomasă și furaj sunt redate în Figurile 2.4.4.1.1, 2.4.4.1.2, respectiv 2.4.4.1.3.</w:t>
      </w:r>
    </w:p>
    <w:p w14:paraId="186706D3" w14:textId="77777777" w:rsidR="00670FD4" w:rsidRDefault="00670FD4" w:rsidP="00670FD4">
      <w:pPr>
        <w:spacing w:before="0"/>
        <w:ind w:firstLine="567"/>
        <w:rPr>
          <w:rFonts w:eastAsia="Times New Roman" w:cs="Times New Roman"/>
          <w:color w:val="222222"/>
        </w:rPr>
      </w:pPr>
    </w:p>
    <w:p w14:paraId="437D896B" w14:textId="77777777" w:rsidR="00670FD4" w:rsidRDefault="00670FD4" w:rsidP="00670FD4">
      <w:pPr>
        <w:spacing w:before="0"/>
        <w:ind w:firstLine="567"/>
        <w:rPr>
          <w:rFonts w:eastAsia="Times New Roman" w:cs="Times New Roman"/>
          <w:color w:val="222222"/>
        </w:rPr>
      </w:pPr>
      <w:r>
        <w:rPr>
          <w:rFonts w:eastAsia="Times New Roman" w:cs="Times New Roman"/>
          <w:noProof/>
        </w:rPr>
        <w:drawing>
          <wp:inline distT="0" distB="0" distL="0" distR="0" wp14:anchorId="45B503FB" wp14:editId="4C669045">
            <wp:extent cx="5212080" cy="7124700"/>
            <wp:effectExtent l="0" t="0" r="7620" b="0"/>
            <wp:docPr id="214140197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0"/>
                    <a:srcRect/>
                    <a:stretch>
                      <a:fillRect/>
                    </a:stretch>
                  </pic:blipFill>
                  <pic:spPr>
                    <a:xfrm>
                      <a:off x="0" y="0"/>
                      <a:ext cx="5212197" cy="7124860"/>
                    </a:xfrm>
                    <a:prstGeom prst="rect">
                      <a:avLst/>
                    </a:prstGeom>
                    <a:ln/>
                  </pic:spPr>
                </pic:pic>
              </a:graphicData>
            </a:graphic>
          </wp:inline>
        </w:drawing>
      </w:r>
    </w:p>
    <w:p w14:paraId="420DB3A0" w14:textId="77777777" w:rsidR="00670FD4" w:rsidRDefault="00670FD4" w:rsidP="00670FD4">
      <w:pPr>
        <w:spacing w:before="0"/>
        <w:ind w:firstLine="567"/>
        <w:jc w:val="center"/>
        <w:rPr>
          <w:rFonts w:eastAsia="Times New Roman" w:cs="Times New Roman"/>
          <w:b/>
          <w:color w:val="222222"/>
        </w:rPr>
      </w:pPr>
      <w:r w:rsidRPr="00C90B98">
        <w:rPr>
          <w:rFonts w:eastAsia="Times New Roman" w:cs="Times New Roman"/>
          <w:b/>
          <w:color w:val="222222"/>
        </w:rPr>
        <w:t xml:space="preserve">Fig. </w:t>
      </w:r>
      <w:r>
        <w:rPr>
          <w:rFonts w:eastAsia="Times New Roman" w:cs="Times New Roman"/>
          <w:b/>
          <w:color w:val="222222"/>
        </w:rPr>
        <w:t>2.4.4.1</w:t>
      </w:r>
      <w:r w:rsidRPr="00C90B98">
        <w:rPr>
          <w:rFonts w:eastAsia="Times New Roman" w:cs="Times New Roman"/>
          <w:b/>
          <w:color w:val="222222"/>
        </w:rPr>
        <w:t>.1 Harta zonelor cu stuf pretabil pentru acoperișuri</w:t>
      </w:r>
    </w:p>
    <w:p w14:paraId="22B0CE3A" w14:textId="77777777" w:rsidR="00670FD4" w:rsidRDefault="00670FD4" w:rsidP="00670FD4">
      <w:pPr>
        <w:spacing w:before="0"/>
        <w:ind w:firstLine="567"/>
        <w:jc w:val="center"/>
        <w:rPr>
          <w:rFonts w:eastAsia="Times New Roman" w:cs="Times New Roman"/>
          <w:b/>
          <w:color w:val="222222"/>
        </w:rPr>
      </w:pPr>
    </w:p>
    <w:p w14:paraId="73E45D63" w14:textId="77777777" w:rsidR="00670FD4" w:rsidRDefault="00670FD4" w:rsidP="00670FD4">
      <w:pPr>
        <w:spacing w:before="0"/>
        <w:ind w:firstLine="567"/>
        <w:jc w:val="center"/>
        <w:rPr>
          <w:rFonts w:eastAsia="Times New Roman" w:cs="Times New Roman"/>
          <w:b/>
          <w:color w:val="222222"/>
        </w:rPr>
      </w:pPr>
      <w:r>
        <w:rPr>
          <w:rFonts w:eastAsia="Times New Roman" w:cs="Times New Roman"/>
          <w:b/>
          <w:noProof/>
          <w:color w:val="000000"/>
        </w:rPr>
        <w:drawing>
          <wp:inline distT="0" distB="0" distL="0" distR="0" wp14:anchorId="15B989FA" wp14:editId="09EEE64F">
            <wp:extent cx="5059680" cy="7452360"/>
            <wp:effectExtent l="0" t="0" r="7620" b="0"/>
            <wp:docPr id="214140197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1"/>
                    <a:srcRect/>
                    <a:stretch>
                      <a:fillRect/>
                    </a:stretch>
                  </pic:blipFill>
                  <pic:spPr>
                    <a:xfrm>
                      <a:off x="0" y="0"/>
                      <a:ext cx="5060144" cy="7453043"/>
                    </a:xfrm>
                    <a:prstGeom prst="rect">
                      <a:avLst/>
                    </a:prstGeom>
                    <a:ln/>
                  </pic:spPr>
                </pic:pic>
              </a:graphicData>
            </a:graphic>
          </wp:inline>
        </w:drawing>
      </w:r>
    </w:p>
    <w:p w14:paraId="1ADF8266" w14:textId="77777777" w:rsidR="00670FD4" w:rsidRDefault="00670FD4" w:rsidP="00670FD4">
      <w:pPr>
        <w:spacing w:before="0"/>
        <w:ind w:firstLine="567"/>
        <w:jc w:val="center"/>
        <w:rPr>
          <w:rFonts w:eastAsia="Times New Roman" w:cs="Times New Roman"/>
          <w:b/>
          <w:color w:val="222222"/>
        </w:rPr>
      </w:pPr>
      <w:r w:rsidRPr="00C90B98">
        <w:rPr>
          <w:rFonts w:eastAsia="Times New Roman" w:cs="Times New Roman"/>
          <w:b/>
          <w:color w:val="222222"/>
        </w:rPr>
        <w:t xml:space="preserve">Fig. </w:t>
      </w:r>
      <w:r>
        <w:rPr>
          <w:rFonts w:eastAsia="Times New Roman" w:cs="Times New Roman"/>
          <w:b/>
          <w:color w:val="222222"/>
        </w:rPr>
        <w:t>2.4.4.1.2</w:t>
      </w:r>
      <w:r w:rsidRPr="00C90B98">
        <w:rPr>
          <w:rFonts w:eastAsia="Times New Roman" w:cs="Times New Roman"/>
          <w:b/>
          <w:color w:val="222222"/>
        </w:rPr>
        <w:t xml:space="preserve"> Harta cu zone cultivate cu stuf pretabil pentru biomasă</w:t>
      </w:r>
    </w:p>
    <w:p w14:paraId="0B9A3808" w14:textId="77777777" w:rsidR="00670FD4" w:rsidRPr="00C90B98" w:rsidRDefault="00670FD4" w:rsidP="00670FD4">
      <w:pPr>
        <w:spacing w:before="0"/>
        <w:ind w:firstLine="567"/>
        <w:jc w:val="center"/>
        <w:rPr>
          <w:rFonts w:eastAsia="Times New Roman" w:cs="Times New Roman"/>
          <w:b/>
          <w:color w:val="222222"/>
        </w:rPr>
      </w:pPr>
    </w:p>
    <w:p w14:paraId="36644E7E" w14:textId="77777777" w:rsidR="00670FD4" w:rsidRDefault="00670FD4" w:rsidP="00670FD4">
      <w:pPr>
        <w:spacing w:before="0"/>
        <w:ind w:firstLine="567"/>
        <w:rPr>
          <w:rFonts w:eastAsia="Times New Roman" w:cs="Times New Roman"/>
          <w:color w:val="222222"/>
        </w:rPr>
      </w:pPr>
      <w:r>
        <w:rPr>
          <w:b/>
          <w:noProof/>
          <w:color w:val="000000"/>
        </w:rPr>
        <w:lastRenderedPageBreak/>
        <w:drawing>
          <wp:inline distT="0" distB="0" distL="0" distR="0" wp14:anchorId="2D0617CD" wp14:editId="5DCBE8AA">
            <wp:extent cx="5189220" cy="7406640"/>
            <wp:effectExtent l="0" t="0" r="0" b="3810"/>
            <wp:docPr id="214140197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2"/>
                    <a:srcRect/>
                    <a:stretch>
                      <a:fillRect/>
                    </a:stretch>
                  </pic:blipFill>
                  <pic:spPr>
                    <a:xfrm>
                      <a:off x="0" y="0"/>
                      <a:ext cx="5189533" cy="7407087"/>
                    </a:xfrm>
                    <a:prstGeom prst="rect">
                      <a:avLst/>
                    </a:prstGeom>
                    <a:ln/>
                  </pic:spPr>
                </pic:pic>
              </a:graphicData>
            </a:graphic>
          </wp:inline>
        </w:drawing>
      </w:r>
    </w:p>
    <w:p w14:paraId="41240B78" w14:textId="77777777" w:rsidR="00670FD4" w:rsidRDefault="00670FD4" w:rsidP="00670FD4">
      <w:pPr>
        <w:spacing w:before="0"/>
        <w:ind w:firstLine="567"/>
        <w:jc w:val="center"/>
        <w:rPr>
          <w:rFonts w:eastAsia="Times New Roman" w:cs="Times New Roman"/>
          <w:b/>
          <w:color w:val="222222"/>
        </w:rPr>
      </w:pPr>
      <w:r w:rsidRPr="00C90B98">
        <w:rPr>
          <w:rFonts w:eastAsia="Times New Roman" w:cs="Times New Roman"/>
          <w:b/>
          <w:color w:val="222222"/>
        </w:rPr>
        <w:t>Fig. 2.4.4.1.3 Harta zonelor cu stuf pretabile pentru pășunat</w:t>
      </w:r>
    </w:p>
    <w:p w14:paraId="1ED8D050" w14:textId="77777777" w:rsidR="00670FD4" w:rsidRPr="00C90B98" w:rsidRDefault="00670FD4" w:rsidP="00670FD4">
      <w:pPr>
        <w:spacing w:before="0"/>
        <w:ind w:firstLine="567"/>
        <w:jc w:val="center"/>
        <w:rPr>
          <w:rFonts w:eastAsia="Times New Roman" w:cs="Times New Roman"/>
          <w:b/>
          <w:color w:val="222222"/>
        </w:rPr>
      </w:pPr>
    </w:p>
    <w:p w14:paraId="7EBC5F1B" w14:textId="77777777" w:rsidR="00670FD4" w:rsidRDefault="00670FD4" w:rsidP="00670FD4">
      <w:pPr>
        <w:spacing w:before="0"/>
        <w:ind w:firstLine="567"/>
        <w:rPr>
          <w:rFonts w:eastAsia="Times New Roman" w:cs="Times New Roman"/>
          <w:color w:val="222222"/>
        </w:rPr>
      </w:pPr>
      <w:r>
        <w:rPr>
          <w:rFonts w:eastAsia="Times New Roman" w:cs="Times New Roman"/>
          <w:color w:val="222222"/>
        </w:rPr>
        <w:t xml:space="preserve">Activitatea de valorificare a resursei stuficole se poate face atât în scop comercial, cât și gospodăresc. ARBDD stabilește anual cotele admisibile pentru exploatarea stufului pe baza studiilor de evaluare a resurselor stuficole elaborate de instituții de cercetare specializate acreditate. Resursa stuficolă se valorifică prin atribuire directă organizaţiilor/asociaţiilor de </w:t>
      </w:r>
      <w:r>
        <w:rPr>
          <w:rFonts w:eastAsia="Times New Roman" w:cs="Times New Roman"/>
          <w:color w:val="222222"/>
        </w:rPr>
        <w:lastRenderedPageBreak/>
        <w:t>persoane fizice autorizate, legal constituite, în conformitate cu prevederile Legii 82/1993, și prin concesiune. În 2021, în zona de studiu existau în derulare opt contracte de concesiune, din care - trei active (Zmeica-Golovița, Sinoe și Buhaz).</w:t>
      </w:r>
    </w:p>
    <w:p w14:paraId="1B998B0B" w14:textId="77777777" w:rsidR="00670FD4" w:rsidRDefault="00670FD4" w:rsidP="00670FD4">
      <w:pPr>
        <w:spacing w:before="0"/>
        <w:ind w:firstLine="567"/>
        <w:rPr>
          <w:rFonts w:eastAsia="Times New Roman" w:cs="Times New Roman"/>
        </w:rPr>
      </w:pPr>
      <w:r>
        <w:rPr>
          <w:rFonts w:eastAsia="Times New Roman" w:cs="Times New Roman"/>
        </w:rPr>
        <w:t>Conform raportărilor pentru sezonul de recoltare 2021-2022 în zonele concesionate s-au recoltat 5.208 t din cota autorizată de 5.391 tone(ARBDD, 2022). În 2021, au fost emise 13 autorizații pentru activitatea de valorificare a resursei stuficole și 7 permise de recoltare stuf în scop gospodăresc. Cantitatea totală recoltată în sezonul 2021-2022 în zonele stuficole aparţinând domeniului public de interes naţional, aflate în perimetrul rezervaţiei, a fost de 273,7 t, iar din amenajările piscicole din domeniul public judeţean s-a recoltat cantitatea de 755 t (ARBDD, 2022).</w:t>
      </w:r>
    </w:p>
    <w:p w14:paraId="6C77DEC3" w14:textId="77777777" w:rsidR="00670FD4" w:rsidRDefault="00670FD4" w:rsidP="00670FD4">
      <w:pPr>
        <w:spacing w:before="0"/>
        <w:ind w:firstLine="567"/>
      </w:pPr>
      <w:r>
        <w:rPr>
          <w:rFonts w:eastAsia="Times New Roman" w:cs="Times New Roman"/>
        </w:rPr>
        <w:t>Una din problemele legate de exploatarea stufului o constituie nivelul scăzut de valorificare a resursei stuficole în special în zonele centrale ale Deltei Dunării, unde se constată fenomenul de “îmbătrânire“ a stufăriilor ca urmare a dezvoltării mai multor generații de stuf în aceeași zonă cu consecințe negative asupra habitatelor naturale, problemă care ar putea fi diminuată prin promovarea unor metode variate de valorificare a biomasei, inclusiv pentru producerea peleților combustibili. Utilizarea acestei resurse poate stopa declinul industriei de celuloză și hârtie</w:t>
      </w:r>
      <w:r>
        <w:t>.</w:t>
      </w:r>
    </w:p>
    <w:p w14:paraId="4DA9E0C4" w14:textId="77777777" w:rsidR="00670FD4" w:rsidRDefault="00670FD4" w:rsidP="00670FD4">
      <w:pPr>
        <w:pStyle w:val="Heading4"/>
      </w:pPr>
      <w:bookmarkStart w:id="74" w:name="_Toc171084837"/>
      <w:r>
        <w:t>2.4.4.2 Resursa piscicolă</w:t>
      </w:r>
      <w:bookmarkEnd w:id="74"/>
    </w:p>
    <w:p w14:paraId="092097D9" w14:textId="77777777" w:rsidR="00670FD4" w:rsidRDefault="00670FD4" w:rsidP="00670FD4">
      <w:pPr>
        <w:spacing w:before="0"/>
        <w:rPr>
          <w:rFonts w:eastAsia="Times New Roman" w:cs="Times New Roman"/>
          <w:i/>
        </w:rPr>
      </w:pPr>
      <w:r>
        <w:rPr>
          <w:rFonts w:eastAsia="Times New Roman" w:cs="Times New Roman"/>
          <w:i/>
        </w:rPr>
        <w:t>Pești cu valoare comercială</w:t>
      </w:r>
    </w:p>
    <w:p w14:paraId="426E0EBD" w14:textId="77777777" w:rsidR="00670FD4" w:rsidRDefault="00670FD4" w:rsidP="00670FD4">
      <w:pPr>
        <w:spacing w:before="0"/>
        <w:ind w:firstLine="567"/>
        <w:rPr>
          <w:rFonts w:eastAsia="Times New Roman" w:cs="Times New Roman"/>
        </w:rPr>
      </w:pPr>
      <w:r>
        <w:rPr>
          <w:rFonts w:eastAsia="Times New Roman" w:cs="Times New Roman"/>
        </w:rPr>
        <w:t>În prezent, resursa piscicolă necesită o atenție deosebită fiind afectată considerabil, în sens negativ, de suprapescuit, poluare, încălzire globală, introducerea de specii invazive, etc.. Toate acestea impun măsuri de reabilitare a calității mediului, stopare a poluării, gestionare durabilă și utilizare rațională a resursei piscicole pentru menținerea echilibrului ecosistemic referitor la biodiversitate, integritate populaţională, lanţuri trofice și stocuri.</w:t>
      </w:r>
    </w:p>
    <w:p w14:paraId="13383743" w14:textId="77777777" w:rsidR="00670FD4" w:rsidRDefault="00670FD4" w:rsidP="00670FD4">
      <w:pPr>
        <w:spacing w:before="0"/>
        <w:ind w:firstLine="567"/>
        <w:rPr>
          <w:rFonts w:eastAsia="Times New Roman" w:cs="Times New Roman"/>
        </w:rPr>
      </w:pPr>
      <w:r>
        <w:rPr>
          <w:rFonts w:eastAsia="Times New Roman" w:cs="Times New Roman"/>
        </w:rPr>
        <w:t>Deși în ultimele decenii stocurile de pești au înregistrat diminuări progresive, totuși, în ultimii 6 ani, s-a înregistrat o creștere a diversității speciilor cu aproximativ 51% (INCDM, 2022). Această creștere a diversității s-a datorat prezenței unor specii auxiliare, cu sau fără valoare economică, apărute accidental (datorită schimbărilor climatice), sau în număr redus de exemplare, precum și diversificării și îmbunătățirii uneltelor şi tehnicilor de colectare folosite. Mai multe specii identificate aparţin familiilor Gobiidae și Mugilidae.</w:t>
      </w:r>
    </w:p>
    <w:p w14:paraId="6EACCD91" w14:textId="77777777" w:rsidR="00670FD4" w:rsidRDefault="00670FD4" w:rsidP="00670FD4">
      <w:pPr>
        <w:spacing w:before="0"/>
        <w:ind w:firstLine="567"/>
        <w:rPr>
          <w:rFonts w:eastAsia="Times New Roman" w:cs="Times New Roman"/>
        </w:rPr>
      </w:pPr>
      <w:r>
        <w:rPr>
          <w:rFonts w:eastAsia="Times New Roman" w:cs="Times New Roman"/>
        </w:rPr>
        <w:t xml:space="preserve">Structura populaţională a ultimilor ani, indică prezenţa în capturi a unui număr de 24 specii, cele mai importante fiind hamsia, stavridul, guvizii, chefalul, ca specii de talie mică, și calcanul, alosele (scrumbiile), ca specii de talie mai mare. În capturile din 2022, s-au înregistrat următoarele proporții: </w:t>
      </w:r>
      <w:r>
        <w:rPr>
          <w:rFonts w:eastAsia="Times New Roman" w:cs="Times New Roman"/>
          <w:i/>
        </w:rPr>
        <w:t>Scophthalmus maximus</w:t>
      </w:r>
      <w:r>
        <w:rPr>
          <w:rFonts w:eastAsia="Times New Roman" w:cs="Times New Roman"/>
        </w:rPr>
        <w:t xml:space="preserve"> - calcan (30,00-28,52%), </w:t>
      </w:r>
      <w:r>
        <w:rPr>
          <w:rFonts w:eastAsia="Times New Roman" w:cs="Times New Roman"/>
          <w:i/>
        </w:rPr>
        <w:t>Engraulis encrasicolus</w:t>
      </w:r>
      <w:r>
        <w:rPr>
          <w:rFonts w:eastAsia="Times New Roman" w:cs="Times New Roman"/>
        </w:rPr>
        <w:t xml:space="preserve"> - hamsia (15,60-11,41%), </w:t>
      </w:r>
      <w:r>
        <w:rPr>
          <w:rFonts w:eastAsia="Times New Roman" w:cs="Times New Roman"/>
          <w:i/>
        </w:rPr>
        <w:t>Trachurus mediterraneus ponticus</w:t>
      </w:r>
      <w:r>
        <w:rPr>
          <w:rFonts w:eastAsia="Times New Roman" w:cs="Times New Roman"/>
        </w:rPr>
        <w:t xml:space="preserve"> - stavrid (11,20-7,60%), </w:t>
      </w:r>
      <w:r>
        <w:rPr>
          <w:rFonts w:eastAsia="Times New Roman" w:cs="Times New Roman"/>
          <w:i/>
        </w:rPr>
        <w:t>Sprattus sprattus</w:t>
      </w:r>
      <w:r>
        <w:rPr>
          <w:rFonts w:eastAsia="Times New Roman" w:cs="Times New Roman"/>
        </w:rPr>
        <w:t xml:space="preserve"> – șprot (18,60 – 23,57%), </w:t>
      </w:r>
      <w:r>
        <w:rPr>
          <w:rFonts w:eastAsia="Times New Roman" w:cs="Times New Roman"/>
          <w:i/>
        </w:rPr>
        <w:t>Pomatomus saltatrix</w:t>
      </w:r>
      <w:r>
        <w:rPr>
          <w:rFonts w:eastAsia="Times New Roman" w:cs="Times New Roman"/>
        </w:rPr>
        <w:t xml:space="preserve"> – lufar (3,60-12,17%), </w:t>
      </w:r>
      <w:r>
        <w:rPr>
          <w:rFonts w:eastAsia="Times New Roman" w:cs="Times New Roman"/>
          <w:i/>
        </w:rPr>
        <w:t>Mullus barbatus</w:t>
      </w:r>
      <w:r>
        <w:rPr>
          <w:rFonts w:eastAsia="Times New Roman" w:cs="Times New Roman"/>
        </w:rPr>
        <w:t xml:space="preserve"> – barbun (5,36-9,89%) și speciile din familiile Gobiidae - guvizi (2,80-3,04%), Alosae – alose/scrumbii (1,60-2,28%) şi 1% alte specii (INCDM, 2022).</w:t>
      </w:r>
    </w:p>
    <w:p w14:paraId="765737C5" w14:textId="77777777" w:rsidR="00670FD4" w:rsidRDefault="00670FD4" w:rsidP="00670FD4">
      <w:pPr>
        <w:spacing w:before="0"/>
        <w:ind w:firstLine="567"/>
        <w:rPr>
          <w:rFonts w:eastAsia="Times New Roman" w:cs="Times New Roman"/>
        </w:rPr>
      </w:pPr>
      <w:r>
        <w:rPr>
          <w:rFonts w:eastAsia="Times New Roman" w:cs="Times New Roman"/>
        </w:rPr>
        <w:t xml:space="preserve">Un statut special îl au sturionii, specii cu foarte mare valoare economică, pentru care s-au impus restricții de exploatare, rezultate din necesitatea protecției și refacerii stocurilor </w:t>
      </w:r>
      <w:r>
        <w:rPr>
          <w:rFonts w:eastAsia="Times New Roman" w:cs="Times New Roman"/>
        </w:rPr>
        <w:lastRenderedPageBreak/>
        <w:t>naturale. Nisetrul (</w:t>
      </w:r>
      <w:r>
        <w:rPr>
          <w:rFonts w:eastAsia="Times New Roman" w:cs="Times New Roman"/>
          <w:i/>
        </w:rPr>
        <w:t>Acipenser gueldenstaedtii</w:t>
      </w:r>
      <w:r>
        <w:rPr>
          <w:rFonts w:eastAsia="Times New Roman" w:cs="Times New Roman"/>
        </w:rPr>
        <w:t>), păstruga (</w:t>
      </w:r>
      <w:r>
        <w:rPr>
          <w:rFonts w:eastAsia="Times New Roman" w:cs="Times New Roman"/>
          <w:i/>
        </w:rPr>
        <w:t>Acipenser stellatus</w:t>
      </w:r>
      <w:r>
        <w:rPr>
          <w:rFonts w:eastAsia="Times New Roman" w:cs="Times New Roman"/>
        </w:rPr>
        <w:t>) și morunul (</w:t>
      </w:r>
      <w:r>
        <w:rPr>
          <w:rFonts w:eastAsia="Times New Roman" w:cs="Times New Roman"/>
          <w:i/>
        </w:rPr>
        <w:t>Huso huso</w:t>
      </w:r>
      <w:r>
        <w:rPr>
          <w:rFonts w:eastAsia="Times New Roman" w:cs="Times New Roman"/>
        </w:rPr>
        <w:t>), se află pe lista speciilor pe cale de dispariție în Convenția privind Comerțul Internațional cu specii de Floră și Faună sălbatică, (CITES, Anexa II / Notificarea nr. 1998/13 pentru Conservare Sturioni, 1998).</w:t>
      </w:r>
    </w:p>
    <w:p w14:paraId="0B0389C3" w14:textId="77777777" w:rsidR="00670FD4" w:rsidRDefault="00670FD4" w:rsidP="00670FD4">
      <w:pPr>
        <w:spacing w:before="0"/>
        <w:ind w:firstLine="567"/>
        <w:rPr>
          <w:rFonts w:eastAsia="Times New Roman" w:cs="Times New Roman"/>
        </w:rPr>
      </w:pPr>
      <w:r>
        <w:rPr>
          <w:rFonts w:eastAsia="Times New Roman" w:cs="Times New Roman"/>
        </w:rPr>
        <w:t xml:space="preserve"> Stocurile de pești cu valoare comercială depind de disponibilitatea resurselor de hrană și a habitatelor de iernare, reproducere și creștere larvară. În urma cercetărilor realizate de INCDM Grigore Antipa și ANPA, au fost identificate zone semnificative pentru depunerea icrelor, precum și perioadele (anuale) de reproducere ale speciilor de pești (Ordinul 10/235 din 27 ianuarie 2023) pe baza: a) evaluărilor privind abundența și distribuția icrelor, larvelor, exemplarelor juvenile și aglomerărilor de pești; b) informațiilor despre capturi și debarcări, alături de, c) alte cunoștințe bibliografice și d) estimări ale experților.</w:t>
      </w:r>
    </w:p>
    <w:p w14:paraId="21C8C7CC" w14:textId="77777777" w:rsidR="00670FD4" w:rsidRDefault="00670FD4" w:rsidP="00670FD4">
      <w:pPr>
        <w:spacing w:before="0"/>
        <w:ind w:firstLine="567"/>
        <w:rPr>
          <w:rFonts w:eastAsia="Times New Roman" w:cs="Times New Roman"/>
        </w:rPr>
      </w:pPr>
      <w:r>
        <w:rPr>
          <w:rFonts w:eastAsia="Times New Roman" w:cs="Times New Roman"/>
        </w:rPr>
        <w:t xml:space="preserve">Datorită caracterului migrator al speciilor de peşti din Marea Neagră se evaluează biomasa stocurilor de reproducători (SSB) şi se calculează indicatorul mortalitate prin pescuit în concordanță cu obținerea randamentului maxim durabil (FMSY), pentru principalele specii de peşti de interes comercial. Din analiza acestora rezultă că, în perioada 2019-2022, doar șprotul este exploatat durabil, calcanul și bacaliarul sunt supraexploatate, rechinul are stoc limitat, iar rapana se află în jurul punctelor de referință (Tabel 2.4.4.2.1). </w:t>
      </w:r>
    </w:p>
    <w:p w14:paraId="2EA59B4D" w14:textId="77777777" w:rsidR="00670FD4" w:rsidRDefault="00670FD4" w:rsidP="00670FD4">
      <w:pPr>
        <w:ind w:firstLine="567"/>
        <w:rPr>
          <w:rFonts w:eastAsia="Times New Roman" w:cs="Times New Roman"/>
        </w:rPr>
      </w:pPr>
    </w:p>
    <w:p w14:paraId="2243A9AC" w14:textId="77777777" w:rsidR="00670FD4" w:rsidRDefault="00670FD4" w:rsidP="00670FD4">
      <w:pPr>
        <w:spacing w:after="200"/>
        <w:jc w:val="center"/>
        <w:rPr>
          <w:rFonts w:eastAsia="Times New Roman" w:cs="Times New Roman"/>
          <w:b/>
        </w:rPr>
      </w:pPr>
      <w:r>
        <w:rPr>
          <w:rFonts w:eastAsia="Times New Roman" w:cs="Times New Roman"/>
          <w:b/>
        </w:rPr>
        <w:t>Tabel 2.4.4.2.1 Biomasa stocurilor de reproducători si mortalitatea prin pescuit (FMSY) la principalele specii comerciale din bazinul Mării Negre</w:t>
      </w:r>
    </w:p>
    <w:tbl>
      <w:tblPr>
        <w:tblW w:w="9226" w:type="dxa"/>
        <w:tblLayout w:type="fixed"/>
        <w:tblLook w:val="0400" w:firstRow="0" w:lastRow="0" w:firstColumn="0" w:lastColumn="0" w:noHBand="0" w:noVBand="1"/>
      </w:tblPr>
      <w:tblGrid>
        <w:gridCol w:w="2272"/>
        <w:gridCol w:w="805"/>
        <w:gridCol w:w="851"/>
        <w:gridCol w:w="850"/>
        <w:gridCol w:w="851"/>
        <w:gridCol w:w="850"/>
        <w:gridCol w:w="851"/>
        <w:gridCol w:w="1896"/>
      </w:tblGrid>
      <w:tr w:rsidR="00670FD4" w14:paraId="03E7CBAA" w14:textId="77777777" w:rsidTr="001925BA">
        <w:trPr>
          <w:trHeight w:val="194"/>
        </w:trPr>
        <w:tc>
          <w:tcPr>
            <w:tcW w:w="2272" w:type="dxa"/>
            <w:tcBorders>
              <w:top w:val="single" w:sz="8" w:space="0" w:color="000000"/>
              <w:left w:val="single" w:sz="8" w:space="0" w:color="000000"/>
              <w:bottom w:val="single" w:sz="6" w:space="0" w:color="000000"/>
              <w:right w:val="single" w:sz="8" w:space="0" w:color="000000"/>
            </w:tcBorders>
            <w:shd w:val="clear" w:color="auto" w:fill="F7CAAC"/>
            <w:tcMar>
              <w:top w:w="100" w:type="dxa"/>
              <w:left w:w="100" w:type="dxa"/>
              <w:bottom w:w="100" w:type="dxa"/>
              <w:right w:w="100" w:type="dxa"/>
            </w:tcMar>
          </w:tcPr>
          <w:p w14:paraId="18D0F704" w14:textId="77777777" w:rsidR="00670FD4" w:rsidRDefault="00670FD4" w:rsidP="001925BA">
            <w:pPr>
              <w:spacing w:before="0" w:after="0" w:line="240" w:lineRule="auto"/>
              <w:jc w:val="center"/>
              <w:rPr>
                <w:rFonts w:eastAsia="Times New Roman" w:cs="Times New Roman"/>
                <w:sz w:val="20"/>
                <w:szCs w:val="20"/>
              </w:rPr>
            </w:pPr>
            <w:r>
              <w:rPr>
                <w:rFonts w:eastAsia="Times New Roman" w:cs="Times New Roman"/>
                <w:b/>
                <w:color w:val="1F1F1F"/>
                <w:sz w:val="20"/>
                <w:szCs w:val="20"/>
              </w:rPr>
              <w:t>Specia</w:t>
            </w:r>
          </w:p>
        </w:tc>
        <w:tc>
          <w:tcPr>
            <w:tcW w:w="1656" w:type="dxa"/>
            <w:gridSpan w:val="2"/>
            <w:tcBorders>
              <w:top w:val="single" w:sz="8" w:space="0" w:color="000000"/>
              <w:left w:val="single" w:sz="8" w:space="0" w:color="000000"/>
              <w:bottom w:val="single" w:sz="8" w:space="0" w:color="000000"/>
              <w:right w:val="single" w:sz="8" w:space="0" w:color="000000"/>
            </w:tcBorders>
            <w:shd w:val="clear" w:color="auto" w:fill="F7CAAC"/>
            <w:tcMar>
              <w:top w:w="100" w:type="dxa"/>
              <w:left w:w="100" w:type="dxa"/>
              <w:bottom w:w="100" w:type="dxa"/>
              <w:right w:w="100" w:type="dxa"/>
            </w:tcMar>
          </w:tcPr>
          <w:p w14:paraId="23A10B87" w14:textId="77777777" w:rsidR="00670FD4" w:rsidRDefault="00670FD4" w:rsidP="001925BA">
            <w:pPr>
              <w:spacing w:before="0" w:after="0" w:line="240" w:lineRule="auto"/>
              <w:jc w:val="center"/>
              <w:rPr>
                <w:rFonts w:eastAsia="Times New Roman" w:cs="Times New Roman"/>
                <w:sz w:val="20"/>
                <w:szCs w:val="20"/>
              </w:rPr>
            </w:pPr>
            <w:r>
              <w:rPr>
                <w:rFonts w:eastAsia="Times New Roman" w:cs="Times New Roman"/>
                <w:b/>
                <w:color w:val="232323"/>
                <w:sz w:val="20"/>
                <w:szCs w:val="20"/>
              </w:rPr>
              <w:t>2019</w:t>
            </w:r>
          </w:p>
        </w:tc>
        <w:tc>
          <w:tcPr>
            <w:tcW w:w="1701" w:type="dxa"/>
            <w:gridSpan w:val="2"/>
            <w:tcBorders>
              <w:top w:val="single" w:sz="8" w:space="0" w:color="000000"/>
              <w:left w:val="single" w:sz="8" w:space="0" w:color="000000"/>
              <w:bottom w:val="single" w:sz="8" w:space="0" w:color="000000"/>
              <w:right w:val="single" w:sz="8" w:space="0" w:color="000000"/>
            </w:tcBorders>
            <w:shd w:val="clear" w:color="auto" w:fill="F7CAAC"/>
            <w:tcMar>
              <w:top w:w="100" w:type="dxa"/>
              <w:left w:w="100" w:type="dxa"/>
              <w:bottom w:w="100" w:type="dxa"/>
              <w:right w:w="100" w:type="dxa"/>
            </w:tcMar>
          </w:tcPr>
          <w:p w14:paraId="744400EC" w14:textId="77777777" w:rsidR="00670FD4" w:rsidRDefault="00670FD4" w:rsidP="001925BA">
            <w:pPr>
              <w:spacing w:before="0" w:after="0" w:line="240" w:lineRule="auto"/>
              <w:jc w:val="center"/>
              <w:rPr>
                <w:rFonts w:eastAsia="Times New Roman" w:cs="Times New Roman"/>
                <w:sz w:val="20"/>
                <w:szCs w:val="20"/>
              </w:rPr>
            </w:pPr>
            <w:r>
              <w:rPr>
                <w:rFonts w:eastAsia="Times New Roman" w:cs="Times New Roman"/>
                <w:b/>
                <w:color w:val="232323"/>
                <w:sz w:val="20"/>
                <w:szCs w:val="20"/>
              </w:rPr>
              <w:t>2020</w:t>
            </w:r>
          </w:p>
        </w:tc>
        <w:tc>
          <w:tcPr>
            <w:tcW w:w="1701" w:type="dxa"/>
            <w:gridSpan w:val="2"/>
            <w:tcBorders>
              <w:top w:val="single" w:sz="8" w:space="0" w:color="000000"/>
              <w:left w:val="single" w:sz="8" w:space="0" w:color="000000"/>
              <w:bottom w:val="single" w:sz="8" w:space="0" w:color="000000"/>
              <w:right w:val="single" w:sz="8" w:space="0" w:color="000000"/>
            </w:tcBorders>
            <w:shd w:val="clear" w:color="auto" w:fill="F7CAAC"/>
            <w:tcMar>
              <w:top w:w="100" w:type="dxa"/>
              <w:left w:w="100" w:type="dxa"/>
              <w:bottom w:w="100" w:type="dxa"/>
              <w:right w:w="100" w:type="dxa"/>
            </w:tcMar>
          </w:tcPr>
          <w:p w14:paraId="6FE4577E" w14:textId="77777777" w:rsidR="00670FD4" w:rsidRDefault="00670FD4" w:rsidP="001925BA">
            <w:pPr>
              <w:spacing w:before="0" w:after="0" w:line="240" w:lineRule="auto"/>
              <w:jc w:val="center"/>
              <w:rPr>
                <w:rFonts w:eastAsia="Times New Roman" w:cs="Times New Roman"/>
                <w:sz w:val="20"/>
                <w:szCs w:val="20"/>
              </w:rPr>
            </w:pPr>
            <w:r>
              <w:rPr>
                <w:rFonts w:eastAsia="Times New Roman" w:cs="Times New Roman"/>
                <w:b/>
                <w:color w:val="232323"/>
                <w:sz w:val="20"/>
                <w:szCs w:val="20"/>
              </w:rPr>
              <w:t>2021</w:t>
            </w:r>
          </w:p>
        </w:tc>
        <w:tc>
          <w:tcPr>
            <w:tcW w:w="1896" w:type="dxa"/>
            <w:tcBorders>
              <w:top w:val="single" w:sz="8" w:space="0" w:color="000000"/>
              <w:left w:val="single" w:sz="8" w:space="0" w:color="000000"/>
              <w:bottom w:val="single" w:sz="6" w:space="0" w:color="000000"/>
              <w:right w:val="single" w:sz="8" w:space="0" w:color="000000"/>
            </w:tcBorders>
            <w:shd w:val="clear" w:color="auto" w:fill="F7CAAC"/>
            <w:tcMar>
              <w:top w:w="100" w:type="dxa"/>
              <w:left w:w="100" w:type="dxa"/>
              <w:bottom w:w="100" w:type="dxa"/>
              <w:right w:w="100" w:type="dxa"/>
            </w:tcMar>
          </w:tcPr>
          <w:p w14:paraId="25FD5D0F" w14:textId="77777777" w:rsidR="00670FD4" w:rsidRDefault="00670FD4" w:rsidP="001925BA">
            <w:pPr>
              <w:spacing w:before="0" w:after="0" w:line="240" w:lineRule="auto"/>
              <w:jc w:val="center"/>
              <w:rPr>
                <w:rFonts w:eastAsia="Times New Roman" w:cs="Times New Roman"/>
                <w:sz w:val="20"/>
                <w:szCs w:val="20"/>
              </w:rPr>
            </w:pPr>
            <w:r>
              <w:rPr>
                <w:rFonts w:eastAsia="Times New Roman" w:cs="Times New Roman"/>
                <w:b/>
                <w:color w:val="232323"/>
                <w:sz w:val="20"/>
                <w:szCs w:val="20"/>
              </w:rPr>
              <w:t>Starea stocului</w:t>
            </w:r>
          </w:p>
        </w:tc>
      </w:tr>
      <w:tr w:rsidR="00670FD4" w14:paraId="2614DE08" w14:textId="77777777" w:rsidTr="001925BA">
        <w:trPr>
          <w:trHeight w:val="17"/>
        </w:trPr>
        <w:tc>
          <w:tcPr>
            <w:tcW w:w="2272" w:type="dxa"/>
            <w:tcBorders>
              <w:top w:val="single" w:sz="6" w:space="0" w:color="000000"/>
              <w:left w:val="single" w:sz="8" w:space="0" w:color="000000"/>
              <w:bottom w:val="single" w:sz="8" w:space="0" w:color="000000"/>
              <w:right w:val="single" w:sz="8" w:space="0" w:color="000000"/>
            </w:tcBorders>
            <w:shd w:val="clear" w:color="auto" w:fill="DBDBDB"/>
            <w:tcMar>
              <w:top w:w="100" w:type="dxa"/>
              <w:left w:w="100" w:type="dxa"/>
              <w:bottom w:w="100" w:type="dxa"/>
              <w:right w:w="100" w:type="dxa"/>
            </w:tcMar>
          </w:tcPr>
          <w:p w14:paraId="6E7CE99C"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 </w:t>
            </w:r>
          </w:p>
        </w:tc>
        <w:tc>
          <w:tcPr>
            <w:tcW w:w="805" w:type="dxa"/>
            <w:tcBorders>
              <w:top w:val="single" w:sz="8" w:space="0" w:color="000000"/>
              <w:left w:val="single" w:sz="8" w:space="0" w:color="000000"/>
              <w:bottom w:val="single" w:sz="8" w:space="0" w:color="000000"/>
              <w:right w:val="single" w:sz="8" w:space="0" w:color="000000"/>
            </w:tcBorders>
            <w:shd w:val="clear" w:color="auto" w:fill="DBDBDB"/>
            <w:tcMar>
              <w:top w:w="100" w:type="dxa"/>
              <w:left w:w="100" w:type="dxa"/>
              <w:bottom w:w="100" w:type="dxa"/>
              <w:right w:w="100" w:type="dxa"/>
            </w:tcMar>
          </w:tcPr>
          <w:p w14:paraId="491AEFFF" w14:textId="77777777" w:rsidR="00670FD4" w:rsidRDefault="00670FD4" w:rsidP="001925BA">
            <w:pPr>
              <w:spacing w:before="0" w:after="0" w:line="240" w:lineRule="auto"/>
              <w:ind w:right="100" w:firstLine="0"/>
              <w:rPr>
                <w:rFonts w:eastAsia="Times New Roman" w:cs="Times New Roman"/>
                <w:sz w:val="20"/>
                <w:szCs w:val="20"/>
              </w:rPr>
            </w:pPr>
            <w:r>
              <w:rPr>
                <w:rFonts w:eastAsia="Times New Roman" w:cs="Times New Roman"/>
                <w:color w:val="1F1F1F"/>
                <w:sz w:val="20"/>
                <w:szCs w:val="20"/>
              </w:rPr>
              <w:t>SSB</w:t>
            </w:r>
          </w:p>
          <w:p w14:paraId="2975D9E3" w14:textId="77777777" w:rsidR="00670FD4" w:rsidRDefault="00670FD4" w:rsidP="001925BA">
            <w:pPr>
              <w:spacing w:before="0" w:after="0" w:line="240" w:lineRule="auto"/>
              <w:ind w:right="100" w:firstLine="0"/>
              <w:rPr>
                <w:rFonts w:eastAsia="Times New Roman" w:cs="Times New Roman"/>
                <w:sz w:val="20"/>
                <w:szCs w:val="20"/>
              </w:rPr>
            </w:pPr>
            <w:r>
              <w:rPr>
                <w:rFonts w:eastAsia="Times New Roman" w:cs="Times New Roman"/>
                <w:color w:val="1F1F1F"/>
                <w:sz w:val="20"/>
                <w:szCs w:val="20"/>
              </w:rPr>
              <w:t>tone</w:t>
            </w:r>
          </w:p>
        </w:tc>
        <w:tc>
          <w:tcPr>
            <w:tcW w:w="851" w:type="dxa"/>
            <w:tcBorders>
              <w:top w:val="single" w:sz="8" w:space="0" w:color="000000"/>
              <w:left w:val="single" w:sz="8" w:space="0" w:color="000000"/>
              <w:bottom w:val="single" w:sz="8" w:space="0" w:color="000000"/>
              <w:right w:val="single" w:sz="8" w:space="0" w:color="000000"/>
            </w:tcBorders>
            <w:shd w:val="clear" w:color="auto" w:fill="DBDBDB"/>
            <w:tcMar>
              <w:top w:w="100" w:type="dxa"/>
              <w:left w:w="100" w:type="dxa"/>
              <w:bottom w:w="100" w:type="dxa"/>
              <w:right w:w="100" w:type="dxa"/>
            </w:tcMar>
          </w:tcPr>
          <w:p w14:paraId="2934A18C" w14:textId="77777777" w:rsidR="00670FD4" w:rsidRDefault="00670FD4" w:rsidP="001925BA">
            <w:pPr>
              <w:spacing w:before="0" w:after="0" w:line="240" w:lineRule="auto"/>
              <w:jc w:val="center"/>
              <w:rPr>
                <w:rFonts w:eastAsia="Times New Roman" w:cs="Times New Roman"/>
                <w:sz w:val="20"/>
                <w:szCs w:val="20"/>
              </w:rPr>
            </w:pPr>
            <w:r>
              <w:rPr>
                <w:rFonts w:eastAsia="Times New Roman" w:cs="Times New Roman"/>
                <w:color w:val="1F1F1F"/>
                <w:sz w:val="20"/>
                <w:szCs w:val="20"/>
              </w:rPr>
              <w:t>FMSY</w:t>
            </w:r>
          </w:p>
        </w:tc>
        <w:tc>
          <w:tcPr>
            <w:tcW w:w="850" w:type="dxa"/>
            <w:tcBorders>
              <w:top w:val="single" w:sz="8" w:space="0" w:color="000000"/>
              <w:left w:val="single" w:sz="8" w:space="0" w:color="000000"/>
              <w:bottom w:val="single" w:sz="8" w:space="0" w:color="000000"/>
              <w:right w:val="single" w:sz="8" w:space="0" w:color="000000"/>
            </w:tcBorders>
            <w:shd w:val="clear" w:color="auto" w:fill="DBDBDB"/>
            <w:tcMar>
              <w:top w:w="100" w:type="dxa"/>
              <w:left w:w="100" w:type="dxa"/>
              <w:bottom w:w="100" w:type="dxa"/>
              <w:right w:w="100" w:type="dxa"/>
            </w:tcMar>
          </w:tcPr>
          <w:p w14:paraId="632647A8" w14:textId="77777777" w:rsidR="00670FD4" w:rsidRDefault="00670FD4" w:rsidP="001925BA">
            <w:pPr>
              <w:spacing w:before="0" w:after="0" w:line="240" w:lineRule="auto"/>
              <w:ind w:left="140" w:right="100" w:firstLine="0"/>
              <w:rPr>
                <w:rFonts w:eastAsia="Times New Roman" w:cs="Times New Roman"/>
                <w:sz w:val="20"/>
                <w:szCs w:val="20"/>
              </w:rPr>
            </w:pPr>
            <w:r>
              <w:rPr>
                <w:rFonts w:eastAsia="Times New Roman" w:cs="Times New Roman"/>
                <w:color w:val="1F1F1F"/>
                <w:sz w:val="20"/>
                <w:szCs w:val="20"/>
              </w:rPr>
              <w:t>SSB</w:t>
            </w:r>
          </w:p>
          <w:p w14:paraId="4E97E307" w14:textId="77777777" w:rsidR="00670FD4" w:rsidRDefault="00670FD4" w:rsidP="001925BA">
            <w:pPr>
              <w:spacing w:before="0" w:after="0" w:line="240" w:lineRule="auto"/>
              <w:ind w:left="140" w:right="100" w:firstLine="0"/>
              <w:rPr>
                <w:rFonts w:eastAsia="Times New Roman" w:cs="Times New Roman"/>
                <w:sz w:val="20"/>
                <w:szCs w:val="20"/>
              </w:rPr>
            </w:pPr>
            <w:r>
              <w:rPr>
                <w:rFonts w:eastAsia="Times New Roman" w:cs="Times New Roman"/>
                <w:color w:val="1C1C1C"/>
                <w:sz w:val="20"/>
                <w:szCs w:val="20"/>
              </w:rPr>
              <w:t>tone</w:t>
            </w:r>
          </w:p>
        </w:tc>
        <w:tc>
          <w:tcPr>
            <w:tcW w:w="851" w:type="dxa"/>
            <w:tcBorders>
              <w:top w:val="single" w:sz="8" w:space="0" w:color="000000"/>
              <w:left w:val="single" w:sz="8" w:space="0" w:color="000000"/>
              <w:bottom w:val="single" w:sz="8" w:space="0" w:color="000000"/>
              <w:right w:val="single" w:sz="8" w:space="0" w:color="000000"/>
            </w:tcBorders>
            <w:shd w:val="clear" w:color="auto" w:fill="DBDBDB"/>
            <w:tcMar>
              <w:top w:w="100" w:type="dxa"/>
              <w:left w:w="100" w:type="dxa"/>
              <w:bottom w:w="100" w:type="dxa"/>
              <w:right w:w="100" w:type="dxa"/>
            </w:tcMar>
          </w:tcPr>
          <w:p w14:paraId="33ED6C1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FMSY</w:t>
            </w:r>
          </w:p>
        </w:tc>
        <w:tc>
          <w:tcPr>
            <w:tcW w:w="850" w:type="dxa"/>
            <w:tcBorders>
              <w:top w:val="single" w:sz="8" w:space="0" w:color="000000"/>
              <w:left w:val="single" w:sz="8" w:space="0" w:color="000000"/>
              <w:bottom w:val="single" w:sz="8" w:space="0" w:color="000000"/>
              <w:right w:val="single" w:sz="8" w:space="0" w:color="000000"/>
            </w:tcBorders>
            <w:shd w:val="clear" w:color="auto" w:fill="DBDBDB"/>
            <w:tcMar>
              <w:top w:w="100" w:type="dxa"/>
              <w:left w:w="100" w:type="dxa"/>
              <w:bottom w:w="100" w:type="dxa"/>
              <w:right w:w="100" w:type="dxa"/>
            </w:tcMar>
          </w:tcPr>
          <w:p w14:paraId="3657B0ED" w14:textId="77777777" w:rsidR="00670FD4" w:rsidRDefault="00670FD4" w:rsidP="001925BA">
            <w:pPr>
              <w:spacing w:before="0" w:after="0" w:line="240" w:lineRule="auto"/>
              <w:ind w:left="160" w:firstLine="0"/>
              <w:rPr>
                <w:rFonts w:eastAsia="Times New Roman" w:cs="Times New Roman"/>
                <w:sz w:val="20"/>
                <w:szCs w:val="20"/>
              </w:rPr>
            </w:pPr>
            <w:r>
              <w:rPr>
                <w:rFonts w:eastAsia="Times New Roman" w:cs="Times New Roman"/>
                <w:color w:val="1F1F1F"/>
                <w:sz w:val="20"/>
                <w:szCs w:val="20"/>
              </w:rPr>
              <w:t>SSB tone</w:t>
            </w:r>
          </w:p>
        </w:tc>
        <w:tc>
          <w:tcPr>
            <w:tcW w:w="851" w:type="dxa"/>
            <w:tcBorders>
              <w:top w:val="single" w:sz="8" w:space="0" w:color="000000"/>
              <w:left w:val="single" w:sz="8" w:space="0" w:color="000000"/>
              <w:bottom w:val="single" w:sz="8" w:space="0" w:color="000000"/>
              <w:right w:val="single" w:sz="8" w:space="0" w:color="000000"/>
            </w:tcBorders>
            <w:shd w:val="clear" w:color="auto" w:fill="DBDBDB"/>
            <w:tcMar>
              <w:top w:w="100" w:type="dxa"/>
              <w:left w:w="100" w:type="dxa"/>
              <w:bottom w:w="100" w:type="dxa"/>
              <w:right w:w="100" w:type="dxa"/>
            </w:tcMar>
          </w:tcPr>
          <w:p w14:paraId="5D2B4B63"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1F1F1F"/>
                <w:sz w:val="20"/>
                <w:szCs w:val="20"/>
              </w:rPr>
              <w:t>FMSY</w:t>
            </w:r>
          </w:p>
        </w:tc>
        <w:tc>
          <w:tcPr>
            <w:tcW w:w="1896" w:type="dxa"/>
            <w:tcBorders>
              <w:top w:val="single" w:sz="6" w:space="0" w:color="000000"/>
              <w:left w:val="single" w:sz="8" w:space="0" w:color="000000"/>
              <w:bottom w:val="single" w:sz="8" w:space="0" w:color="000000"/>
              <w:right w:val="single" w:sz="8" w:space="0" w:color="000000"/>
            </w:tcBorders>
            <w:shd w:val="clear" w:color="auto" w:fill="DBDBDB"/>
            <w:tcMar>
              <w:top w:w="100" w:type="dxa"/>
              <w:left w:w="100" w:type="dxa"/>
              <w:bottom w:w="100" w:type="dxa"/>
              <w:right w:w="100" w:type="dxa"/>
            </w:tcMar>
          </w:tcPr>
          <w:p w14:paraId="60F80641"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1F1F1F"/>
                <w:sz w:val="20"/>
                <w:szCs w:val="20"/>
              </w:rPr>
              <w:t>(Z022)</w:t>
            </w:r>
          </w:p>
        </w:tc>
      </w:tr>
      <w:tr w:rsidR="00670FD4" w14:paraId="74199A40" w14:textId="77777777" w:rsidTr="001925BA">
        <w:trPr>
          <w:trHeight w:val="265"/>
        </w:trPr>
        <w:tc>
          <w:tcPr>
            <w:tcW w:w="22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969A6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 xml:space="preserve">Sprot, </w:t>
            </w:r>
            <w:r>
              <w:rPr>
                <w:rFonts w:eastAsia="Times New Roman" w:cs="Times New Roman"/>
                <w:i/>
                <w:color w:val="1F1F1F"/>
                <w:sz w:val="20"/>
                <w:szCs w:val="20"/>
              </w:rPr>
              <w:t>Sprattus sprattus</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ADE51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3A796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 </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4F1F6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 </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75AAB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1,28</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22C33B" w14:textId="77777777" w:rsidR="00670FD4" w:rsidRDefault="00670FD4" w:rsidP="001925BA">
            <w:pPr>
              <w:spacing w:before="0" w:after="0" w:line="240" w:lineRule="auto"/>
              <w:jc w:val="right"/>
              <w:rPr>
                <w:rFonts w:eastAsia="Times New Roman" w:cs="Times New Roman"/>
                <w:sz w:val="20"/>
                <w:szCs w:val="20"/>
              </w:rPr>
            </w:pPr>
            <w:r>
              <w:rPr>
                <w:rFonts w:eastAsia="Times New Roman" w:cs="Times New Roman"/>
                <w:color w:val="000000"/>
                <w:sz w:val="20"/>
                <w:szCs w:val="20"/>
              </w:rPr>
              <w:t> </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A8BAB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 </w:t>
            </w:r>
          </w:p>
        </w:tc>
        <w:tc>
          <w:tcPr>
            <w:tcW w:w="189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00F401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exploatat durabil</w:t>
            </w:r>
          </w:p>
        </w:tc>
      </w:tr>
      <w:tr w:rsidR="00670FD4" w14:paraId="6FA60AE9" w14:textId="77777777" w:rsidTr="001925BA">
        <w:trPr>
          <w:trHeight w:val="63"/>
        </w:trPr>
        <w:tc>
          <w:tcPr>
            <w:tcW w:w="22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3F6D6F" w14:textId="77777777" w:rsidR="00670FD4" w:rsidRPr="00E86513" w:rsidRDefault="00670FD4" w:rsidP="001925BA">
            <w:pPr>
              <w:spacing w:before="0" w:after="0" w:line="240" w:lineRule="auto"/>
              <w:ind w:firstLine="0"/>
              <w:rPr>
                <w:rFonts w:eastAsia="Times New Roman" w:cs="Times New Roman"/>
                <w:color w:val="1F1F1F"/>
                <w:sz w:val="20"/>
                <w:szCs w:val="20"/>
              </w:rPr>
            </w:pPr>
            <w:r>
              <w:rPr>
                <w:rFonts w:eastAsia="Times New Roman" w:cs="Times New Roman"/>
                <w:color w:val="1F1F1F"/>
                <w:sz w:val="20"/>
                <w:szCs w:val="20"/>
              </w:rPr>
              <w:t xml:space="preserve">Calcan, </w:t>
            </w:r>
            <w:r>
              <w:rPr>
                <w:rFonts w:eastAsia="Times New Roman" w:cs="Times New Roman"/>
                <w:i/>
                <w:color w:val="1F1F1F"/>
                <w:sz w:val="20"/>
                <w:szCs w:val="20"/>
              </w:rPr>
              <w:t>Psetta maeoticus</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55E94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E249B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1,70</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32C8EC" w14:textId="77777777" w:rsidR="00670FD4" w:rsidRDefault="00670FD4" w:rsidP="001925BA">
            <w:pPr>
              <w:spacing w:before="0" w:after="0" w:line="240" w:lineRule="auto"/>
              <w:jc w:val="right"/>
              <w:rPr>
                <w:rFonts w:eastAsia="Times New Roman" w:cs="Times New Roman"/>
                <w:sz w:val="20"/>
                <w:szCs w:val="20"/>
              </w:rPr>
            </w:pPr>
            <w:r>
              <w:rPr>
                <w:rFonts w:eastAsia="Times New Roman" w:cs="Times New Roman"/>
                <w:color w:val="000000"/>
                <w:sz w:val="20"/>
                <w:szCs w:val="20"/>
              </w:rPr>
              <w:t> </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52DE9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1,75</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327DC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9034</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0F3DB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1,26</w:t>
            </w:r>
          </w:p>
        </w:tc>
        <w:tc>
          <w:tcPr>
            <w:tcW w:w="189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3BF5ED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Supraexploatat</w:t>
            </w:r>
          </w:p>
        </w:tc>
      </w:tr>
      <w:tr w:rsidR="00670FD4" w14:paraId="3E71F90B" w14:textId="77777777" w:rsidTr="001925BA">
        <w:trPr>
          <w:trHeight w:val="612"/>
        </w:trPr>
        <w:tc>
          <w:tcPr>
            <w:tcW w:w="22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FD7E4F" w14:textId="77777777" w:rsidR="00670FD4" w:rsidRPr="00E86513" w:rsidRDefault="00670FD4" w:rsidP="001925BA">
            <w:pPr>
              <w:spacing w:before="0" w:after="0" w:line="240" w:lineRule="auto"/>
              <w:ind w:firstLine="0"/>
              <w:rPr>
                <w:rFonts w:eastAsia="Times New Roman" w:cs="Times New Roman"/>
                <w:color w:val="1F1F1F"/>
                <w:sz w:val="20"/>
                <w:szCs w:val="20"/>
              </w:rPr>
            </w:pPr>
            <w:r>
              <w:rPr>
                <w:rFonts w:eastAsia="Times New Roman" w:cs="Times New Roman"/>
                <w:color w:val="1F1F1F"/>
                <w:sz w:val="20"/>
                <w:szCs w:val="20"/>
              </w:rPr>
              <w:t xml:space="preserve">Bacaliar, </w:t>
            </w:r>
            <w:r>
              <w:rPr>
                <w:rFonts w:eastAsia="Times New Roman" w:cs="Times New Roman"/>
                <w:i/>
                <w:color w:val="1F1F1F"/>
                <w:sz w:val="20"/>
                <w:szCs w:val="20"/>
              </w:rPr>
              <w:t>Merlangus merlangus euxinus</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E38BA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71F95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 </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77266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 </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08B57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 </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26D96C"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12827</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6FBE6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1,24</w:t>
            </w:r>
          </w:p>
        </w:tc>
        <w:tc>
          <w:tcPr>
            <w:tcW w:w="189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EE7674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Supraexploatat</w:t>
            </w:r>
          </w:p>
        </w:tc>
      </w:tr>
      <w:tr w:rsidR="00670FD4" w14:paraId="3614D37D" w14:textId="77777777" w:rsidTr="001925BA">
        <w:trPr>
          <w:trHeight w:val="414"/>
        </w:trPr>
        <w:tc>
          <w:tcPr>
            <w:tcW w:w="22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6BE45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Rechin,</w:t>
            </w:r>
            <w:r>
              <w:rPr>
                <w:rFonts w:eastAsia="Times New Roman" w:cs="Times New Roman"/>
                <w:i/>
                <w:color w:val="1F1F1F"/>
                <w:sz w:val="20"/>
                <w:szCs w:val="20"/>
              </w:rPr>
              <w:t xml:space="preserve"> Squalus acanthias</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2423D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80C6F4" w14:textId="77777777" w:rsidR="00670FD4" w:rsidRDefault="00670FD4" w:rsidP="001925BA">
            <w:pPr>
              <w:spacing w:before="0" w:after="0" w:line="240" w:lineRule="auto"/>
              <w:jc w:val="right"/>
              <w:rPr>
                <w:rFonts w:eastAsia="Times New Roman" w:cs="Times New Roman"/>
                <w:sz w:val="20"/>
                <w:szCs w:val="20"/>
              </w:rPr>
            </w:pPr>
            <w:r>
              <w:rPr>
                <w:rFonts w:eastAsia="Times New Roman" w:cs="Times New Roman"/>
                <w:color w:val="000000"/>
                <w:sz w:val="20"/>
                <w:szCs w:val="20"/>
              </w:rPr>
              <w:t> </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5D472C" w14:textId="77777777" w:rsidR="00670FD4" w:rsidRDefault="00670FD4" w:rsidP="001925BA">
            <w:pPr>
              <w:spacing w:before="0" w:after="0" w:line="240" w:lineRule="auto"/>
              <w:jc w:val="right"/>
              <w:rPr>
                <w:rFonts w:eastAsia="Times New Roman" w:cs="Times New Roman"/>
                <w:sz w:val="20"/>
                <w:szCs w:val="20"/>
              </w:rPr>
            </w:pPr>
            <w:r>
              <w:rPr>
                <w:rFonts w:eastAsia="Times New Roman" w:cs="Times New Roman"/>
                <w:color w:val="000000"/>
                <w:sz w:val="20"/>
                <w:szCs w:val="20"/>
              </w:rPr>
              <w:t> </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80363C" w14:textId="77777777" w:rsidR="00670FD4" w:rsidRDefault="00670FD4" w:rsidP="001925BA">
            <w:pPr>
              <w:spacing w:before="0" w:after="0" w:line="240" w:lineRule="auto"/>
              <w:jc w:val="right"/>
              <w:rPr>
                <w:rFonts w:eastAsia="Times New Roman" w:cs="Times New Roman"/>
                <w:sz w:val="20"/>
                <w:szCs w:val="20"/>
              </w:rPr>
            </w:pPr>
            <w:r>
              <w:rPr>
                <w:rFonts w:eastAsia="Times New Roman" w:cs="Times New Roman"/>
                <w:color w:val="000000"/>
                <w:sz w:val="20"/>
                <w:szCs w:val="20"/>
              </w:rPr>
              <w:t> </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AD47B5" w14:textId="77777777" w:rsidR="00670FD4" w:rsidRDefault="00670FD4" w:rsidP="001925BA">
            <w:pPr>
              <w:spacing w:before="0" w:after="0" w:line="240" w:lineRule="auto"/>
              <w:jc w:val="right"/>
              <w:rPr>
                <w:rFonts w:eastAsia="Times New Roman" w:cs="Times New Roman"/>
                <w:sz w:val="20"/>
                <w:szCs w:val="20"/>
              </w:rPr>
            </w:pPr>
            <w:r>
              <w:rPr>
                <w:rFonts w:eastAsia="Times New Roman" w:cs="Times New Roman"/>
                <w:color w:val="000000"/>
                <w:sz w:val="20"/>
                <w:szCs w:val="20"/>
              </w:rPr>
              <w:t> </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A4AF2B" w14:textId="77777777" w:rsidR="00670FD4" w:rsidRDefault="00670FD4" w:rsidP="001925BA">
            <w:pPr>
              <w:spacing w:before="0" w:after="0" w:line="240" w:lineRule="auto"/>
              <w:jc w:val="right"/>
              <w:rPr>
                <w:rFonts w:eastAsia="Times New Roman" w:cs="Times New Roman"/>
                <w:sz w:val="20"/>
                <w:szCs w:val="20"/>
              </w:rPr>
            </w:pPr>
            <w:r>
              <w:rPr>
                <w:rFonts w:eastAsia="Times New Roman" w:cs="Times New Roman"/>
                <w:color w:val="000000"/>
                <w:sz w:val="20"/>
                <w:szCs w:val="20"/>
              </w:rPr>
              <w:t> </w:t>
            </w:r>
          </w:p>
        </w:tc>
        <w:tc>
          <w:tcPr>
            <w:tcW w:w="189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BE0B1E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stoc epuizat</w:t>
            </w:r>
          </w:p>
        </w:tc>
      </w:tr>
      <w:tr w:rsidR="00670FD4" w14:paraId="32C0AC95" w14:textId="77777777" w:rsidTr="001925BA">
        <w:trPr>
          <w:trHeight w:val="488"/>
        </w:trPr>
        <w:tc>
          <w:tcPr>
            <w:tcW w:w="22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023894" w14:textId="77777777" w:rsidR="00670FD4" w:rsidRPr="00E86513" w:rsidRDefault="00670FD4" w:rsidP="001925BA">
            <w:pPr>
              <w:spacing w:before="0" w:after="0" w:line="240" w:lineRule="auto"/>
              <w:ind w:firstLine="0"/>
              <w:rPr>
                <w:rFonts w:eastAsia="Times New Roman" w:cs="Times New Roman"/>
                <w:color w:val="131313"/>
                <w:sz w:val="20"/>
                <w:szCs w:val="20"/>
              </w:rPr>
            </w:pPr>
            <w:r>
              <w:rPr>
                <w:rFonts w:eastAsia="Times New Roman" w:cs="Times New Roman"/>
                <w:color w:val="131313"/>
                <w:sz w:val="20"/>
                <w:szCs w:val="20"/>
              </w:rPr>
              <w:t xml:space="preserve">Rapana, </w:t>
            </w:r>
            <w:r>
              <w:rPr>
                <w:rFonts w:eastAsia="Times New Roman" w:cs="Times New Roman"/>
                <w:i/>
                <w:color w:val="1F1F1F"/>
                <w:sz w:val="20"/>
                <w:szCs w:val="20"/>
              </w:rPr>
              <w:t>Rapana venosa</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415B4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56D67C"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0,20</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6F0EE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 </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9C05D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0,92</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99EDD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67426</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4622ED"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1,01</w:t>
            </w:r>
          </w:p>
        </w:tc>
        <w:tc>
          <w:tcPr>
            <w:tcW w:w="189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4B6C56C"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în jurul punctelor de referință</w:t>
            </w:r>
          </w:p>
        </w:tc>
      </w:tr>
    </w:tbl>
    <w:p w14:paraId="24A99CA2" w14:textId="77777777" w:rsidR="00670FD4" w:rsidRDefault="00670FD4" w:rsidP="00670FD4">
      <w:pPr>
        <w:spacing w:before="0"/>
        <w:jc w:val="center"/>
        <w:rPr>
          <w:rFonts w:eastAsia="Times New Roman" w:cs="Times New Roman"/>
          <w:b/>
        </w:rPr>
      </w:pPr>
    </w:p>
    <w:p w14:paraId="19EAB7CA" w14:textId="77777777" w:rsidR="00670FD4" w:rsidRDefault="00670FD4" w:rsidP="00670FD4">
      <w:pPr>
        <w:spacing w:before="0"/>
        <w:ind w:firstLine="567"/>
        <w:rPr>
          <w:rFonts w:eastAsia="Times New Roman" w:cs="Times New Roman"/>
        </w:rPr>
      </w:pPr>
      <w:r>
        <w:rPr>
          <w:rFonts w:eastAsia="Times New Roman" w:cs="Times New Roman"/>
          <w:color w:val="000000"/>
        </w:rPr>
        <w:t>Distribuția populației în funcție de vârstă și dimensiuni</w:t>
      </w:r>
      <w:r>
        <w:rPr>
          <w:rFonts w:eastAsia="Times New Roman" w:cs="Times New Roman"/>
        </w:rPr>
        <w:t xml:space="preserve">, pentru anii 2021 și 2022, este redată în Tabelul 2.4.4.2.2. </w:t>
      </w:r>
    </w:p>
    <w:p w14:paraId="5C99780E" w14:textId="77777777" w:rsidR="00670FD4" w:rsidRDefault="00670FD4" w:rsidP="00670FD4">
      <w:pPr>
        <w:ind w:firstLine="567"/>
        <w:rPr>
          <w:rFonts w:eastAsia="Times New Roman" w:cs="Times New Roman"/>
        </w:rPr>
      </w:pPr>
    </w:p>
    <w:p w14:paraId="069F895B" w14:textId="77777777" w:rsidR="00670FD4" w:rsidRDefault="00670FD4" w:rsidP="00670FD4">
      <w:pPr>
        <w:spacing w:line="240" w:lineRule="auto"/>
        <w:jc w:val="center"/>
        <w:rPr>
          <w:rFonts w:eastAsia="Times New Roman" w:cs="Times New Roman"/>
        </w:rPr>
      </w:pPr>
      <w:r>
        <w:rPr>
          <w:rFonts w:eastAsia="Times New Roman" w:cs="Times New Roman"/>
          <w:b/>
          <w:color w:val="000000"/>
        </w:rPr>
        <w:t xml:space="preserve">Tabel 2.4.4.2.2 Stocurile de </w:t>
      </w:r>
      <w:r>
        <w:rPr>
          <w:rFonts w:eastAsia="Times New Roman" w:cs="Times New Roman"/>
          <w:b/>
        </w:rPr>
        <w:t>specii exploatabile</w:t>
      </w:r>
      <w:r>
        <w:rPr>
          <w:rFonts w:eastAsia="Times New Roman" w:cs="Times New Roman"/>
          <w:b/>
          <w:color w:val="000000"/>
        </w:rPr>
        <w:t xml:space="preserve"> comerciali în funcție de vârstă și dimensiuni</w:t>
      </w:r>
    </w:p>
    <w:tbl>
      <w:tblPr>
        <w:tblW w:w="9006" w:type="dxa"/>
        <w:tblLayout w:type="fixed"/>
        <w:tblLook w:val="0400" w:firstRow="0" w:lastRow="0" w:firstColumn="0" w:lastColumn="0" w:noHBand="0" w:noVBand="1"/>
      </w:tblPr>
      <w:tblGrid>
        <w:gridCol w:w="2825"/>
        <w:gridCol w:w="993"/>
        <w:gridCol w:w="1134"/>
        <w:gridCol w:w="1078"/>
        <w:gridCol w:w="937"/>
        <w:gridCol w:w="977"/>
        <w:gridCol w:w="1062"/>
      </w:tblGrid>
      <w:tr w:rsidR="00670FD4" w14:paraId="3BF7E220" w14:textId="77777777" w:rsidTr="001925BA">
        <w:trPr>
          <w:trHeight w:val="680"/>
        </w:trPr>
        <w:tc>
          <w:tcPr>
            <w:tcW w:w="2825" w:type="dxa"/>
            <w:tcBorders>
              <w:top w:val="single" w:sz="8" w:space="0" w:color="000000"/>
              <w:left w:val="single" w:sz="8" w:space="0" w:color="000000"/>
              <w:bottom w:val="single" w:sz="6" w:space="0" w:color="000000"/>
              <w:right w:val="single" w:sz="8" w:space="0" w:color="000000"/>
            </w:tcBorders>
            <w:shd w:val="clear" w:color="auto" w:fill="F7CAAC"/>
            <w:tcMar>
              <w:top w:w="100" w:type="dxa"/>
              <w:left w:w="100" w:type="dxa"/>
              <w:bottom w:w="100" w:type="dxa"/>
              <w:right w:w="100" w:type="dxa"/>
            </w:tcMar>
          </w:tcPr>
          <w:p w14:paraId="31651A7D" w14:textId="77777777" w:rsidR="00670FD4" w:rsidRDefault="00670FD4" w:rsidP="001925BA">
            <w:pPr>
              <w:spacing w:before="0" w:after="0" w:line="240" w:lineRule="auto"/>
              <w:rPr>
                <w:rFonts w:eastAsia="Times New Roman" w:cs="Times New Roman"/>
                <w:b/>
                <w:sz w:val="20"/>
                <w:szCs w:val="20"/>
              </w:rPr>
            </w:pPr>
            <w:r>
              <w:rPr>
                <w:rFonts w:eastAsia="Times New Roman" w:cs="Times New Roman"/>
                <w:b/>
                <w:sz w:val="20"/>
                <w:szCs w:val="20"/>
              </w:rPr>
              <w:lastRenderedPageBreak/>
              <w:t>Specii</w:t>
            </w:r>
          </w:p>
        </w:tc>
        <w:tc>
          <w:tcPr>
            <w:tcW w:w="2127" w:type="dxa"/>
            <w:gridSpan w:val="2"/>
            <w:tcBorders>
              <w:top w:val="single" w:sz="8" w:space="0" w:color="000000"/>
              <w:left w:val="single" w:sz="8" w:space="0" w:color="000000"/>
              <w:bottom w:val="single" w:sz="8" w:space="0" w:color="000000"/>
              <w:right w:val="single" w:sz="8" w:space="0" w:color="000000"/>
            </w:tcBorders>
            <w:shd w:val="clear" w:color="auto" w:fill="F7CAAC"/>
            <w:tcMar>
              <w:top w:w="100" w:type="dxa"/>
              <w:left w:w="100" w:type="dxa"/>
              <w:bottom w:w="100" w:type="dxa"/>
              <w:right w:w="100" w:type="dxa"/>
            </w:tcMar>
          </w:tcPr>
          <w:p w14:paraId="0EB5EA41" w14:textId="77777777" w:rsidR="00670FD4" w:rsidRDefault="00670FD4" w:rsidP="001925BA">
            <w:pPr>
              <w:spacing w:before="0" w:after="0" w:line="240" w:lineRule="auto"/>
              <w:ind w:firstLine="0"/>
              <w:rPr>
                <w:rFonts w:eastAsia="Times New Roman" w:cs="Times New Roman"/>
                <w:b/>
                <w:sz w:val="20"/>
                <w:szCs w:val="20"/>
              </w:rPr>
            </w:pPr>
            <w:r>
              <w:rPr>
                <w:rFonts w:eastAsia="Times New Roman" w:cs="Times New Roman"/>
                <w:b/>
                <w:sz w:val="20"/>
                <w:szCs w:val="20"/>
              </w:rPr>
              <w:t>Lm</w:t>
            </w:r>
          </w:p>
          <w:p w14:paraId="73E885F8" w14:textId="77777777" w:rsidR="00670FD4" w:rsidRDefault="00670FD4" w:rsidP="001925BA">
            <w:pPr>
              <w:spacing w:before="0" w:after="0" w:line="240" w:lineRule="auto"/>
              <w:ind w:firstLine="0"/>
              <w:rPr>
                <w:rFonts w:eastAsia="Times New Roman" w:cs="Times New Roman"/>
                <w:b/>
                <w:sz w:val="20"/>
                <w:szCs w:val="20"/>
              </w:rPr>
            </w:pPr>
            <w:r>
              <w:rPr>
                <w:rFonts w:eastAsia="Times New Roman" w:cs="Times New Roman"/>
                <w:b/>
                <w:sz w:val="20"/>
                <w:szCs w:val="20"/>
              </w:rPr>
              <w:t>(lungimea medie, cm)</w:t>
            </w:r>
          </w:p>
        </w:tc>
        <w:tc>
          <w:tcPr>
            <w:tcW w:w="2015" w:type="dxa"/>
            <w:gridSpan w:val="2"/>
            <w:tcBorders>
              <w:top w:val="single" w:sz="8" w:space="0" w:color="000000"/>
              <w:left w:val="single" w:sz="8" w:space="0" w:color="000000"/>
              <w:bottom w:val="single" w:sz="8" w:space="0" w:color="000000"/>
              <w:right w:val="single" w:sz="8" w:space="0" w:color="000000"/>
            </w:tcBorders>
            <w:shd w:val="clear" w:color="auto" w:fill="F7CAAC"/>
            <w:tcMar>
              <w:top w:w="100" w:type="dxa"/>
              <w:left w:w="100" w:type="dxa"/>
              <w:bottom w:w="100" w:type="dxa"/>
              <w:right w:w="100" w:type="dxa"/>
            </w:tcMar>
          </w:tcPr>
          <w:p w14:paraId="3A686A70" w14:textId="77777777" w:rsidR="00670FD4" w:rsidRDefault="00670FD4" w:rsidP="001925BA">
            <w:pPr>
              <w:spacing w:before="0" w:after="0" w:line="240" w:lineRule="auto"/>
              <w:ind w:firstLine="0"/>
              <w:rPr>
                <w:rFonts w:eastAsia="Times New Roman" w:cs="Times New Roman"/>
                <w:b/>
                <w:sz w:val="20"/>
                <w:szCs w:val="20"/>
              </w:rPr>
            </w:pPr>
            <w:r>
              <w:rPr>
                <w:rFonts w:eastAsia="Times New Roman" w:cs="Times New Roman"/>
                <w:b/>
                <w:sz w:val="20"/>
                <w:szCs w:val="20"/>
              </w:rPr>
              <w:t>Gm</w:t>
            </w:r>
          </w:p>
          <w:p w14:paraId="52C82187" w14:textId="77777777" w:rsidR="00670FD4" w:rsidRDefault="00670FD4" w:rsidP="001925BA">
            <w:pPr>
              <w:spacing w:before="0" w:after="0" w:line="240" w:lineRule="auto"/>
              <w:ind w:firstLine="0"/>
              <w:rPr>
                <w:rFonts w:eastAsia="Times New Roman" w:cs="Times New Roman"/>
                <w:b/>
                <w:sz w:val="20"/>
                <w:szCs w:val="20"/>
              </w:rPr>
            </w:pPr>
            <w:r>
              <w:rPr>
                <w:rFonts w:eastAsia="Times New Roman" w:cs="Times New Roman"/>
                <w:b/>
                <w:sz w:val="20"/>
                <w:szCs w:val="20"/>
              </w:rPr>
              <w:t>(greutatea medie, g)</w:t>
            </w:r>
          </w:p>
        </w:tc>
        <w:tc>
          <w:tcPr>
            <w:tcW w:w="2039" w:type="dxa"/>
            <w:gridSpan w:val="2"/>
            <w:tcBorders>
              <w:top w:val="single" w:sz="8" w:space="0" w:color="000000"/>
              <w:left w:val="single" w:sz="8" w:space="0" w:color="000000"/>
              <w:bottom w:val="single" w:sz="8" w:space="0" w:color="000000"/>
              <w:right w:val="single" w:sz="8" w:space="0" w:color="000000"/>
            </w:tcBorders>
            <w:shd w:val="clear" w:color="auto" w:fill="F7CAAC"/>
            <w:tcMar>
              <w:top w:w="100" w:type="dxa"/>
              <w:left w:w="100" w:type="dxa"/>
              <w:bottom w:w="100" w:type="dxa"/>
              <w:right w:w="100" w:type="dxa"/>
            </w:tcMar>
          </w:tcPr>
          <w:p w14:paraId="62BB25E3" w14:textId="77777777" w:rsidR="00670FD4" w:rsidRDefault="00670FD4" w:rsidP="001925BA">
            <w:pPr>
              <w:spacing w:before="0" w:after="0" w:line="240" w:lineRule="auto"/>
              <w:ind w:firstLine="0"/>
              <w:rPr>
                <w:rFonts w:eastAsia="Times New Roman" w:cs="Times New Roman"/>
                <w:b/>
                <w:sz w:val="20"/>
                <w:szCs w:val="20"/>
              </w:rPr>
            </w:pPr>
            <w:r>
              <w:rPr>
                <w:rFonts w:eastAsia="Times New Roman" w:cs="Times New Roman"/>
                <w:b/>
                <w:sz w:val="20"/>
                <w:szCs w:val="20"/>
              </w:rPr>
              <w:t>Vârstă (ani)</w:t>
            </w:r>
          </w:p>
          <w:p w14:paraId="40A95A3E" w14:textId="77777777" w:rsidR="00670FD4" w:rsidRDefault="00670FD4" w:rsidP="001925BA">
            <w:pPr>
              <w:spacing w:before="0" w:after="0" w:line="240" w:lineRule="auto"/>
              <w:ind w:firstLine="0"/>
              <w:rPr>
                <w:rFonts w:eastAsia="Times New Roman" w:cs="Times New Roman"/>
                <w:b/>
                <w:sz w:val="20"/>
                <w:szCs w:val="20"/>
              </w:rPr>
            </w:pPr>
            <w:r>
              <w:rPr>
                <w:rFonts w:eastAsia="Times New Roman" w:cs="Times New Roman"/>
                <w:b/>
                <w:sz w:val="20"/>
                <w:szCs w:val="20"/>
              </w:rPr>
              <w:t>(% predominantă)</w:t>
            </w:r>
          </w:p>
        </w:tc>
      </w:tr>
      <w:tr w:rsidR="00670FD4" w14:paraId="7C14FB2B" w14:textId="77777777" w:rsidTr="001925BA">
        <w:trPr>
          <w:trHeight w:val="169"/>
        </w:trPr>
        <w:tc>
          <w:tcPr>
            <w:tcW w:w="2825" w:type="dxa"/>
            <w:tcBorders>
              <w:top w:val="single" w:sz="6" w:space="0" w:color="000000"/>
              <w:left w:val="single" w:sz="8" w:space="0" w:color="000000"/>
              <w:bottom w:val="single" w:sz="8" w:space="0" w:color="000000"/>
              <w:right w:val="single" w:sz="8" w:space="0" w:color="000000"/>
            </w:tcBorders>
            <w:shd w:val="clear" w:color="auto" w:fill="DBDBDB"/>
            <w:tcMar>
              <w:top w:w="100" w:type="dxa"/>
              <w:left w:w="100" w:type="dxa"/>
              <w:bottom w:w="100" w:type="dxa"/>
              <w:right w:w="100" w:type="dxa"/>
            </w:tcMar>
          </w:tcPr>
          <w:p w14:paraId="2FAACB27" w14:textId="77777777" w:rsidR="00670FD4" w:rsidRDefault="00670FD4" w:rsidP="001925BA">
            <w:pPr>
              <w:spacing w:before="0" w:after="0" w:line="240" w:lineRule="auto"/>
              <w:jc w:val="center"/>
              <w:rPr>
                <w:rFonts w:eastAsia="Times New Roman" w:cs="Times New Roman"/>
                <w:sz w:val="20"/>
                <w:szCs w:val="20"/>
              </w:rPr>
            </w:pPr>
            <w:r>
              <w:rPr>
                <w:rFonts w:eastAsia="Times New Roman" w:cs="Times New Roman"/>
                <w:b/>
                <w:color w:val="000000"/>
                <w:sz w:val="20"/>
                <w:szCs w:val="20"/>
              </w:rPr>
              <w:t> </w:t>
            </w:r>
          </w:p>
        </w:tc>
        <w:tc>
          <w:tcPr>
            <w:tcW w:w="993" w:type="dxa"/>
            <w:tcBorders>
              <w:top w:val="single" w:sz="8" w:space="0" w:color="000000"/>
              <w:left w:val="single" w:sz="8" w:space="0" w:color="000000"/>
              <w:bottom w:val="single" w:sz="8" w:space="0" w:color="000000"/>
              <w:right w:val="single" w:sz="8" w:space="0" w:color="000000"/>
            </w:tcBorders>
            <w:shd w:val="clear" w:color="auto" w:fill="DBDBDB"/>
            <w:tcMar>
              <w:top w:w="100" w:type="dxa"/>
              <w:left w:w="100" w:type="dxa"/>
              <w:bottom w:w="100" w:type="dxa"/>
              <w:right w:w="100" w:type="dxa"/>
            </w:tcMar>
          </w:tcPr>
          <w:p w14:paraId="464075B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1F1F1F"/>
                <w:sz w:val="20"/>
                <w:szCs w:val="20"/>
              </w:rPr>
              <w:t>2021</w:t>
            </w:r>
          </w:p>
        </w:tc>
        <w:tc>
          <w:tcPr>
            <w:tcW w:w="1134" w:type="dxa"/>
            <w:tcBorders>
              <w:top w:val="single" w:sz="8" w:space="0" w:color="000000"/>
              <w:left w:val="single" w:sz="8" w:space="0" w:color="000000"/>
              <w:bottom w:val="single" w:sz="8" w:space="0" w:color="000000"/>
              <w:right w:val="single" w:sz="8" w:space="0" w:color="000000"/>
            </w:tcBorders>
            <w:shd w:val="clear" w:color="auto" w:fill="DBDBDB"/>
            <w:tcMar>
              <w:top w:w="100" w:type="dxa"/>
              <w:left w:w="100" w:type="dxa"/>
              <w:bottom w:w="100" w:type="dxa"/>
              <w:right w:w="100" w:type="dxa"/>
            </w:tcMar>
          </w:tcPr>
          <w:p w14:paraId="31F1434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1F1F1F"/>
                <w:sz w:val="20"/>
                <w:szCs w:val="20"/>
              </w:rPr>
              <w:t>2022</w:t>
            </w:r>
          </w:p>
        </w:tc>
        <w:tc>
          <w:tcPr>
            <w:tcW w:w="1078" w:type="dxa"/>
            <w:tcBorders>
              <w:top w:val="single" w:sz="8" w:space="0" w:color="000000"/>
              <w:left w:val="single" w:sz="8" w:space="0" w:color="000000"/>
              <w:bottom w:val="single" w:sz="8" w:space="0" w:color="000000"/>
              <w:right w:val="single" w:sz="8" w:space="0" w:color="000000"/>
            </w:tcBorders>
            <w:shd w:val="clear" w:color="auto" w:fill="DBDBDB"/>
            <w:tcMar>
              <w:top w:w="100" w:type="dxa"/>
              <w:left w:w="100" w:type="dxa"/>
              <w:bottom w:w="100" w:type="dxa"/>
              <w:right w:w="100" w:type="dxa"/>
            </w:tcMar>
          </w:tcPr>
          <w:p w14:paraId="0FADD08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1F1F1F"/>
                <w:sz w:val="20"/>
                <w:szCs w:val="20"/>
              </w:rPr>
              <w:t>2021</w:t>
            </w:r>
          </w:p>
        </w:tc>
        <w:tc>
          <w:tcPr>
            <w:tcW w:w="937" w:type="dxa"/>
            <w:tcBorders>
              <w:top w:val="single" w:sz="8" w:space="0" w:color="000000"/>
              <w:left w:val="single" w:sz="8" w:space="0" w:color="000000"/>
              <w:bottom w:val="single" w:sz="8" w:space="0" w:color="000000"/>
              <w:right w:val="single" w:sz="8" w:space="0" w:color="000000"/>
            </w:tcBorders>
            <w:shd w:val="clear" w:color="auto" w:fill="DBDBDB"/>
            <w:tcMar>
              <w:top w:w="100" w:type="dxa"/>
              <w:left w:w="100" w:type="dxa"/>
              <w:bottom w:w="100" w:type="dxa"/>
              <w:right w:w="100" w:type="dxa"/>
            </w:tcMar>
          </w:tcPr>
          <w:p w14:paraId="1A26BD6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1F1F1F"/>
                <w:sz w:val="20"/>
                <w:szCs w:val="20"/>
              </w:rPr>
              <w:t>2022</w:t>
            </w:r>
          </w:p>
        </w:tc>
        <w:tc>
          <w:tcPr>
            <w:tcW w:w="977" w:type="dxa"/>
            <w:tcBorders>
              <w:top w:val="single" w:sz="8" w:space="0" w:color="000000"/>
              <w:left w:val="single" w:sz="8" w:space="0" w:color="000000"/>
              <w:bottom w:val="single" w:sz="8" w:space="0" w:color="000000"/>
              <w:right w:val="single" w:sz="8" w:space="0" w:color="000000"/>
            </w:tcBorders>
            <w:shd w:val="clear" w:color="auto" w:fill="DBDBDB"/>
            <w:tcMar>
              <w:top w:w="100" w:type="dxa"/>
              <w:left w:w="100" w:type="dxa"/>
              <w:bottom w:w="100" w:type="dxa"/>
              <w:right w:w="100" w:type="dxa"/>
            </w:tcMar>
          </w:tcPr>
          <w:p w14:paraId="5B3D5F9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1F1F1F"/>
                <w:sz w:val="20"/>
                <w:szCs w:val="20"/>
              </w:rPr>
              <w:t>2021</w:t>
            </w:r>
          </w:p>
        </w:tc>
        <w:tc>
          <w:tcPr>
            <w:tcW w:w="1062" w:type="dxa"/>
            <w:tcBorders>
              <w:top w:val="single" w:sz="8" w:space="0" w:color="000000"/>
              <w:left w:val="single" w:sz="8" w:space="0" w:color="000000"/>
              <w:bottom w:val="single" w:sz="8" w:space="0" w:color="000000"/>
              <w:right w:val="single" w:sz="8" w:space="0" w:color="000000"/>
            </w:tcBorders>
            <w:shd w:val="clear" w:color="auto" w:fill="DBDBDB"/>
            <w:tcMar>
              <w:top w:w="100" w:type="dxa"/>
              <w:left w:w="100" w:type="dxa"/>
              <w:bottom w:w="100" w:type="dxa"/>
              <w:right w:w="100" w:type="dxa"/>
            </w:tcMar>
          </w:tcPr>
          <w:p w14:paraId="5C8882F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1F1F1F"/>
                <w:sz w:val="20"/>
                <w:szCs w:val="20"/>
              </w:rPr>
              <w:t>2022</w:t>
            </w:r>
          </w:p>
        </w:tc>
      </w:tr>
      <w:tr w:rsidR="00670FD4" w14:paraId="0BF4BFD7" w14:textId="77777777" w:rsidTr="001925BA">
        <w:trPr>
          <w:trHeight w:val="249"/>
        </w:trPr>
        <w:tc>
          <w:tcPr>
            <w:tcW w:w="2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BF49EB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1F1F1F"/>
                <w:sz w:val="20"/>
                <w:szCs w:val="20"/>
              </w:rPr>
              <w:t xml:space="preserve">Sprot, </w:t>
            </w:r>
            <w:r>
              <w:rPr>
                <w:rFonts w:eastAsia="Times New Roman" w:cs="Times New Roman"/>
                <w:i/>
                <w:color w:val="1F1F1F"/>
                <w:sz w:val="20"/>
                <w:szCs w:val="20"/>
              </w:rPr>
              <w:t>Sprattus sprattus</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27A140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7,55</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05EE47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7,87</w:t>
            </w:r>
          </w:p>
        </w:tc>
        <w:tc>
          <w:tcPr>
            <w:tcW w:w="10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36FDBE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3,19</w:t>
            </w:r>
          </w:p>
        </w:tc>
        <w:tc>
          <w:tcPr>
            <w:tcW w:w="9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55558D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3,27</w:t>
            </w:r>
          </w:p>
        </w:tc>
        <w:tc>
          <w:tcPr>
            <w:tcW w:w="9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63DCAB4" w14:textId="77777777" w:rsidR="00670FD4" w:rsidRDefault="00670FD4" w:rsidP="001925BA">
            <w:pPr>
              <w:spacing w:before="0" w:after="0" w:line="240" w:lineRule="auto"/>
              <w:ind w:firstLine="0"/>
              <w:rPr>
                <w:rFonts w:eastAsia="Times New Roman" w:cs="Times New Roman"/>
                <w:color w:val="1F1F1F"/>
                <w:sz w:val="20"/>
                <w:szCs w:val="20"/>
              </w:rPr>
            </w:pPr>
            <w:r>
              <w:rPr>
                <w:rFonts w:eastAsia="Times New Roman" w:cs="Times New Roman"/>
                <w:color w:val="1F1F1F"/>
                <w:sz w:val="20"/>
                <w:szCs w:val="20"/>
              </w:rPr>
              <w:t>1</w:t>
            </w:r>
          </w:p>
          <w:p w14:paraId="1B9647BD"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(57%)</w:t>
            </w:r>
          </w:p>
        </w:tc>
        <w:tc>
          <w:tcPr>
            <w:tcW w:w="10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F4AEA29" w14:textId="77777777" w:rsidR="00670FD4" w:rsidRDefault="00670FD4" w:rsidP="001925BA">
            <w:pPr>
              <w:spacing w:before="0" w:after="0" w:line="240" w:lineRule="auto"/>
              <w:ind w:firstLine="0"/>
              <w:rPr>
                <w:rFonts w:eastAsia="Times New Roman" w:cs="Times New Roman"/>
                <w:color w:val="1F1F1F"/>
                <w:sz w:val="20"/>
                <w:szCs w:val="20"/>
              </w:rPr>
            </w:pPr>
            <w:r>
              <w:rPr>
                <w:rFonts w:eastAsia="Times New Roman" w:cs="Times New Roman"/>
                <w:color w:val="1F1F1F"/>
                <w:sz w:val="20"/>
                <w:szCs w:val="20"/>
              </w:rPr>
              <w:t>1</w:t>
            </w:r>
          </w:p>
          <w:p w14:paraId="2806123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(63%)</w:t>
            </w:r>
          </w:p>
        </w:tc>
      </w:tr>
      <w:tr w:rsidR="00670FD4" w14:paraId="57FE142F" w14:textId="77777777" w:rsidTr="001925BA">
        <w:trPr>
          <w:trHeight w:val="474"/>
        </w:trPr>
        <w:tc>
          <w:tcPr>
            <w:tcW w:w="2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7704D0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1F1F1F"/>
                <w:sz w:val="20"/>
                <w:szCs w:val="20"/>
              </w:rPr>
              <w:t xml:space="preserve">Calcan, </w:t>
            </w:r>
            <w:r>
              <w:rPr>
                <w:rFonts w:eastAsia="Times New Roman" w:cs="Times New Roman"/>
                <w:i/>
                <w:color w:val="1F1F1F"/>
                <w:sz w:val="20"/>
                <w:szCs w:val="20"/>
              </w:rPr>
              <w:t>Psetta maeoticus</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A471E8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51,32</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56A9128"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55,09</w:t>
            </w:r>
          </w:p>
        </w:tc>
        <w:tc>
          <w:tcPr>
            <w:tcW w:w="10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44F984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2566,42</w:t>
            </w:r>
          </w:p>
        </w:tc>
        <w:tc>
          <w:tcPr>
            <w:tcW w:w="9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C90BE98"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3332,9</w:t>
            </w:r>
          </w:p>
        </w:tc>
        <w:tc>
          <w:tcPr>
            <w:tcW w:w="9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7ECA40F" w14:textId="77777777" w:rsidR="00670FD4" w:rsidRDefault="00670FD4" w:rsidP="001925BA">
            <w:pPr>
              <w:spacing w:before="0" w:after="0" w:line="240" w:lineRule="auto"/>
              <w:ind w:firstLine="0"/>
              <w:rPr>
                <w:rFonts w:eastAsia="Times New Roman" w:cs="Times New Roman"/>
                <w:color w:val="1F1F1F"/>
                <w:sz w:val="20"/>
                <w:szCs w:val="20"/>
              </w:rPr>
            </w:pPr>
            <w:r>
              <w:rPr>
                <w:rFonts w:eastAsia="Times New Roman" w:cs="Times New Roman"/>
                <w:color w:val="1F1F1F"/>
                <w:sz w:val="20"/>
                <w:szCs w:val="20"/>
              </w:rPr>
              <w:t>3</w:t>
            </w:r>
          </w:p>
          <w:p w14:paraId="5C5EC14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(26%)</w:t>
            </w:r>
          </w:p>
        </w:tc>
        <w:tc>
          <w:tcPr>
            <w:tcW w:w="10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A2A3F06" w14:textId="77777777" w:rsidR="00670FD4" w:rsidRDefault="00670FD4" w:rsidP="001925BA">
            <w:pPr>
              <w:spacing w:before="0" w:after="0" w:line="240" w:lineRule="auto"/>
              <w:ind w:firstLine="0"/>
              <w:rPr>
                <w:rFonts w:eastAsia="Times New Roman" w:cs="Times New Roman"/>
                <w:color w:val="1F1F1F"/>
                <w:sz w:val="20"/>
                <w:szCs w:val="20"/>
              </w:rPr>
            </w:pPr>
            <w:r>
              <w:rPr>
                <w:rFonts w:eastAsia="Times New Roman" w:cs="Times New Roman"/>
                <w:color w:val="1F1F1F"/>
                <w:sz w:val="20"/>
                <w:szCs w:val="20"/>
              </w:rPr>
              <w:t>3</w:t>
            </w:r>
          </w:p>
          <w:p w14:paraId="01C0AEC9"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(38%)</w:t>
            </w:r>
          </w:p>
        </w:tc>
      </w:tr>
      <w:tr w:rsidR="00670FD4" w14:paraId="4F12C85C" w14:textId="77777777" w:rsidTr="001925BA">
        <w:trPr>
          <w:trHeight w:val="990"/>
        </w:trPr>
        <w:tc>
          <w:tcPr>
            <w:tcW w:w="2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9592DA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1F1F1F"/>
                <w:sz w:val="20"/>
                <w:szCs w:val="20"/>
              </w:rPr>
              <w:t xml:space="preserve">Bacaliar, </w:t>
            </w:r>
            <w:r>
              <w:rPr>
                <w:rFonts w:eastAsia="Times New Roman" w:cs="Times New Roman"/>
                <w:i/>
                <w:color w:val="1F1F1F"/>
                <w:sz w:val="20"/>
                <w:szCs w:val="20"/>
              </w:rPr>
              <w:t>Merlangus merlangus euxinus</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D389988"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13,21</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F66F60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12,43</w:t>
            </w:r>
          </w:p>
        </w:tc>
        <w:tc>
          <w:tcPr>
            <w:tcW w:w="10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BF8917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16,05</w:t>
            </w:r>
          </w:p>
        </w:tc>
        <w:tc>
          <w:tcPr>
            <w:tcW w:w="9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9F0EA2D"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15,37</w:t>
            </w:r>
          </w:p>
        </w:tc>
        <w:tc>
          <w:tcPr>
            <w:tcW w:w="9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A54B4CA" w14:textId="77777777" w:rsidR="00670FD4" w:rsidRDefault="00670FD4" w:rsidP="001925BA">
            <w:pPr>
              <w:spacing w:before="0" w:after="0" w:line="240" w:lineRule="auto"/>
              <w:ind w:firstLine="0"/>
              <w:rPr>
                <w:rFonts w:eastAsia="Times New Roman" w:cs="Times New Roman"/>
                <w:color w:val="1F1F1F"/>
                <w:sz w:val="20"/>
                <w:szCs w:val="20"/>
              </w:rPr>
            </w:pPr>
            <w:r>
              <w:rPr>
                <w:rFonts w:eastAsia="Times New Roman" w:cs="Times New Roman"/>
                <w:color w:val="1F1F1F"/>
                <w:sz w:val="20"/>
                <w:szCs w:val="20"/>
              </w:rPr>
              <w:t>2</w:t>
            </w:r>
          </w:p>
          <w:p w14:paraId="0EA8675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(27,5%)</w:t>
            </w:r>
          </w:p>
        </w:tc>
        <w:tc>
          <w:tcPr>
            <w:tcW w:w="10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D91A37C" w14:textId="77777777" w:rsidR="00670FD4" w:rsidRDefault="00670FD4" w:rsidP="001925BA">
            <w:pPr>
              <w:spacing w:before="0" w:after="0" w:line="240" w:lineRule="auto"/>
              <w:ind w:firstLine="0"/>
              <w:rPr>
                <w:rFonts w:eastAsia="Times New Roman" w:cs="Times New Roman"/>
                <w:color w:val="1F1F1F"/>
                <w:sz w:val="20"/>
                <w:szCs w:val="20"/>
              </w:rPr>
            </w:pPr>
            <w:r>
              <w:rPr>
                <w:rFonts w:eastAsia="Times New Roman" w:cs="Times New Roman"/>
                <w:color w:val="1F1F1F"/>
                <w:sz w:val="20"/>
                <w:szCs w:val="20"/>
              </w:rPr>
              <w:t>1</w:t>
            </w:r>
          </w:p>
          <w:p w14:paraId="0739CA4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(42%)</w:t>
            </w:r>
          </w:p>
        </w:tc>
      </w:tr>
      <w:tr w:rsidR="00670FD4" w14:paraId="5EDDAA67" w14:textId="77777777" w:rsidTr="001925BA">
        <w:trPr>
          <w:trHeight w:val="231"/>
        </w:trPr>
        <w:tc>
          <w:tcPr>
            <w:tcW w:w="2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E9D49D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1F1F1F"/>
                <w:sz w:val="20"/>
                <w:szCs w:val="20"/>
              </w:rPr>
              <w:t>Rechin, </w:t>
            </w:r>
            <w:r>
              <w:rPr>
                <w:rFonts w:eastAsia="Times New Roman" w:cs="Times New Roman"/>
                <w:i/>
                <w:color w:val="1F1F1F"/>
                <w:sz w:val="20"/>
                <w:szCs w:val="20"/>
              </w:rPr>
              <w:t>Squalus acanthias</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3267D79"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106,73</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6A83F8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83,99</w:t>
            </w:r>
          </w:p>
        </w:tc>
        <w:tc>
          <w:tcPr>
            <w:tcW w:w="10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F9B180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5970,93</w:t>
            </w:r>
          </w:p>
        </w:tc>
        <w:tc>
          <w:tcPr>
            <w:tcW w:w="9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BF6B96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3360,26</w:t>
            </w:r>
          </w:p>
        </w:tc>
        <w:tc>
          <w:tcPr>
            <w:tcW w:w="9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332DED0" w14:textId="77777777" w:rsidR="00670FD4" w:rsidRDefault="00670FD4" w:rsidP="001925BA">
            <w:pPr>
              <w:spacing w:before="0" w:after="0" w:line="240" w:lineRule="auto"/>
              <w:ind w:right="-100" w:firstLine="0"/>
              <w:rPr>
                <w:rFonts w:eastAsia="Times New Roman" w:cs="Times New Roman"/>
                <w:color w:val="1F1F1F"/>
                <w:sz w:val="20"/>
                <w:szCs w:val="20"/>
              </w:rPr>
            </w:pPr>
            <w:r>
              <w:rPr>
                <w:rFonts w:eastAsia="Times New Roman" w:cs="Times New Roman"/>
                <w:color w:val="1F1F1F"/>
                <w:sz w:val="20"/>
                <w:szCs w:val="20"/>
              </w:rPr>
              <w:t>14</w:t>
            </w:r>
          </w:p>
          <w:p w14:paraId="519A8EDA" w14:textId="77777777" w:rsidR="00670FD4" w:rsidRDefault="00670FD4" w:rsidP="001925BA">
            <w:pPr>
              <w:spacing w:before="0" w:after="0" w:line="240" w:lineRule="auto"/>
              <w:ind w:right="-100" w:firstLine="0"/>
              <w:rPr>
                <w:rFonts w:eastAsia="Times New Roman" w:cs="Times New Roman"/>
                <w:sz w:val="20"/>
                <w:szCs w:val="20"/>
              </w:rPr>
            </w:pPr>
            <w:r>
              <w:rPr>
                <w:rFonts w:eastAsia="Times New Roman" w:cs="Times New Roman"/>
                <w:color w:val="1F1F1F"/>
                <w:sz w:val="20"/>
                <w:szCs w:val="20"/>
              </w:rPr>
              <w:t>(28%)</w:t>
            </w:r>
          </w:p>
        </w:tc>
        <w:tc>
          <w:tcPr>
            <w:tcW w:w="10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167315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19 (27,5%)</w:t>
            </w:r>
          </w:p>
        </w:tc>
      </w:tr>
      <w:tr w:rsidR="00670FD4" w14:paraId="185F7E77" w14:textId="77777777" w:rsidTr="001925BA">
        <w:trPr>
          <w:trHeight w:val="471"/>
        </w:trPr>
        <w:tc>
          <w:tcPr>
            <w:tcW w:w="2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8DF27A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131313"/>
                <w:sz w:val="20"/>
                <w:szCs w:val="20"/>
              </w:rPr>
              <w:t xml:space="preserve">Rapana, </w:t>
            </w:r>
            <w:r>
              <w:rPr>
                <w:rFonts w:eastAsia="Times New Roman" w:cs="Times New Roman"/>
                <w:i/>
                <w:color w:val="1F1F1F"/>
                <w:sz w:val="20"/>
                <w:szCs w:val="20"/>
              </w:rPr>
              <w:t>Rapana venosa</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40123A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7,03</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AC0E25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6,20</w:t>
            </w:r>
          </w:p>
        </w:tc>
        <w:tc>
          <w:tcPr>
            <w:tcW w:w="10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4B7A09C"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5,90</w:t>
            </w:r>
          </w:p>
        </w:tc>
        <w:tc>
          <w:tcPr>
            <w:tcW w:w="9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399505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4,64</w:t>
            </w:r>
          </w:p>
        </w:tc>
        <w:tc>
          <w:tcPr>
            <w:tcW w:w="9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BAB36DA" w14:textId="77777777" w:rsidR="00670FD4" w:rsidRDefault="00670FD4" w:rsidP="001925BA">
            <w:pPr>
              <w:spacing w:before="0" w:after="0" w:line="240" w:lineRule="auto"/>
              <w:ind w:firstLine="0"/>
              <w:rPr>
                <w:rFonts w:eastAsia="Times New Roman" w:cs="Times New Roman"/>
                <w:sz w:val="20"/>
                <w:szCs w:val="20"/>
              </w:rPr>
            </w:pPr>
          </w:p>
        </w:tc>
        <w:tc>
          <w:tcPr>
            <w:tcW w:w="10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2641399" w14:textId="77777777" w:rsidR="00670FD4" w:rsidRDefault="00670FD4" w:rsidP="001925BA">
            <w:pPr>
              <w:spacing w:before="0" w:after="0" w:line="240" w:lineRule="auto"/>
              <w:ind w:firstLine="0"/>
              <w:rPr>
                <w:rFonts w:eastAsia="Times New Roman" w:cs="Times New Roman"/>
                <w:color w:val="1F1F1F"/>
                <w:sz w:val="20"/>
                <w:szCs w:val="20"/>
              </w:rPr>
            </w:pPr>
            <w:r>
              <w:rPr>
                <w:rFonts w:eastAsia="Times New Roman" w:cs="Times New Roman"/>
                <w:color w:val="1F1F1F"/>
                <w:sz w:val="20"/>
                <w:szCs w:val="20"/>
              </w:rPr>
              <w:t>4</w:t>
            </w:r>
          </w:p>
          <w:p w14:paraId="3450BC9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1F1F1F"/>
                <w:sz w:val="20"/>
                <w:szCs w:val="20"/>
              </w:rPr>
              <w:t>(17,1%)</w:t>
            </w:r>
          </w:p>
        </w:tc>
      </w:tr>
    </w:tbl>
    <w:p w14:paraId="22836902" w14:textId="77777777" w:rsidR="00670FD4" w:rsidRDefault="00670FD4" w:rsidP="00670FD4">
      <w:pPr>
        <w:spacing w:before="0"/>
        <w:jc w:val="center"/>
        <w:rPr>
          <w:rFonts w:eastAsia="Times New Roman" w:cs="Times New Roman"/>
          <w:b/>
        </w:rPr>
      </w:pPr>
    </w:p>
    <w:p w14:paraId="26603A09" w14:textId="77777777" w:rsidR="00670FD4" w:rsidRDefault="00670FD4" w:rsidP="00670FD4">
      <w:pPr>
        <w:spacing w:before="0"/>
        <w:rPr>
          <w:rFonts w:eastAsia="Times New Roman" w:cs="Times New Roman"/>
          <w:i/>
        </w:rPr>
      </w:pPr>
      <w:r>
        <w:rPr>
          <w:rFonts w:eastAsia="Times New Roman" w:cs="Times New Roman"/>
          <w:i/>
        </w:rPr>
        <w:t>Moluște</w:t>
      </w:r>
    </w:p>
    <w:p w14:paraId="549F299C" w14:textId="77777777" w:rsidR="00670FD4" w:rsidRDefault="00670FD4" w:rsidP="00670FD4">
      <w:pPr>
        <w:spacing w:before="0"/>
        <w:ind w:firstLine="567"/>
        <w:rPr>
          <w:rFonts w:eastAsia="Times New Roman" w:cs="Times New Roman"/>
        </w:rPr>
      </w:pPr>
      <w:r>
        <w:rPr>
          <w:rFonts w:eastAsia="Times New Roman" w:cs="Times New Roman"/>
        </w:rPr>
        <w:t>În România principalele moluște valorificabile sunt midia (</w:t>
      </w:r>
      <w:r>
        <w:rPr>
          <w:rFonts w:eastAsia="Times New Roman" w:cs="Times New Roman"/>
          <w:i/>
        </w:rPr>
        <w:t>Mytilus galloprovincialis</w:t>
      </w:r>
      <w:r>
        <w:rPr>
          <w:rFonts w:eastAsia="Times New Roman" w:cs="Times New Roman"/>
        </w:rPr>
        <w:t>) și rapana (</w:t>
      </w:r>
      <w:r>
        <w:rPr>
          <w:rFonts w:eastAsia="Times New Roman" w:cs="Times New Roman"/>
          <w:i/>
        </w:rPr>
        <w:t>Rapana venosa</w:t>
      </w:r>
      <w:r>
        <w:rPr>
          <w:rFonts w:eastAsia="Times New Roman" w:cs="Times New Roman"/>
        </w:rPr>
        <w:t>). Datorită valorii nutriționale ridicate și capacității de formare de populații foarte extinse, midia din Marea Neagră este o componentă de bază în lanțul trofic marin, cu valoare ecologică (în procese de biofiltrare) și economică: resursă marină exploatabilă prin valorificare directă și acvacultură.</w:t>
      </w:r>
    </w:p>
    <w:p w14:paraId="790C244E" w14:textId="77777777" w:rsidR="00670FD4" w:rsidRDefault="00670FD4" w:rsidP="00670FD4">
      <w:pPr>
        <w:spacing w:before="0"/>
        <w:ind w:firstLine="567"/>
        <w:rPr>
          <w:rFonts w:eastAsia="Times New Roman" w:cs="Times New Roman"/>
        </w:rPr>
      </w:pPr>
      <w:r>
        <w:rPr>
          <w:rFonts w:eastAsia="Times New Roman" w:cs="Times New Roman"/>
        </w:rPr>
        <w:t>Midia de adânc are comunități caracteristice şi bine delimitate la adâncimea de 25–45 m și 48 –70 m, fiind dominantă la 30 şi 50 m adâncime (Fig. 2.4.4.2.1). În mediul natural abundența medie a juvenililor este de 3-4 ori mai mare în populațiile de pe fundurile pietroase și scrădiș în amestec cu nisip, decât pe cele mâloase. Cel mai mare grad de productivitate îl au midiile din clasele de mărime de 20–40 mm care formează nucleul productiv de bază. În coloniile de midii din zone de influență fluvială (dulcicolă) aportul anual de productivitate se bazează pe exemplare tinere, în vârstă de 1-2 ani. În populațiile profundale structura dimensională este heterogenă, dar predomină midiile în vârstă de 3-5 ani.</w:t>
      </w:r>
    </w:p>
    <w:p w14:paraId="61D9ADFC" w14:textId="77777777" w:rsidR="00670FD4" w:rsidRDefault="00670FD4" w:rsidP="00670FD4">
      <w:pPr>
        <w:spacing w:before="0"/>
        <w:ind w:firstLine="567"/>
        <w:rPr>
          <w:rFonts w:eastAsia="Times New Roman" w:cs="Times New Roman"/>
        </w:rPr>
      </w:pPr>
      <w:r>
        <w:rPr>
          <w:rFonts w:eastAsia="Times New Roman" w:cs="Times New Roman"/>
          <w:i/>
        </w:rPr>
        <w:t>Rapana venosa</w:t>
      </w:r>
      <w:r>
        <w:rPr>
          <w:rFonts w:eastAsia="Times New Roman" w:cs="Times New Roman"/>
        </w:rPr>
        <w:t xml:space="preserve"> este cel mai cunoscut reprezentant al malacofaunei din Marea Neagră, intrat accidental în Marea Neagră, prin apa de balast a navelor. </w:t>
      </w:r>
      <w:r>
        <w:rPr>
          <w:rFonts w:eastAsia="Times New Roman" w:cs="Times New Roman"/>
          <w:i/>
        </w:rPr>
        <w:t>R. venosa</w:t>
      </w:r>
      <w:r>
        <w:rPr>
          <w:rFonts w:eastAsia="Times New Roman" w:cs="Times New Roman"/>
        </w:rPr>
        <w:t xml:space="preserve"> a colonizat rapid zona bentală şi este întâlnită pe toate tipurile de substrat. S-a instalat pe arii de distribuție extinse, de la 0 la 70 m larg, în noile condiții de la țărmul românesc. Are caracteristici adaptative de excepție, nu are prădători, nici specii concurente la spațiu și hrană. Cele mai abundente populaţii sunt cantonate 3 – 20 m adâncime, pe substrat dur natural sau artificial. În prezent, domină capturile pescărești (pâna la 90%), consumând major stocurile de midie.</w:t>
      </w:r>
    </w:p>
    <w:p w14:paraId="76F47AE1" w14:textId="77777777" w:rsidR="00670FD4" w:rsidRDefault="00670FD4" w:rsidP="00670FD4">
      <w:pPr>
        <w:spacing w:after="200"/>
        <w:ind w:firstLine="567"/>
        <w:rPr>
          <w:rFonts w:eastAsia="Times New Roman" w:cs="Times New Roman"/>
        </w:rPr>
      </w:pPr>
    </w:p>
    <w:p w14:paraId="1C1AFDE1" w14:textId="77777777" w:rsidR="00670FD4" w:rsidRDefault="00670FD4" w:rsidP="00670FD4">
      <w:pPr>
        <w:spacing w:after="200"/>
        <w:jc w:val="center"/>
        <w:rPr>
          <w:rFonts w:eastAsia="Times New Roman" w:cs="Times New Roman"/>
        </w:rPr>
      </w:pPr>
      <w:r>
        <w:rPr>
          <w:rFonts w:eastAsia="Times New Roman" w:cs="Times New Roman"/>
          <w:noProof/>
        </w:rPr>
        <w:lastRenderedPageBreak/>
        <w:drawing>
          <wp:inline distT="0" distB="0" distL="0" distR="0" wp14:anchorId="72A9AFC0" wp14:editId="72C84B76">
            <wp:extent cx="4644224" cy="4072544"/>
            <wp:effectExtent l="0" t="0" r="0" b="0"/>
            <wp:docPr id="214140197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3"/>
                    <a:srcRect/>
                    <a:stretch>
                      <a:fillRect/>
                    </a:stretch>
                  </pic:blipFill>
                  <pic:spPr>
                    <a:xfrm>
                      <a:off x="0" y="0"/>
                      <a:ext cx="4644224" cy="4072544"/>
                    </a:xfrm>
                    <a:prstGeom prst="rect">
                      <a:avLst/>
                    </a:prstGeom>
                    <a:ln/>
                  </pic:spPr>
                </pic:pic>
              </a:graphicData>
            </a:graphic>
          </wp:inline>
        </w:drawing>
      </w:r>
    </w:p>
    <w:p w14:paraId="528A6931" w14:textId="77777777" w:rsidR="00670FD4" w:rsidRDefault="00670FD4" w:rsidP="00670FD4">
      <w:pPr>
        <w:jc w:val="center"/>
        <w:rPr>
          <w:rFonts w:eastAsia="Times New Roman" w:cs="Times New Roman"/>
          <w:b/>
          <w:color w:val="000000"/>
          <w:highlight w:val="white"/>
        </w:rPr>
      </w:pPr>
      <w:r>
        <w:rPr>
          <w:rFonts w:eastAsia="Times New Roman" w:cs="Times New Roman"/>
          <w:b/>
          <w:color w:val="000000"/>
          <w:highlight w:val="white"/>
        </w:rPr>
        <w:t xml:space="preserve">Fig. 2.4.4.2.1 Harta câmpurilor cu </w:t>
      </w:r>
      <w:r>
        <w:rPr>
          <w:rFonts w:eastAsia="Times New Roman" w:cs="Times New Roman"/>
          <w:b/>
          <w:i/>
          <w:color w:val="000000"/>
          <w:highlight w:val="white"/>
        </w:rPr>
        <w:t>Mytilus galloprovincialis</w:t>
      </w:r>
      <w:r>
        <w:rPr>
          <w:rFonts w:eastAsia="Times New Roman" w:cs="Times New Roman"/>
          <w:b/>
          <w:color w:val="000000"/>
          <w:highlight w:val="white"/>
        </w:rPr>
        <w:t xml:space="preserve"> de pe șelful românesc al Mării Negre (Teacă și colab., 2013)</w:t>
      </w:r>
    </w:p>
    <w:p w14:paraId="22F26F71" w14:textId="77777777" w:rsidR="00670FD4" w:rsidRDefault="00670FD4" w:rsidP="00670FD4">
      <w:pPr>
        <w:spacing w:before="0"/>
        <w:ind w:firstLine="567"/>
        <w:rPr>
          <w:rFonts w:eastAsia="Times New Roman" w:cs="Times New Roman"/>
        </w:rPr>
      </w:pPr>
    </w:p>
    <w:p w14:paraId="49AA1871" w14:textId="77777777" w:rsidR="00670FD4" w:rsidRDefault="00670FD4" w:rsidP="00670FD4">
      <w:pPr>
        <w:spacing w:before="0"/>
        <w:ind w:firstLine="567"/>
        <w:rPr>
          <w:rFonts w:eastAsia="Times New Roman" w:cs="Times New Roman"/>
          <w:u w:val="single"/>
        </w:rPr>
      </w:pPr>
      <w:r>
        <w:rPr>
          <w:rFonts w:eastAsia="Times New Roman" w:cs="Times New Roman"/>
        </w:rPr>
        <w:t xml:space="preserve">Pe lângă cele două specii cu valoare comercială, există și alte moluște valorificabile economic: </w:t>
      </w:r>
      <w:r>
        <w:rPr>
          <w:rFonts w:eastAsia="Times New Roman" w:cs="Times New Roman"/>
          <w:i/>
        </w:rPr>
        <w:t>Mya arenaria</w:t>
      </w:r>
      <w:r>
        <w:rPr>
          <w:rFonts w:eastAsia="Times New Roman" w:cs="Times New Roman"/>
        </w:rPr>
        <w:t xml:space="preserve"> (psamobiontă cultivabilă), </w:t>
      </w:r>
      <w:r>
        <w:rPr>
          <w:rFonts w:eastAsia="Times New Roman" w:cs="Times New Roman"/>
          <w:i/>
        </w:rPr>
        <w:t>Lentidium mediterraneum</w:t>
      </w:r>
      <w:r>
        <w:rPr>
          <w:rFonts w:eastAsia="Times New Roman" w:cs="Times New Roman"/>
        </w:rPr>
        <w:t xml:space="preserve"> și </w:t>
      </w:r>
      <w:r>
        <w:rPr>
          <w:rFonts w:eastAsia="Times New Roman" w:cs="Times New Roman"/>
          <w:i/>
        </w:rPr>
        <w:t>Chamelea gallina</w:t>
      </w:r>
      <w:r>
        <w:rPr>
          <w:rFonts w:eastAsia="Times New Roman" w:cs="Times New Roman"/>
        </w:rPr>
        <w:t xml:space="preserve"> – vongola, care are deja cota de pescuit de 1.000 t anual, cu mențiunea că uneltele folosite nu sunt prietenoase cu mediul.</w:t>
      </w:r>
    </w:p>
    <w:p w14:paraId="1D789174" w14:textId="77777777" w:rsidR="00670FD4" w:rsidRDefault="00670FD4" w:rsidP="00670FD4">
      <w:pPr>
        <w:pStyle w:val="Heading4"/>
      </w:pPr>
      <w:bookmarkStart w:id="75" w:name="_Toc171084838"/>
      <w:r>
        <w:t>2.4.4.3 Resursa de apă subterană</w:t>
      </w:r>
      <w:bookmarkEnd w:id="75"/>
    </w:p>
    <w:p w14:paraId="3570BFEB" w14:textId="77777777" w:rsidR="00670FD4" w:rsidRDefault="00670FD4" w:rsidP="00670FD4">
      <w:pPr>
        <w:spacing w:before="0"/>
        <w:ind w:firstLine="567"/>
        <w:rPr>
          <w:rFonts w:eastAsia="Times New Roman" w:cs="Times New Roman"/>
        </w:rPr>
      </w:pPr>
      <w:r>
        <w:rPr>
          <w:rFonts w:eastAsia="Times New Roman" w:cs="Times New Roman"/>
        </w:rPr>
        <w:t xml:space="preserve">În zona costieră există următoarele corpuri de ape subterane (conform </w:t>
      </w:r>
      <w:r>
        <w:rPr>
          <w:rFonts w:eastAsia="Times New Roman" w:cs="Times New Roman"/>
          <w:i/>
        </w:rPr>
        <w:t>Planului de Management actualizat al fluviului Dunărea, Deltei Dunării, spațiului hidrografic Dobrogea și apelor costiere (2022-2027), aprobat prin HG 392/2023 – Anexa 4.1 Descrierea caracteristicilor corpurilor de apă subterană</w:t>
      </w:r>
      <w:r>
        <w:rPr>
          <w:rFonts w:eastAsia="Times New Roman" w:cs="Times New Roman"/>
        </w:rPr>
        <w:t>, Fig. 2.4.4.3.1):</w:t>
      </w:r>
    </w:p>
    <w:p w14:paraId="417F7DBA" w14:textId="77777777" w:rsidR="00670FD4" w:rsidRDefault="00670FD4" w:rsidP="00670FD4">
      <w:pPr>
        <w:numPr>
          <w:ilvl w:val="0"/>
          <w:numId w:val="24"/>
        </w:numPr>
        <w:pBdr>
          <w:top w:val="nil"/>
          <w:left w:val="nil"/>
          <w:bottom w:val="nil"/>
          <w:right w:val="nil"/>
          <w:between w:val="nil"/>
        </w:pBdr>
        <w:spacing w:before="0"/>
        <w:ind w:left="426" w:firstLine="0"/>
        <w:rPr>
          <w:rFonts w:eastAsia="Times New Roman" w:cs="Times New Roman"/>
          <w:color w:val="000000"/>
        </w:rPr>
      </w:pPr>
      <w:r>
        <w:rPr>
          <w:rFonts w:eastAsia="Times New Roman" w:cs="Times New Roman"/>
          <w:color w:val="000000"/>
        </w:rPr>
        <w:t>Corpul de apă subterană RODL01 (Tulcea), de tip mixt (freatic şi de adâncime), este cantonat în depozite calcaroase triasice situate la sud de oraşul Tulcea, în lungul Dunării şi în partea NV a lacului Razim. Cea mai mare parte din suprafaţa acestui corp de apă subterană mixt (freatic şi de adâncime) este acoperită de terenuri cultivate.</w:t>
      </w:r>
    </w:p>
    <w:p w14:paraId="53071CDD" w14:textId="77777777" w:rsidR="00670FD4" w:rsidRDefault="00670FD4" w:rsidP="00670FD4">
      <w:pPr>
        <w:numPr>
          <w:ilvl w:val="0"/>
          <w:numId w:val="24"/>
        </w:numPr>
        <w:pBdr>
          <w:top w:val="nil"/>
          <w:left w:val="nil"/>
          <w:bottom w:val="nil"/>
          <w:right w:val="nil"/>
          <w:between w:val="nil"/>
        </w:pBdr>
        <w:spacing w:before="0"/>
        <w:ind w:left="425" w:firstLine="0"/>
        <w:rPr>
          <w:rFonts w:eastAsia="Times New Roman" w:cs="Times New Roman"/>
          <w:color w:val="000000"/>
        </w:rPr>
      </w:pPr>
      <w:r>
        <w:rPr>
          <w:rFonts w:eastAsia="Times New Roman" w:cs="Times New Roman"/>
          <w:color w:val="000000"/>
        </w:rPr>
        <w:t xml:space="preserve">Corpul de apă subterană RODL04 (Cobadin-Mangalia) este un corp de adâncime acumulat în depozite de calcare oolitice şi lumaşelice sarmaţiene (Kersonian) situate în extremitatea SE a Dobrogei. Suprafaţa majoritară a corpului de apă subterană (85%) este </w:t>
      </w:r>
      <w:r>
        <w:rPr>
          <w:rFonts w:eastAsia="Times New Roman" w:cs="Times New Roman"/>
          <w:color w:val="000000"/>
        </w:rPr>
        <w:lastRenderedPageBreak/>
        <w:t xml:space="preserve">acoperită cu terenuri arabile, iar alimentarea acviferului se face, în principal, din precipitaţii şi din pierderile difuze de apă din sistemele de irigaţii existente. </w:t>
      </w:r>
    </w:p>
    <w:p w14:paraId="52EB3163" w14:textId="77777777" w:rsidR="00670FD4" w:rsidRDefault="00670FD4" w:rsidP="00670FD4">
      <w:pPr>
        <w:numPr>
          <w:ilvl w:val="0"/>
          <w:numId w:val="24"/>
        </w:numPr>
        <w:pBdr>
          <w:top w:val="nil"/>
          <w:left w:val="nil"/>
          <w:bottom w:val="nil"/>
          <w:right w:val="nil"/>
          <w:between w:val="nil"/>
        </w:pBdr>
        <w:spacing w:before="0"/>
        <w:ind w:left="425" w:firstLine="0"/>
        <w:rPr>
          <w:rFonts w:eastAsia="Times New Roman" w:cs="Times New Roman"/>
          <w:color w:val="000000"/>
        </w:rPr>
      </w:pPr>
      <w:r>
        <w:rPr>
          <w:rFonts w:eastAsia="Times New Roman" w:cs="Times New Roman"/>
          <w:color w:val="000000"/>
        </w:rPr>
        <w:t xml:space="preserve">Corpul de apă subterană RODL05 – Dobrogea Centrală, este un corp de apă freatică de tip poros-permeabil, fiind localizat în aluviuni actuale şi subactuale (atribuite Holocenului), în depozite loessoide (de vârstă pleistocen superior-holocenă), în loess (atribuit Pleistocenului mediu-Pleistocenului superior), precum şi la limita dintre loessuri/loessoide şi partea </w:t>
      </w:r>
      <w:r>
        <w:rPr>
          <w:rFonts w:eastAsia="Times New Roman" w:cs="Times New Roman"/>
          <w:color w:val="000000"/>
        </w:rPr>
        <w:pgNum/>
      </w:r>
      <w:r>
        <w:rPr>
          <w:rFonts w:eastAsia="Times New Roman" w:cs="Times New Roman"/>
          <w:color w:val="000000"/>
        </w:rPr>
        <w:t>roblem</w:t>
      </w:r>
      <w:r>
        <w:rPr>
          <w:rFonts w:eastAsia="Times New Roman" w:cs="Times New Roman"/>
          <w:color w:val="000000"/>
        </w:rPr>
        <w:pgNum/>
      </w:r>
      <w:r>
        <w:rPr>
          <w:rFonts w:eastAsia="Times New Roman" w:cs="Times New Roman"/>
          <w:color w:val="000000"/>
        </w:rPr>
        <w:t xml:space="preserve"> alterată a calcarelor (atribuite Jurasicului mediu, Jurasicului superior sau Cretacicului inferior) sau a şisturilor verzi (atribuite Precambrianului superior). Acest corp constituie sursa </w:t>
      </w:r>
      <w:r>
        <w:rPr>
          <w:rFonts w:eastAsia="Times New Roman" w:cs="Times New Roman"/>
          <w:color w:val="000000"/>
        </w:rPr>
        <w:pgNum/>
      </w:r>
      <w:r>
        <w:rPr>
          <w:rFonts w:eastAsia="Times New Roman" w:cs="Times New Roman"/>
          <w:color w:val="000000"/>
        </w:rPr>
        <w:t>roblem</w:t>
      </w:r>
      <w:r>
        <w:rPr>
          <w:rFonts w:eastAsia="Times New Roman" w:cs="Times New Roman"/>
          <w:color w:val="000000"/>
        </w:rPr>
        <w:pgNum/>
      </w:r>
      <w:r>
        <w:rPr>
          <w:rFonts w:eastAsia="Times New Roman" w:cs="Times New Roman"/>
          <w:color w:val="000000"/>
        </w:rPr>
        <w:pgNum/>
      </w:r>
      <w:r>
        <w:rPr>
          <w:rFonts w:eastAsia="Times New Roman" w:cs="Times New Roman"/>
          <w:color w:val="000000"/>
        </w:rPr>
        <w:t xml:space="preserve"> de alimentare cu apă a majorităţii localităţilor din Dobrogea Centrală. Cea mai mare parte a suprafeţei corpului de apă este acoperită de terenuri agricole (86 %).</w:t>
      </w:r>
    </w:p>
    <w:p w14:paraId="23D27A69" w14:textId="77777777" w:rsidR="00670FD4" w:rsidRDefault="00670FD4" w:rsidP="00670FD4">
      <w:pPr>
        <w:numPr>
          <w:ilvl w:val="0"/>
          <w:numId w:val="24"/>
        </w:numPr>
        <w:pBdr>
          <w:top w:val="nil"/>
          <w:left w:val="nil"/>
          <w:bottom w:val="nil"/>
          <w:right w:val="nil"/>
          <w:between w:val="nil"/>
        </w:pBdr>
        <w:spacing w:before="0"/>
        <w:ind w:left="425" w:firstLine="0"/>
        <w:rPr>
          <w:rFonts w:eastAsia="Times New Roman" w:cs="Times New Roman"/>
          <w:color w:val="000000"/>
        </w:rPr>
      </w:pPr>
      <w:r>
        <w:rPr>
          <w:rFonts w:eastAsia="Times New Roman" w:cs="Times New Roman"/>
          <w:color w:val="000000"/>
        </w:rPr>
        <w:t>Corpul de apă subterană RODL06</w:t>
      </w:r>
      <w:r>
        <w:t xml:space="preserve"> </w:t>
      </w:r>
      <w:r>
        <w:rPr>
          <w:rFonts w:eastAsia="Times New Roman" w:cs="Times New Roman"/>
          <w:color w:val="000000"/>
        </w:rPr>
        <w:t xml:space="preserve">(Platforma Valahă)  este un corp de apă subterană de adâncime, transfrontalier, cu o mare extindere, acoperind </w:t>
      </w:r>
      <w:r>
        <w:rPr>
          <w:rFonts w:eastAsia="Times New Roman" w:cs="Times New Roman"/>
          <w:color w:val="000000"/>
        </w:rPr>
        <w:pgNum/>
      </w:r>
      <w:r>
        <w:rPr>
          <w:rFonts w:eastAsia="Times New Roman" w:cs="Times New Roman"/>
          <w:color w:val="000000"/>
        </w:rPr>
        <w:t xml:space="preserve">roblem Platforma Valahă. Din punct de vedere al cunoașterii și al exploatării, prezintă două zone, </w:t>
      </w:r>
      <w:r>
        <w:rPr>
          <w:rFonts w:eastAsia="Times New Roman" w:cs="Times New Roman"/>
          <w:color w:val="000000"/>
        </w:rPr>
        <w:pgNum/>
      </w:r>
      <w:r>
        <w:rPr>
          <w:rFonts w:eastAsia="Times New Roman" w:cs="Times New Roman"/>
          <w:color w:val="000000"/>
        </w:rPr>
        <w:t>roblem</w:t>
      </w:r>
      <w:r>
        <w:rPr>
          <w:rFonts w:eastAsia="Times New Roman" w:cs="Times New Roman"/>
          <w:color w:val="000000"/>
        </w:rPr>
        <w:pgNum/>
      </w:r>
      <w:r>
        <w:rPr>
          <w:rFonts w:eastAsia="Times New Roman" w:cs="Times New Roman"/>
          <w:color w:val="000000"/>
        </w:rPr>
        <w:pgNum/>
      </w:r>
      <w:r>
        <w:rPr>
          <w:rFonts w:eastAsia="Times New Roman" w:cs="Times New Roman"/>
          <w:color w:val="000000"/>
        </w:rPr>
        <w:t xml:space="preserve">a:  a) zona cu dezvoltare în  Dobrogea de Sud şi  b) zona Giurgiu – Călăraşi. Referitor la prima zonă, cea care prezintă interes pentru zona costieră, acviferul de adâncime – dar </w:t>
      </w:r>
      <w:r>
        <w:rPr>
          <w:rFonts w:eastAsia="Times New Roman" w:cs="Times New Roman"/>
          <w:color w:val="000000"/>
        </w:rPr>
        <w:pgNum/>
      </w:r>
      <w:r>
        <w:rPr>
          <w:rFonts w:eastAsia="Times New Roman" w:cs="Times New Roman"/>
          <w:color w:val="000000"/>
        </w:rPr>
        <w:t xml:space="preserve">roblem şi cu nivel liber (sectorul adiacent Dunării) -  este cantonat în formaţiuni calcaroase şi dolomitice jurasice şi barremiene, uneori fracturate şi carstificate, cu extindere </w:t>
      </w:r>
      <w:r>
        <w:rPr>
          <w:rFonts w:eastAsia="Times New Roman" w:cs="Times New Roman"/>
          <w:color w:val="000000"/>
        </w:rPr>
        <w:pgNum/>
      </w:r>
      <w:r>
        <w:rPr>
          <w:rFonts w:eastAsia="Times New Roman" w:cs="Times New Roman"/>
          <w:color w:val="000000"/>
        </w:rPr>
        <w:t>roblem</w:t>
      </w:r>
      <w:r>
        <w:rPr>
          <w:rFonts w:eastAsia="Times New Roman" w:cs="Times New Roman"/>
          <w:color w:val="000000"/>
        </w:rPr>
        <w:pgNum/>
      </w:r>
      <w:r>
        <w:rPr>
          <w:rFonts w:eastAsia="Times New Roman" w:cs="Times New Roman"/>
          <w:color w:val="000000"/>
        </w:rPr>
        <w:t xml:space="preserve"> (aprox. 4500 km</w:t>
      </w:r>
      <w:r>
        <w:rPr>
          <w:rFonts w:eastAsia="Times New Roman" w:cs="Times New Roman"/>
          <w:color w:val="000000"/>
          <w:vertAlign w:val="superscript"/>
        </w:rPr>
        <w:t>2</w:t>
      </w:r>
      <w:r>
        <w:rPr>
          <w:rFonts w:eastAsia="Times New Roman" w:cs="Times New Roman"/>
          <w:color w:val="000000"/>
        </w:rPr>
        <w:t xml:space="preserve">) în întreaga Dobroge de Sud. Aria de alimentare </w:t>
      </w:r>
      <w:r>
        <w:rPr>
          <w:rFonts w:eastAsia="Times New Roman" w:cs="Times New Roman"/>
          <w:color w:val="000000"/>
        </w:rPr>
        <w:pgNum/>
      </w:r>
      <w:r>
        <w:rPr>
          <w:rFonts w:eastAsia="Times New Roman" w:cs="Times New Roman"/>
          <w:color w:val="000000"/>
        </w:rPr>
        <w:t xml:space="preserve">roblem este </w:t>
      </w:r>
      <w:r>
        <w:rPr>
          <w:rFonts w:eastAsia="Times New Roman" w:cs="Times New Roman"/>
          <w:color w:val="000000"/>
        </w:rPr>
        <w:pgNum/>
      </w:r>
      <w:r>
        <w:rPr>
          <w:rFonts w:eastAsia="Times New Roman" w:cs="Times New Roman"/>
          <w:color w:val="000000"/>
        </w:rPr>
        <w:t xml:space="preserve">roblem  în partea de sud – vest a regiunii, iar direcţia </w:t>
      </w:r>
      <w:r>
        <w:rPr>
          <w:rFonts w:eastAsia="Times New Roman" w:cs="Times New Roman"/>
          <w:color w:val="000000"/>
        </w:rPr>
        <w:pgNum/>
      </w:r>
      <w:r>
        <w:rPr>
          <w:rFonts w:eastAsia="Times New Roman" w:cs="Times New Roman"/>
          <w:color w:val="000000"/>
        </w:rPr>
        <w:t>roblem</w:t>
      </w:r>
      <w:r>
        <w:rPr>
          <w:rFonts w:eastAsia="Times New Roman" w:cs="Times New Roman"/>
          <w:color w:val="000000"/>
        </w:rPr>
        <w:pgNum/>
      </w:r>
      <w:r>
        <w:rPr>
          <w:rFonts w:eastAsia="Times New Roman" w:cs="Times New Roman"/>
          <w:color w:val="000000"/>
        </w:rPr>
        <w:pgNum/>
      </w:r>
      <w:r>
        <w:rPr>
          <w:rFonts w:eastAsia="Times New Roman" w:cs="Times New Roman"/>
          <w:color w:val="000000"/>
        </w:rPr>
        <w:t xml:space="preserve"> de curgere are o orientare VSV – ENE. Aria de drenare majoră este </w:t>
      </w:r>
      <w:r>
        <w:rPr>
          <w:rFonts w:eastAsia="Times New Roman" w:cs="Times New Roman"/>
          <w:color w:val="000000"/>
        </w:rPr>
        <w:pgNum/>
      </w:r>
      <w:r>
        <w:rPr>
          <w:rFonts w:eastAsia="Times New Roman" w:cs="Times New Roman"/>
          <w:color w:val="000000"/>
        </w:rPr>
        <w:t>roblem în zona lacului Siutghiol. Cea mai mare parte a suprafeţei a acestui corp de apă subterană este acoperită de terenuri agricole.</w:t>
      </w:r>
    </w:p>
    <w:p w14:paraId="5CAEC0A5" w14:textId="77777777" w:rsidR="00670FD4" w:rsidRDefault="00670FD4" w:rsidP="00670FD4">
      <w:pPr>
        <w:numPr>
          <w:ilvl w:val="0"/>
          <w:numId w:val="24"/>
        </w:numPr>
        <w:pBdr>
          <w:top w:val="nil"/>
          <w:left w:val="nil"/>
          <w:bottom w:val="nil"/>
          <w:right w:val="nil"/>
          <w:between w:val="nil"/>
        </w:pBdr>
        <w:tabs>
          <w:tab w:val="left" w:pos="709"/>
        </w:tabs>
        <w:spacing w:before="0"/>
        <w:ind w:left="426" w:firstLine="0"/>
        <w:rPr>
          <w:rFonts w:eastAsia="Times New Roman" w:cs="Times New Roman"/>
          <w:color w:val="000000"/>
        </w:rPr>
      </w:pPr>
      <w:r>
        <w:rPr>
          <w:rFonts w:eastAsia="Times New Roman" w:cs="Times New Roman"/>
          <w:color w:val="000000"/>
        </w:rPr>
        <w:t xml:space="preserve">Corpul de apă subterană RODL08 – Casimcea de tip mixt (freatic şi de adâncime), este carstic-fisural, fiind localizat în depozite jurasic-medii şi/sau în depozite jurasic-superioare. Depozitele carbonatice prezintă numeroase fisuri şi goluri carstice. Depozitele jurasic mediu-jurasic superioare se dispun discordant peste şisturile verzi şi mulează un relief </w:t>
      </w:r>
      <w:r>
        <w:rPr>
          <w:rFonts w:eastAsia="Times New Roman" w:cs="Times New Roman"/>
          <w:color w:val="000000"/>
        </w:rPr>
        <w:pgNum/>
      </w:r>
      <w:r>
        <w:rPr>
          <w:rFonts w:eastAsia="Times New Roman" w:cs="Times New Roman"/>
          <w:color w:val="000000"/>
        </w:rPr>
        <w:t>roblem</w:t>
      </w:r>
      <w:r>
        <w:rPr>
          <w:rFonts w:eastAsia="Times New Roman" w:cs="Times New Roman"/>
          <w:color w:val="000000"/>
        </w:rPr>
        <w:pgNum/>
      </w:r>
      <w:r>
        <w:rPr>
          <w:rFonts w:eastAsia="Times New Roman" w:cs="Times New Roman"/>
          <w:color w:val="000000"/>
        </w:rPr>
        <w:pgNum/>
      </w:r>
      <w:r>
        <w:rPr>
          <w:rFonts w:eastAsia="Times New Roman" w:cs="Times New Roman"/>
          <w:color w:val="000000"/>
        </w:rPr>
        <w:t>an</w:t>
      </w:r>
      <w:r>
        <w:rPr>
          <w:rFonts w:eastAsia="Times New Roman" w:cs="Times New Roman"/>
          <w:color w:val="000000"/>
        </w:rPr>
        <w:pgNum/>
      </w:r>
      <w:r>
        <w:rPr>
          <w:rFonts w:eastAsia="Times New Roman" w:cs="Times New Roman"/>
          <w:color w:val="000000"/>
        </w:rPr>
        <w:t xml:space="preserve">. Aceste depozite sunt uşor ondulate şi formează, de-a lungul cursului inferior al râului Casimcea, sinclinalul Casimcea-Midia orientat de la nord-vest spre sud-est. Sinclinalul este uşor asimetric, având flancul de sud-vest mai înclinat. În interiorul său, sinclinalul prezintă mai multe cute secundare, care-I imprimă un </w:t>
      </w:r>
      <w:r>
        <w:rPr>
          <w:rFonts w:eastAsia="Times New Roman" w:cs="Times New Roman"/>
          <w:color w:val="000000"/>
        </w:rPr>
        <w:pgNum/>
      </w:r>
      <w:r>
        <w:rPr>
          <w:rFonts w:eastAsia="Times New Roman" w:cs="Times New Roman"/>
          <w:color w:val="000000"/>
        </w:rPr>
        <w:t>roblem</w:t>
      </w:r>
      <w:r>
        <w:rPr>
          <w:rFonts w:eastAsia="Times New Roman" w:cs="Times New Roman"/>
          <w:color w:val="000000"/>
        </w:rPr>
        <w:pgNum/>
      </w:r>
      <w:r>
        <w:rPr>
          <w:rFonts w:eastAsia="Times New Roman" w:cs="Times New Roman"/>
          <w:color w:val="000000"/>
        </w:rPr>
        <w:pgNum/>
      </w:r>
      <w:r>
        <w:rPr>
          <w:rFonts w:eastAsia="Times New Roman" w:cs="Times New Roman"/>
          <w:color w:val="000000"/>
        </w:rPr>
        <w:t xml:space="preserve"> de sinclinoriu. Sistemul acvifer jurasic este reprezentat prin hidrostructura Târguşor-Sârtorman-Piatra-Luminiţa. Aceasta reprezintă un </w:t>
      </w:r>
      <w:r>
        <w:rPr>
          <w:rFonts w:eastAsia="Times New Roman" w:cs="Times New Roman"/>
          <w:color w:val="000000"/>
        </w:rPr>
        <w:pgNum/>
      </w:r>
      <w:r>
        <w:rPr>
          <w:rFonts w:eastAsia="Times New Roman" w:cs="Times New Roman"/>
          <w:color w:val="000000"/>
        </w:rPr>
        <w:t>roblem</w:t>
      </w:r>
      <w:r>
        <w:rPr>
          <w:rFonts w:eastAsia="Times New Roman" w:cs="Times New Roman"/>
          <w:color w:val="000000"/>
        </w:rPr>
        <w:pgNum/>
      </w:r>
      <w:r>
        <w:rPr>
          <w:rFonts w:eastAsia="Times New Roman" w:cs="Times New Roman"/>
          <w:color w:val="000000"/>
        </w:rPr>
        <w:pgNum/>
      </w:r>
      <w:r>
        <w:rPr>
          <w:rFonts w:eastAsia="Times New Roman" w:cs="Times New Roman"/>
          <w:color w:val="000000"/>
        </w:rPr>
        <w:t xml:space="preserve"> oientat de la nord-vest la sud-est, ridicat axial spre nord-vest. Acviferul este alimentat din precipitaţii, din apele de suprafaţă şi prin condensare endocarstică. Ca și în cazul celorlalte corpuri de apă subterane, cea mai mare parte a suprafeţei corpului de apă este acoperită de terenuri agricole (68 %).</w:t>
      </w:r>
    </w:p>
    <w:p w14:paraId="3721641E" w14:textId="77777777" w:rsidR="00670FD4" w:rsidRDefault="00670FD4" w:rsidP="00670FD4">
      <w:pPr>
        <w:numPr>
          <w:ilvl w:val="0"/>
          <w:numId w:val="24"/>
        </w:numPr>
        <w:pBdr>
          <w:top w:val="nil"/>
          <w:left w:val="nil"/>
          <w:bottom w:val="nil"/>
          <w:right w:val="nil"/>
          <w:between w:val="nil"/>
        </w:pBdr>
        <w:spacing w:before="0"/>
        <w:ind w:left="426" w:firstLine="0"/>
        <w:rPr>
          <w:rFonts w:eastAsia="Times New Roman" w:cs="Times New Roman"/>
          <w:color w:val="000000"/>
        </w:rPr>
      </w:pPr>
      <w:r>
        <w:rPr>
          <w:rFonts w:eastAsia="Times New Roman" w:cs="Times New Roman"/>
          <w:color w:val="000000"/>
        </w:rPr>
        <w:t xml:space="preserve">Corpul de apă subterană RODL09 – Dobrogea de Nord este un corp de apă de tip poros-permeabil, fiind localizat în aluviuni actuale şi subactuale (atribuite Holocenului), în depozite loessoide (Pleistocen superior-Holocen), în loess (Pleistocen mediu-Pleistocen superior), precum şi la limita dintre loessuri/loessoide şi partea </w:t>
      </w:r>
      <w:r>
        <w:rPr>
          <w:rFonts w:eastAsia="Times New Roman" w:cs="Times New Roman"/>
          <w:color w:val="000000"/>
        </w:rPr>
        <w:pgNum/>
      </w:r>
      <w:r>
        <w:rPr>
          <w:rFonts w:eastAsia="Times New Roman" w:cs="Times New Roman"/>
          <w:color w:val="000000"/>
        </w:rPr>
        <w:t>roblem</w:t>
      </w:r>
      <w:r>
        <w:rPr>
          <w:rFonts w:eastAsia="Times New Roman" w:cs="Times New Roman"/>
          <w:color w:val="000000"/>
        </w:rPr>
        <w:pgNum/>
      </w:r>
      <w:r>
        <w:rPr>
          <w:rFonts w:eastAsia="Times New Roman" w:cs="Times New Roman"/>
          <w:color w:val="000000"/>
        </w:rPr>
        <w:t xml:space="preserve"> alterată a depozitelor </w:t>
      </w:r>
      <w:r>
        <w:rPr>
          <w:rFonts w:eastAsia="Times New Roman" w:cs="Times New Roman"/>
          <w:color w:val="000000"/>
        </w:rPr>
        <w:pgNum/>
      </w:r>
      <w:r>
        <w:rPr>
          <w:rFonts w:eastAsia="Times New Roman" w:cs="Times New Roman"/>
          <w:color w:val="000000"/>
        </w:rPr>
        <w:t>roblem</w:t>
      </w:r>
      <w:r>
        <w:rPr>
          <w:rFonts w:eastAsia="Times New Roman" w:cs="Times New Roman"/>
          <w:color w:val="000000"/>
        </w:rPr>
        <w:pgNum/>
      </w:r>
      <w:r>
        <w:rPr>
          <w:rFonts w:eastAsia="Times New Roman" w:cs="Times New Roman"/>
          <w:color w:val="000000"/>
        </w:rPr>
        <w:pgNum/>
      </w:r>
      <w:r>
        <w:rPr>
          <w:rFonts w:eastAsia="Times New Roman" w:cs="Times New Roman"/>
          <w:color w:val="000000"/>
        </w:rPr>
        <w:t xml:space="preserve">an-superioare, paleozoice şi mezozoice. Cea mai mare parte </w:t>
      </w:r>
      <w:r>
        <w:rPr>
          <w:rFonts w:eastAsia="Times New Roman" w:cs="Times New Roman"/>
          <w:color w:val="000000"/>
        </w:rPr>
        <w:lastRenderedPageBreak/>
        <w:t>a suprafeței corpului de apă este ocupată de terenuri agricole (62 %), dar există şi un procent însemnat de păduri pe suprafaţa corpului de apă (29%).</w:t>
      </w:r>
    </w:p>
    <w:p w14:paraId="170A9523" w14:textId="77777777" w:rsidR="00670FD4" w:rsidRDefault="00670FD4" w:rsidP="00670FD4">
      <w:pPr>
        <w:numPr>
          <w:ilvl w:val="0"/>
          <w:numId w:val="24"/>
        </w:numPr>
        <w:pBdr>
          <w:top w:val="nil"/>
          <w:left w:val="nil"/>
          <w:bottom w:val="nil"/>
          <w:right w:val="nil"/>
          <w:between w:val="nil"/>
        </w:pBdr>
        <w:spacing w:before="0"/>
        <w:ind w:left="426" w:firstLine="0"/>
        <w:rPr>
          <w:rFonts w:eastAsia="Times New Roman" w:cs="Times New Roman"/>
          <w:color w:val="000000"/>
        </w:rPr>
      </w:pPr>
      <w:r>
        <w:rPr>
          <w:rFonts w:eastAsia="Times New Roman" w:cs="Times New Roman"/>
          <w:color w:val="000000"/>
        </w:rPr>
        <w:t xml:space="preserve">Corpul de apă subterană RODL10 – Dobrogea de Sud este un corp de apă freatic, de tip poros-permeabil sau fisural, fiind localizat în aluviuni actuale şi subactuale (atribuite Holocenului), în depozite loessoide (Pleistocen superior-Holocen), în loess (Pleistocen mediu-Pleistocen superior), precum şi la limita dintre loessuri/loessoide/argile roşii şi partea </w:t>
      </w:r>
      <w:r>
        <w:rPr>
          <w:rFonts w:eastAsia="Times New Roman" w:cs="Times New Roman"/>
          <w:color w:val="000000"/>
        </w:rPr>
        <w:pgNum/>
      </w:r>
      <w:r>
        <w:rPr>
          <w:rFonts w:eastAsia="Times New Roman" w:cs="Times New Roman"/>
          <w:color w:val="000000"/>
        </w:rPr>
        <w:t>roblem</w:t>
      </w:r>
      <w:r>
        <w:rPr>
          <w:rFonts w:eastAsia="Times New Roman" w:cs="Times New Roman"/>
          <w:color w:val="000000"/>
        </w:rPr>
        <w:pgNum/>
      </w:r>
      <w:r>
        <w:rPr>
          <w:rFonts w:eastAsia="Times New Roman" w:cs="Times New Roman"/>
          <w:color w:val="000000"/>
        </w:rPr>
        <w:t xml:space="preserve"> a depozitelor sarmaţiene (Formaţiunea de Cotu Văii), badenian-superioare (Formaţiunea de Seimeni) sau cretacic-inferioare. Cea mai mare parte a suprafeţei corpului de apă RODL10 este acoperită de terenuri agricole (83 %).</w:t>
      </w:r>
    </w:p>
    <w:p w14:paraId="0C082913" w14:textId="77777777" w:rsidR="00670FD4" w:rsidRDefault="00670FD4" w:rsidP="00670FD4">
      <w:pPr>
        <w:spacing w:before="0"/>
        <w:ind w:left="426"/>
        <w:rPr>
          <w:rFonts w:eastAsia="Times New Roman" w:cs="Times New Roman"/>
        </w:rPr>
      </w:pPr>
    </w:p>
    <w:p w14:paraId="301C6AB6" w14:textId="77777777" w:rsidR="00670FD4" w:rsidRDefault="00670FD4" w:rsidP="00670FD4">
      <w:pPr>
        <w:spacing w:after="200" w:line="240" w:lineRule="auto"/>
        <w:ind w:left="426" w:firstLine="0"/>
        <w:jc w:val="center"/>
        <w:rPr>
          <w:rFonts w:eastAsia="Times New Roman" w:cs="Times New Roman"/>
        </w:rPr>
      </w:pPr>
      <w:r>
        <w:rPr>
          <w:rFonts w:eastAsia="Times New Roman" w:cs="Times New Roman"/>
          <w:noProof/>
        </w:rPr>
        <w:drawing>
          <wp:inline distT="0" distB="0" distL="0" distR="0" wp14:anchorId="0903F1AB" wp14:editId="775AF413">
            <wp:extent cx="5566968" cy="4085949"/>
            <wp:effectExtent l="0" t="0" r="0" b="0"/>
            <wp:docPr id="2141401976" name="image28.png" descr="C:\Users\Geo\Pictures\harta ape subterane.png"/>
            <wp:cNvGraphicFramePr/>
            <a:graphic xmlns:a="http://schemas.openxmlformats.org/drawingml/2006/main">
              <a:graphicData uri="http://schemas.openxmlformats.org/drawingml/2006/picture">
                <pic:pic xmlns:pic="http://schemas.openxmlformats.org/drawingml/2006/picture">
                  <pic:nvPicPr>
                    <pic:cNvPr id="0" name="image28.png" descr="C:\Users\Geo\Pictures\harta ape subterane.png"/>
                    <pic:cNvPicPr preferRelativeResize="0"/>
                  </pic:nvPicPr>
                  <pic:blipFill>
                    <a:blip r:embed="rId34"/>
                    <a:srcRect/>
                    <a:stretch>
                      <a:fillRect/>
                    </a:stretch>
                  </pic:blipFill>
                  <pic:spPr>
                    <a:xfrm>
                      <a:off x="0" y="0"/>
                      <a:ext cx="5566968" cy="4085949"/>
                    </a:xfrm>
                    <a:prstGeom prst="rect">
                      <a:avLst/>
                    </a:prstGeom>
                    <a:ln/>
                  </pic:spPr>
                </pic:pic>
              </a:graphicData>
            </a:graphic>
          </wp:inline>
        </w:drawing>
      </w:r>
    </w:p>
    <w:p w14:paraId="4D36936B" w14:textId="77777777" w:rsidR="00670FD4" w:rsidRDefault="00670FD4" w:rsidP="00670FD4">
      <w:pPr>
        <w:jc w:val="center"/>
        <w:rPr>
          <w:rFonts w:eastAsia="Times New Roman" w:cs="Times New Roman"/>
          <w:b/>
        </w:rPr>
      </w:pPr>
      <w:r>
        <w:rPr>
          <w:rFonts w:eastAsia="Times New Roman" w:cs="Times New Roman"/>
          <w:b/>
        </w:rPr>
        <w:t>Fig. 2.4.4.3.1 Harta cu delimitarea corpurilor de apa subterana administrate de Administrația Bazinală de apă Dobrogea-Litoral (</w:t>
      </w:r>
      <w:r>
        <w:rPr>
          <w:rFonts w:eastAsia="Times New Roman" w:cs="Times New Roman"/>
          <w:b/>
          <w:i/>
        </w:rPr>
        <w:t>sursa: Planului de Management actualizat al fluviului Dunărea, Deltei Dunării, spațiului hidrografic Dobrogea și apelor costiere (2022-2027)</w:t>
      </w:r>
    </w:p>
    <w:p w14:paraId="41C25EC4" w14:textId="77777777" w:rsidR="00670FD4" w:rsidRDefault="00670FD4" w:rsidP="00670FD4">
      <w:pPr>
        <w:pBdr>
          <w:top w:val="nil"/>
          <w:left w:val="nil"/>
          <w:bottom w:val="nil"/>
          <w:right w:val="nil"/>
          <w:between w:val="nil"/>
        </w:pBdr>
        <w:ind w:firstLine="567"/>
        <w:rPr>
          <w:rFonts w:eastAsia="Times New Roman" w:cs="Times New Roman"/>
          <w:color w:val="000000"/>
        </w:rPr>
      </w:pPr>
    </w:p>
    <w:p w14:paraId="58BA5873" w14:textId="77777777" w:rsidR="00670FD4" w:rsidRDefault="00670FD4" w:rsidP="00670FD4">
      <w:pPr>
        <w:spacing w:before="0"/>
        <w:ind w:firstLine="567"/>
        <w:rPr>
          <w:rFonts w:eastAsia="Times New Roman" w:cs="Times New Roman"/>
        </w:rPr>
      </w:pPr>
      <w:r>
        <w:rPr>
          <w:rFonts w:eastAsia="Times New Roman" w:cs="Times New Roman"/>
        </w:rPr>
        <w:t xml:space="preserve">Conform Planului de Management actualizat al fluviului Dunărea, Deltei Dunării, spațiului hidrografic Dobrogea și apelor costiere (2022-2027), niciunul dintre corpurile de apă subterane nu a fost identificat la risc de neatingere a stării bune, din punct de vedere cantitativ. Totuși, presiunea pe exploatarea apelor subterane pentru diverse folosințe (populație, industrie, zootehnie, etc.) este în creştere, volumele de apă subterană captate în ultimii ani fiind tot mai mari. Această </w:t>
      </w:r>
      <w:r>
        <w:rPr>
          <w:rFonts w:eastAsia="Times New Roman" w:cs="Times New Roman"/>
        </w:rPr>
        <w:pgNum/>
      </w:r>
      <w:r>
        <w:rPr>
          <w:rFonts w:eastAsia="Times New Roman" w:cs="Times New Roman"/>
        </w:rPr>
        <w:t xml:space="preserve">roblem a creșterii volumului de ape subterane exploatat, indusă de creşterea </w:t>
      </w:r>
      <w:r>
        <w:rPr>
          <w:rFonts w:eastAsia="Times New Roman" w:cs="Times New Roman"/>
        </w:rPr>
        <w:lastRenderedPageBreak/>
        <w:t>numărului de utilizatori economici şi schimbarea profilului acestora, precum și creşterea numărului de localităţi dotate cu reţele de distribuţie a apei potabile și cu captări din surse subterane, este amplificată și de factori naturali, în particular seceta, afectând astfel reîncărcarea acviferelor.</w:t>
      </w:r>
    </w:p>
    <w:p w14:paraId="7FE0060C" w14:textId="77777777" w:rsidR="00670FD4" w:rsidRDefault="00670FD4" w:rsidP="00670FD4">
      <w:pPr>
        <w:pStyle w:val="Heading4"/>
      </w:pPr>
      <w:bookmarkStart w:id="76" w:name="_Toc171084839"/>
      <w:r>
        <w:t>2.4.4.4. Calcare și șisturi verzi</w:t>
      </w:r>
      <w:bookmarkEnd w:id="76"/>
    </w:p>
    <w:p w14:paraId="5054E522" w14:textId="77777777" w:rsidR="00670FD4" w:rsidRDefault="00670FD4" w:rsidP="00670FD4">
      <w:pPr>
        <w:spacing w:before="0"/>
        <w:ind w:firstLine="567"/>
        <w:rPr>
          <w:rFonts w:eastAsia="Times New Roman" w:cs="Times New Roman"/>
          <w:color w:val="000000"/>
        </w:rPr>
      </w:pPr>
      <w:r>
        <w:rPr>
          <w:rFonts w:eastAsia="Times New Roman" w:cs="Times New Roman"/>
          <w:color w:val="000000"/>
        </w:rPr>
        <w:t xml:space="preserve">În partea central-sudică a zonei costiere, resursele subsolului sunt reprezentate și de substanțe și roci utile și materiale de construcții: calcar la Techirghiol și Corbu, șisturi verzi și cuarțite la Istria și Mihai Viteazu. Dintre acestea, doar calcarul este în prezent exploatat, în zona costieră existând în 2021 două perimetre de exploatare a calcarului industrial și de construcții localizate în Corbu și Luminița-Tasaul. </w:t>
      </w:r>
    </w:p>
    <w:p w14:paraId="63E71D0B" w14:textId="77777777" w:rsidR="00670FD4" w:rsidRDefault="00670FD4" w:rsidP="00670FD4">
      <w:pPr>
        <w:pStyle w:val="Heading4"/>
      </w:pPr>
      <w:bookmarkStart w:id="77" w:name="_Toc171084840"/>
      <w:r>
        <w:t>2.4.4.5 Nisip</w:t>
      </w:r>
      <w:bookmarkEnd w:id="77"/>
    </w:p>
    <w:p w14:paraId="34522B14" w14:textId="77777777" w:rsidR="00670FD4" w:rsidRDefault="00670FD4" w:rsidP="00670FD4">
      <w:pPr>
        <w:spacing w:before="0"/>
        <w:ind w:firstLine="567"/>
        <w:rPr>
          <w:rFonts w:eastAsia="Times New Roman" w:cs="Times New Roman"/>
          <w:color w:val="222222"/>
        </w:rPr>
      </w:pPr>
      <w:r>
        <w:rPr>
          <w:rFonts w:eastAsia="Times New Roman" w:cs="Times New Roman"/>
          <w:color w:val="000000"/>
        </w:rPr>
        <w:t xml:space="preserve">Nisipul din mare este, cu precădere, folosit în lucrările de protecție contra eroziunii costiere pentru </w:t>
      </w:r>
      <w:sdt>
        <w:sdtPr>
          <w:tag w:val="goog_rdk_37"/>
          <w:id w:val="1905025672"/>
        </w:sdtPr>
        <w:sdtContent>
          <w:r>
            <w:rPr>
              <w:rFonts w:eastAsia="Times New Roman" w:cs="Times New Roman"/>
              <w:color w:val="000000"/>
            </w:rPr>
            <w:t>înnisiparea</w:t>
          </w:r>
        </w:sdtContent>
      </w:sdt>
      <w:r>
        <w:rPr>
          <w:rFonts w:eastAsia="Times New Roman" w:cs="Times New Roman"/>
          <w:color w:val="000000"/>
        </w:rPr>
        <w:t xml:space="preserve"> artificială a plajelor. În cadrul proiectului de interes național </w:t>
      </w:r>
      <w:r>
        <w:rPr>
          <w:rFonts w:eastAsia="Times New Roman" w:cs="Times New Roman"/>
          <w:color w:val="222222"/>
          <w:highlight w:val="white"/>
        </w:rPr>
        <w:t>„Protecţia şi reabilitarea părţii sudice a litoralului românesc al Mării Negre în zona Mamaia Sud, Tomis Nord, Tomis Centru, Tomis Sud, Eforie Nord”</w:t>
      </w:r>
      <w:r>
        <w:rPr>
          <w:rFonts w:eastAsia="Times New Roman" w:cs="Times New Roman"/>
          <w:color w:val="000000"/>
        </w:rPr>
        <w:t xml:space="preserve">, au fost acordate permise de exploatare a nisipului (perioada 2015-2016) către compania Van Oord </w:t>
      </w:r>
      <w:r>
        <w:rPr>
          <w:rFonts w:eastAsia="Times New Roman" w:cs="Times New Roman"/>
          <w:color w:val="222222"/>
          <w:highlight w:val="white"/>
        </w:rPr>
        <w:t>Dredging and Marine Contractors BV Rotterdam</w:t>
      </w:r>
      <w:r>
        <w:rPr>
          <w:rFonts w:eastAsia="Times New Roman" w:cs="Times New Roman"/>
          <w:color w:val="000000"/>
        </w:rPr>
        <w:t xml:space="preserve"> în trei perimetre (Van Oord 1, Van Oord 2 și Van Oord 3), pentru un volum de 7.800.000 m</w:t>
      </w:r>
      <w:r>
        <w:rPr>
          <w:rFonts w:eastAsia="Times New Roman" w:cs="Times New Roman"/>
          <w:color w:val="000000"/>
          <w:vertAlign w:val="superscript"/>
        </w:rPr>
        <w:t>3</w:t>
      </w:r>
      <w:r>
        <w:rPr>
          <w:rFonts w:eastAsia="Times New Roman" w:cs="Times New Roman"/>
          <w:color w:val="000000"/>
        </w:rPr>
        <w:t xml:space="preserve">. În prezent, sunt valabile trei permise de exploatare a nisipului din Marea neagră, deținute tot de Van Oord </w:t>
      </w:r>
      <w:r>
        <w:rPr>
          <w:rFonts w:eastAsia="Times New Roman" w:cs="Times New Roman"/>
          <w:color w:val="222222"/>
          <w:highlight w:val="white"/>
        </w:rPr>
        <w:t>Dredging and Marine Contractors BV Rotterdam (</w:t>
      </w:r>
      <w:hyperlink r:id="rId35">
        <w:r>
          <w:rPr>
            <w:rFonts w:eastAsia="Times New Roman" w:cs="Times New Roman"/>
            <w:color w:val="0000FF"/>
            <w:highlight w:val="white"/>
            <w:u w:val="single"/>
          </w:rPr>
          <w:t>https://www.namr.ro/wp-content/uploads/2023/03/permise_exploatare_14_03_2023.pdf</w:t>
        </w:r>
      </w:hyperlink>
      <w:r>
        <w:rPr>
          <w:rFonts w:eastAsia="Times New Roman" w:cs="Times New Roman"/>
          <w:color w:val="222222"/>
          <w:highlight w:val="white"/>
        </w:rPr>
        <w:t>).</w:t>
      </w:r>
    </w:p>
    <w:p w14:paraId="4F4B7050" w14:textId="77777777" w:rsidR="00670FD4" w:rsidRDefault="00670FD4" w:rsidP="00670FD4">
      <w:pPr>
        <w:spacing w:before="0"/>
        <w:ind w:firstLine="567"/>
        <w:rPr>
          <w:rFonts w:eastAsia="Times New Roman" w:cs="Times New Roman"/>
        </w:rPr>
      </w:pPr>
      <w:r>
        <w:rPr>
          <w:rFonts w:eastAsia="Times New Roman" w:cs="Times New Roman"/>
        </w:rPr>
        <w:t>În cazul acestei resurse nu se pune problema nesustenabilității exploatării, deoarece extragerea nisipului se face, în prezent, doar în scopul protecției contra eroziunii, prin lărgirea plajelor prin înnisipare, activitate realizată doar ocazional.</w:t>
      </w:r>
    </w:p>
    <w:p w14:paraId="1C2082EF" w14:textId="77777777" w:rsidR="00670FD4" w:rsidRDefault="00670FD4" w:rsidP="00670FD4">
      <w:pPr>
        <w:pStyle w:val="Heading4"/>
      </w:pPr>
      <w:bookmarkStart w:id="78" w:name="_Toc171084841"/>
      <w:r>
        <w:t>2.4.4.6 Nămol sapropelic</w:t>
      </w:r>
      <w:bookmarkEnd w:id="78"/>
    </w:p>
    <w:p w14:paraId="264BC472" w14:textId="77777777" w:rsidR="00670FD4" w:rsidRDefault="00670FD4" w:rsidP="00670FD4">
      <w:pPr>
        <w:spacing w:before="0"/>
        <w:ind w:firstLine="567"/>
        <w:rPr>
          <w:rFonts w:eastAsia="Times New Roman" w:cs="Times New Roman"/>
        </w:rPr>
      </w:pPr>
      <w:r>
        <w:rPr>
          <w:rFonts w:eastAsia="Times New Roman" w:cs="Times New Roman"/>
        </w:rPr>
        <w:t>Unul dintre factorii de dezvoltare ai UAT Techirghiol este nămolul sapropelic, resursa naturală din lacul cu același nume. Nămolul se află sub formă sedimentată pe fundul lacului, în anumite zone ale acestuia pe o arie totală de aproximativ 98 ha, într-un strat cu o grosime de circa 0,6 m (conform Strategia Integrată de Dezvoltare Urbană a orașului Techirghiol pentru perioada 2021-2027).</w:t>
      </w:r>
      <w:r>
        <w:t xml:space="preserve"> </w:t>
      </w:r>
      <w:r>
        <w:rPr>
          <w:rFonts w:eastAsia="Times New Roman" w:cs="Times New Roman"/>
        </w:rPr>
        <w:t xml:space="preserve">Principalele probleme referitoare la resursa de nămol din lacul Techirghiol sunt legate, pe de o parte, de pericolul contaminǎrii microbiologice, din cauza proximitǎții activității turistice, modificǎrilor hidrologice şi a deficiențelor în colectarea apelor uzate și a celor meteorice, iar pe de altǎ parte, de pierderea diversitǎții şi afectarea principalelor specii ce contribuie la formarea sapropelului, amplificată de efectele schimbărilor climatice. </w:t>
      </w:r>
    </w:p>
    <w:p w14:paraId="43BC170A" w14:textId="77777777" w:rsidR="00670FD4" w:rsidRDefault="00670FD4" w:rsidP="00670FD4">
      <w:pPr>
        <w:spacing w:before="0"/>
        <w:ind w:firstLine="567"/>
        <w:rPr>
          <w:rFonts w:eastAsia="Times New Roman" w:cs="Times New Roman"/>
        </w:rPr>
      </w:pPr>
      <w:r>
        <w:rPr>
          <w:rFonts w:eastAsia="Times New Roman" w:cs="Times New Roman"/>
        </w:rPr>
        <w:t>În aceste condiții, exploatarea nǎmolului, concesionatǎ în prezent mai multor firme, trebuie monitorizatǎ cu atenție, pentru evitarea riscurilor de supraexploatare şi/sau scǎdere a calitǎții acestuia. În prezent, sunt active două licențe de exploatare a nămolului terapeutic (în perimetrele Techirghiol Gughis și Lacul Techirghiol Est) și două licențe de exploatare a nămolului sapropelic (în perimetrele Techirghiol-lac-SBRT și Delta).</w:t>
      </w:r>
    </w:p>
    <w:p w14:paraId="21CCBB5E" w14:textId="77777777" w:rsidR="00670FD4" w:rsidRDefault="00670FD4" w:rsidP="00670FD4">
      <w:pPr>
        <w:pStyle w:val="Heading4"/>
      </w:pPr>
      <w:bookmarkStart w:id="79" w:name="_Toc171084842"/>
      <w:r>
        <w:lastRenderedPageBreak/>
        <w:t>2.4.4.7 Ape mezotermale sulfuroase</w:t>
      </w:r>
      <w:bookmarkEnd w:id="79"/>
    </w:p>
    <w:p w14:paraId="463CCBBB" w14:textId="77777777" w:rsidR="00670FD4" w:rsidRDefault="00670FD4" w:rsidP="00670FD4">
      <w:pPr>
        <w:spacing w:before="0"/>
        <w:ind w:firstLine="567"/>
        <w:rPr>
          <w:rFonts w:eastAsia="Times New Roman" w:cs="Times New Roman"/>
          <w:color w:val="000000"/>
        </w:rPr>
      </w:pPr>
      <w:bookmarkStart w:id="80" w:name="_heading=h.2et92p0" w:colFirst="0" w:colLast="0"/>
      <w:bookmarkEnd w:id="80"/>
      <w:r>
        <w:rPr>
          <w:rFonts w:eastAsia="Times New Roman" w:cs="Times New Roman"/>
          <w:color w:val="000000"/>
        </w:rPr>
        <w:t xml:space="preserve">Zăcământul de apă mezotermală sulfuroasă existent în zona Costinești-Mangalia este cantonat în roci calcaroase de vârstă eocenă, cretacică, jurasică și paleozoică. În prezent (2023) sunt active (fie în vigoare, fie în aprobare) 4 licențe de exploatare pentru ape minerale terapeutice. </w:t>
      </w:r>
      <w:r>
        <w:rPr>
          <w:rFonts w:eastAsia="Times New Roman" w:cs="Times New Roman"/>
        </w:rPr>
        <w:t>Fiind o resursă regenerabilă, nu se pune, în prezent, problema nesustenabilității exploatării acesteia.</w:t>
      </w:r>
    </w:p>
    <w:p w14:paraId="2560A2D2" w14:textId="77777777" w:rsidR="00670FD4" w:rsidRDefault="00670FD4" w:rsidP="00670FD4">
      <w:pPr>
        <w:pStyle w:val="Heading3"/>
      </w:pPr>
      <w:bookmarkStart w:id="81" w:name="_Toc150501467"/>
      <w:bookmarkStart w:id="82" w:name="_Toc171084843"/>
      <w:r>
        <w:t>2.4.5 Patrimoniul cultural</w:t>
      </w:r>
      <w:bookmarkEnd w:id="81"/>
      <w:bookmarkEnd w:id="82"/>
    </w:p>
    <w:p w14:paraId="07531C9F" w14:textId="77777777" w:rsidR="00670FD4" w:rsidRDefault="00670FD4" w:rsidP="00670FD4">
      <w:pPr>
        <w:spacing w:before="0"/>
        <w:ind w:firstLine="567"/>
        <w:rPr>
          <w:rFonts w:eastAsia="Times New Roman" w:cs="Times New Roman"/>
        </w:rPr>
      </w:pPr>
      <w:r>
        <w:rPr>
          <w:rFonts w:eastAsia="Times New Roman" w:cs="Times New Roman"/>
        </w:rPr>
        <w:t>Pe teritoriul zonei costiere românești au fost identificate și clasate în Lista Monumentelor Istorice (LMI) din România 426 de monumente, ansambluri și situri terestre, dintre care 297 în județul Constanța și 129 în județul Tulcea. Alături de acestea, în LMI este clasat și Situl arheologic subacvatic situat pe platforma continentală românească a Mării Negre, aparținând atât județului Constanța, cât și județului Tulcea. Situl arheologic subacvatic cuprinde vestigii arheologice subacvatice din perioadele greacă arhaica, clasică și elenistică, romană, romano-bizantină, medievală și modernă.</w:t>
      </w:r>
    </w:p>
    <w:p w14:paraId="1A7DBA6F" w14:textId="77777777" w:rsidR="00670FD4" w:rsidRDefault="00670FD4" w:rsidP="00670FD4">
      <w:pPr>
        <w:spacing w:before="0"/>
        <w:ind w:firstLine="567"/>
        <w:rPr>
          <w:rFonts w:eastAsia="Times New Roman" w:cs="Times New Roman"/>
        </w:rPr>
      </w:pPr>
      <w:r>
        <w:rPr>
          <w:rFonts w:eastAsia="Times New Roman" w:cs="Times New Roman"/>
        </w:rPr>
        <w:t>Conform Legii 422/2001 privind protejarea monumentelor istorice cu modificările ulterioare și OM nr. 2260/2008 privind Normele metodologice de clasare și inventariere a monumentelor istorice cu modificările ulterioare, patrimonial cultural imobil este clasificat în patru categorii: arheologic, de arhitectură, de for public, memorial și funerar și în două grupe valorice, respectiv grupa A - monumente de valoare națională și internațională și grupa B - monumente de valoare locală.</w:t>
      </w:r>
    </w:p>
    <w:p w14:paraId="6465F06A" w14:textId="77777777" w:rsidR="00670FD4" w:rsidRDefault="00670FD4" w:rsidP="00670FD4">
      <w:pPr>
        <w:spacing w:before="0"/>
        <w:ind w:firstLine="567"/>
        <w:rPr>
          <w:rFonts w:eastAsia="Times New Roman" w:cs="Times New Roman"/>
        </w:rPr>
      </w:pPr>
      <w:r>
        <w:rPr>
          <w:rFonts w:eastAsia="Times New Roman" w:cs="Times New Roman"/>
        </w:rPr>
        <w:t>Repartiția monumentelor istorice clasate în UAT-urile din partea nordică a zonei costiere (județul Tulcea)este următoarea:</w:t>
      </w:r>
    </w:p>
    <w:p w14:paraId="35C50646" w14:textId="77777777" w:rsidR="00670FD4" w:rsidRDefault="00670FD4" w:rsidP="00670FD4">
      <w:pPr>
        <w:spacing w:before="0"/>
        <w:ind w:firstLine="567"/>
        <w:rPr>
          <w:rFonts w:eastAsia="Times New Roman" w:cs="Times New Roman"/>
        </w:rPr>
      </w:pPr>
      <w:r>
        <w:rPr>
          <w:rFonts w:eastAsia="Times New Roman" w:cs="Times New Roman"/>
        </w:rPr>
        <w:t>- com. C.A.Rosetti – 1 sit arheologic, grupă valorică B;</w:t>
      </w:r>
    </w:p>
    <w:p w14:paraId="628E7741" w14:textId="77777777" w:rsidR="00670FD4" w:rsidRDefault="00670FD4" w:rsidP="00670FD4">
      <w:pPr>
        <w:spacing w:before="0"/>
        <w:ind w:firstLine="567"/>
        <w:rPr>
          <w:rFonts w:eastAsia="Times New Roman" w:cs="Times New Roman"/>
        </w:rPr>
      </w:pPr>
      <w:r>
        <w:rPr>
          <w:rFonts w:eastAsia="Times New Roman" w:cs="Times New Roman"/>
        </w:rPr>
        <w:t>- oraș Sulina – 64 poziții în total, dintre care un sit arheologic clasat în grupa valorică A; 59 monumente, ansambluri și situri de arhitectură, dintre care 2 situri urbane și 5 ansambluri de arhitectură, 17 clasate în grupa valorică A și 42 în grupa valorică B; 5 situri funerare grupa valorică A;</w:t>
      </w:r>
    </w:p>
    <w:p w14:paraId="0E81F1ED" w14:textId="77777777" w:rsidR="00670FD4" w:rsidRDefault="00670FD4" w:rsidP="00670FD4">
      <w:pPr>
        <w:spacing w:before="0"/>
        <w:ind w:firstLine="567"/>
        <w:rPr>
          <w:rFonts w:eastAsia="Times New Roman" w:cs="Times New Roman"/>
        </w:rPr>
      </w:pPr>
      <w:r>
        <w:rPr>
          <w:rFonts w:eastAsia="Times New Roman" w:cs="Times New Roman"/>
        </w:rPr>
        <w:t>- com. Murighiol – 29 monumente și situri arheologice, dintre care 7 clasate în grupa valorică A și 22 în grupa valorică B;</w:t>
      </w:r>
    </w:p>
    <w:p w14:paraId="2A2AC77F" w14:textId="77777777" w:rsidR="00670FD4" w:rsidRDefault="00670FD4" w:rsidP="00670FD4">
      <w:pPr>
        <w:spacing w:before="0"/>
        <w:ind w:firstLine="567"/>
        <w:rPr>
          <w:rFonts w:eastAsia="Times New Roman" w:cs="Times New Roman"/>
        </w:rPr>
      </w:pPr>
      <w:r>
        <w:rPr>
          <w:rFonts w:eastAsia="Times New Roman" w:cs="Times New Roman"/>
        </w:rPr>
        <w:t>- com. Jurilovca – 35 monumente și situri arheologice, dintre care 8 clasate în grupa valorică A și 27 în grupa valorică B;</w:t>
      </w:r>
    </w:p>
    <w:p w14:paraId="46342808" w14:textId="77777777" w:rsidR="00670FD4" w:rsidRDefault="00670FD4" w:rsidP="00670FD4">
      <w:pPr>
        <w:spacing w:before="0"/>
        <w:ind w:firstLine="567"/>
        <w:rPr>
          <w:rFonts w:eastAsia="Times New Roman" w:cs="Times New Roman"/>
        </w:rPr>
      </w:pPr>
      <w:r>
        <w:rPr>
          <w:rFonts w:eastAsia="Times New Roman" w:cs="Times New Roman"/>
        </w:rPr>
        <w:t>Repartiția monumentelor istorice clasate în partea sudică a zonei costiere (județul Constanța) este următoarea:</w:t>
      </w:r>
    </w:p>
    <w:p w14:paraId="59F08D07" w14:textId="77777777" w:rsidR="00670FD4" w:rsidRDefault="00670FD4" w:rsidP="00670FD4">
      <w:pPr>
        <w:spacing w:before="0"/>
        <w:ind w:firstLine="567"/>
        <w:rPr>
          <w:rFonts w:eastAsia="Times New Roman" w:cs="Times New Roman"/>
        </w:rPr>
      </w:pPr>
      <w:r>
        <w:rPr>
          <w:rFonts w:eastAsia="Times New Roman" w:cs="Times New Roman"/>
        </w:rPr>
        <w:t>- com. Mihai Viteazu – 6 monumente și situri arheologice, dintre care 1 clasat în grupa valorică A și 5 în grupa valorică B;</w:t>
      </w:r>
    </w:p>
    <w:p w14:paraId="7C5F2260" w14:textId="77777777" w:rsidR="00670FD4" w:rsidRDefault="00670FD4" w:rsidP="00670FD4">
      <w:pPr>
        <w:spacing w:before="0"/>
        <w:ind w:firstLine="567"/>
        <w:rPr>
          <w:rFonts w:eastAsia="Times New Roman" w:cs="Times New Roman"/>
        </w:rPr>
      </w:pPr>
      <w:r>
        <w:rPr>
          <w:rFonts w:eastAsia="Times New Roman" w:cs="Times New Roman"/>
        </w:rPr>
        <w:t>- com. Istria - 23 monumente, dintre care 22 arheologice, 7 fiind clasate în grupa valorică A, 15 în grupa valorică B și 1 monument de arhitectură, grupa valorică A;</w:t>
      </w:r>
    </w:p>
    <w:p w14:paraId="68B6BF19" w14:textId="77777777" w:rsidR="00670FD4" w:rsidRDefault="00670FD4" w:rsidP="00670FD4">
      <w:pPr>
        <w:spacing w:before="0"/>
        <w:ind w:firstLine="567"/>
        <w:rPr>
          <w:rFonts w:eastAsia="Times New Roman" w:cs="Times New Roman"/>
        </w:rPr>
      </w:pPr>
      <w:r>
        <w:rPr>
          <w:rFonts w:eastAsia="Times New Roman" w:cs="Times New Roman"/>
        </w:rPr>
        <w:lastRenderedPageBreak/>
        <w:t>- com. Săcele – 6 monumente și situri arheologice, dintre care 1 clasat în grupa valorică A și 5 în grupa valorică B;</w:t>
      </w:r>
    </w:p>
    <w:p w14:paraId="45CE1698" w14:textId="77777777" w:rsidR="00670FD4" w:rsidRDefault="00670FD4" w:rsidP="00670FD4">
      <w:pPr>
        <w:spacing w:before="0"/>
        <w:ind w:firstLine="567"/>
        <w:rPr>
          <w:rFonts w:eastAsia="Times New Roman" w:cs="Times New Roman"/>
        </w:rPr>
      </w:pPr>
      <w:r>
        <w:rPr>
          <w:rFonts w:eastAsia="Times New Roman" w:cs="Times New Roman"/>
        </w:rPr>
        <w:t>- com. Corbu – 22 monumente și situri arheologice, dintre care 1 clasat în grupa valorică A și 21 în grupa valorică B;</w:t>
      </w:r>
    </w:p>
    <w:p w14:paraId="0E45B05F" w14:textId="77777777" w:rsidR="00670FD4" w:rsidRDefault="00670FD4" w:rsidP="00670FD4">
      <w:pPr>
        <w:spacing w:before="0"/>
        <w:ind w:firstLine="567"/>
        <w:rPr>
          <w:rFonts w:eastAsia="Times New Roman" w:cs="Times New Roman"/>
        </w:rPr>
      </w:pPr>
      <w:r>
        <w:rPr>
          <w:rFonts w:eastAsia="Times New Roman" w:cs="Times New Roman"/>
        </w:rPr>
        <w:t>- oraș Năvodari - 2 situri arheologice clasate în grupa valorică B;</w:t>
      </w:r>
    </w:p>
    <w:p w14:paraId="228BD640" w14:textId="77777777" w:rsidR="00670FD4" w:rsidRDefault="00670FD4" w:rsidP="00670FD4">
      <w:pPr>
        <w:spacing w:before="0"/>
        <w:ind w:firstLine="567"/>
        <w:rPr>
          <w:rFonts w:eastAsia="Times New Roman" w:cs="Times New Roman"/>
        </w:rPr>
      </w:pPr>
      <w:r>
        <w:rPr>
          <w:rFonts w:eastAsia="Times New Roman" w:cs="Times New Roman"/>
        </w:rPr>
        <w:t>- mun. Constanța – 159 monumente, ansambluri și situri dintre care 27 arheologice, 24 în grupa valorică A și 3 în grupa valorică B; 98 de arhitectură, dintre care 30 în grupa valorică A și 68 în grupa valorică B; 34 de artă plastică, dintre care 3 în grupa valorică A și 31 în grupa valorică B;</w:t>
      </w:r>
    </w:p>
    <w:p w14:paraId="69A70F64" w14:textId="77777777" w:rsidR="00670FD4" w:rsidRDefault="00670FD4" w:rsidP="00670FD4">
      <w:pPr>
        <w:spacing w:before="0"/>
        <w:ind w:firstLine="567"/>
        <w:rPr>
          <w:rFonts w:eastAsia="Times New Roman" w:cs="Times New Roman"/>
        </w:rPr>
      </w:pPr>
      <w:r>
        <w:rPr>
          <w:rFonts w:eastAsia="Times New Roman" w:cs="Times New Roman"/>
        </w:rPr>
        <w:t xml:space="preserve">- com. Agigea - 11 monumente și situri arheologice, dintre care 1 clasat în grupa valorică A și 10 în grupa valorică B; </w:t>
      </w:r>
    </w:p>
    <w:p w14:paraId="49066DBB" w14:textId="77777777" w:rsidR="00670FD4" w:rsidRDefault="00670FD4" w:rsidP="00670FD4">
      <w:pPr>
        <w:spacing w:before="0"/>
        <w:ind w:firstLine="567"/>
        <w:rPr>
          <w:rFonts w:eastAsia="Times New Roman" w:cs="Times New Roman"/>
        </w:rPr>
      </w:pPr>
      <w:r>
        <w:rPr>
          <w:rFonts w:eastAsia="Times New Roman" w:cs="Times New Roman"/>
        </w:rPr>
        <w:t>- oraș Techirghiol – 9 monumente și situri, dintre care 7 arheologice, grupa valorică B, 1 de arhitectură, grupa valorică A, 1 monument memorial, grupa valorică B;</w:t>
      </w:r>
    </w:p>
    <w:p w14:paraId="16AC892F" w14:textId="77777777" w:rsidR="00670FD4" w:rsidRDefault="00670FD4" w:rsidP="00670FD4">
      <w:pPr>
        <w:spacing w:before="0"/>
        <w:ind w:firstLine="567"/>
        <w:rPr>
          <w:rFonts w:eastAsia="Times New Roman" w:cs="Times New Roman"/>
        </w:rPr>
      </w:pPr>
      <w:r>
        <w:rPr>
          <w:rFonts w:eastAsia="Times New Roman" w:cs="Times New Roman"/>
        </w:rPr>
        <w:t>- oraș Eforie Nord – 3 monumente de artă plastică, dintre care 1 clasat în grupa valorică A și 2 în grupa valorică B;</w:t>
      </w:r>
    </w:p>
    <w:p w14:paraId="74179947" w14:textId="77777777" w:rsidR="00670FD4" w:rsidRDefault="00670FD4" w:rsidP="00670FD4">
      <w:pPr>
        <w:spacing w:before="0"/>
        <w:ind w:firstLine="567"/>
        <w:rPr>
          <w:rFonts w:eastAsia="Times New Roman" w:cs="Times New Roman"/>
        </w:rPr>
      </w:pPr>
      <w:r>
        <w:rPr>
          <w:rFonts w:eastAsia="Times New Roman" w:cs="Times New Roman"/>
        </w:rPr>
        <w:t>- oraș Eforie Sud – 5 monumente și situri dintre care 3 arheologice și 2 de artă plastică, grupa valorică B;</w:t>
      </w:r>
    </w:p>
    <w:p w14:paraId="48602464" w14:textId="77777777" w:rsidR="00670FD4" w:rsidRDefault="00670FD4" w:rsidP="00670FD4">
      <w:pPr>
        <w:spacing w:before="0"/>
        <w:ind w:firstLine="567"/>
        <w:rPr>
          <w:rFonts w:eastAsia="Times New Roman" w:cs="Times New Roman"/>
        </w:rPr>
      </w:pPr>
      <w:r>
        <w:rPr>
          <w:rFonts w:eastAsia="Times New Roman" w:cs="Times New Roman"/>
        </w:rPr>
        <w:t>- com. Tuzla – 10 monumente și situri arheologice, grupa valorică B;</w:t>
      </w:r>
    </w:p>
    <w:p w14:paraId="2B60E3E0" w14:textId="77777777" w:rsidR="00670FD4" w:rsidRDefault="00670FD4" w:rsidP="00670FD4">
      <w:pPr>
        <w:spacing w:before="0"/>
        <w:ind w:firstLine="567"/>
        <w:rPr>
          <w:rFonts w:eastAsia="Times New Roman" w:cs="Times New Roman"/>
        </w:rPr>
      </w:pPr>
      <w:r>
        <w:rPr>
          <w:rFonts w:eastAsia="Times New Roman" w:cs="Times New Roman"/>
        </w:rPr>
        <w:t>- com. Costinești - 8 monumente și situri arheologice, grupa valorică B;</w:t>
      </w:r>
    </w:p>
    <w:p w14:paraId="3F12D028" w14:textId="77777777" w:rsidR="00670FD4" w:rsidRDefault="00670FD4" w:rsidP="00670FD4">
      <w:pPr>
        <w:spacing w:before="0"/>
        <w:ind w:firstLine="567"/>
        <w:rPr>
          <w:rFonts w:eastAsia="Times New Roman" w:cs="Times New Roman"/>
        </w:rPr>
      </w:pPr>
      <w:r>
        <w:rPr>
          <w:rFonts w:eastAsia="Times New Roman" w:cs="Times New Roman"/>
        </w:rPr>
        <w:t>- com. 23 August - 6 monumente și situri arheologice, grupa valorică B;</w:t>
      </w:r>
    </w:p>
    <w:p w14:paraId="4FC868D2" w14:textId="77777777" w:rsidR="00670FD4" w:rsidRDefault="00670FD4" w:rsidP="00670FD4">
      <w:pPr>
        <w:spacing w:before="0"/>
        <w:ind w:firstLine="567"/>
        <w:rPr>
          <w:rFonts w:eastAsia="Times New Roman" w:cs="Times New Roman"/>
        </w:rPr>
      </w:pPr>
      <w:r>
        <w:rPr>
          <w:rFonts w:eastAsia="Times New Roman" w:cs="Times New Roman"/>
        </w:rPr>
        <w:t>- mun. Mangalia – 22 monumente, ansambluri și situri dintre care 13 arheologice, grupa valorică A; 8 de arhitectură, dintre care 3 clasate în grupa valorică A și 5 în grupa B; 1 monument funerar, grupa valorică A;</w:t>
      </w:r>
    </w:p>
    <w:p w14:paraId="566A1568" w14:textId="77777777" w:rsidR="00670FD4" w:rsidRDefault="00670FD4" w:rsidP="00670FD4">
      <w:pPr>
        <w:spacing w:before="0"/>
        <w:ind w:firstLine="567"/>
        <w:rPr>
          <w:rFonts w:eastAsia="Times New Roman" w:cs="Times New Roman"/>
        </w:rPr>
      </w:pPr>
      <w:r>
        <w:rPr>
          <w:rFonts w:eastAsia="Times New Roman" w:cs="Times New Roman"/>
        </w:rPr>
        <w:t>- com. Limanu - 5 monumente și situri arheologice, din care 1 clasat în grupa valorică A.</w:t>
      </w:r>
    </w:p>
    <w:p w14:paraId="3EC41DCF" w14:textId="77777777" w:rsidR="00670FD4" w:rsidRDefault="00670FD4" w:rsidP="00670FD4">
      <w:pPr>
        <w:spacing w:before="0"/>
        <w:ind w:firstLine="567"/>
        <w:rPr>
          <w:rFonts w:eastAsia="Times New Roman" w:cs="Times New Roman"/>
        </w:rPr>
      </w:pPr>
      <w:r>
        <w:rPr>
          <w:rFonts w:eastAsia="Times New Roman" w:cs="Times New Roman"/>
        </w:rPr>
        <w:t xml:space="preserve">Din categoriile tipologice de monumente, ansambluri și situri clasate se observă că cea mai mare pondere o au monumentele și siturile arheologice, în număr de 214, urmate de cele de arhitectură în număr de 167, apoi 39 de for public și 6 memorial funerare. Din punct de vedere al grupei valorice, monumentele, ansamblurile și situri clasate în LMI sunt înscrise 126 în categoria A (valoare națională, universală) și 300 în categoria B (valoare locală). </w:t>
      </w:r>
    </w:p>
    <w:p w14:paraId="04B85EAD" w14:textId="77777777" w:rsidR="00670FD4" w:rsidRDefault="00670FD4" w:rsidP="00670FD4">
      <w:pPr>
        <w:spacing w:before="0"/>
        <w:ind w:firstLine="567"/>
        <w:rPr>
          <w:rFonts w:eastAsia="Times New Roman" w:cs="Times New Roman"/>
        </w:rPr>
      </w:pPr>
      <w:r>
        <w:rPr>
          <w:rFonts w:eastAsia="Times New Roman" w:cs="Times New Roman"/>
        </w:rPr>
        <w:t>De asemenea, din perspectiva concentrării spațiale a patrimoniului, numărul cel mai mare de monumente se regăsește în mediul urban, în municipiile Constanța și Mangalia, precum și în orașul Sulina, tot aici înregistrându-se și cea mai mare pondere a patrimoniului arhitectural, de for public și memorial-funerar. În ceea ce privește patrimoniul arheologic, acesta predomină în mediul rural, în județul Constanța fiind o concentrare de circa 70%.</w:t>
      </w:r>
    </w:p>
    <w:p w14:paraId="3014C979" w14:textId="77777777" w:rsidR="00670FD4" w:rsidRDefault="00670FD4" w:rsidP="00670FD4">
      <w:pPr>
        <w:spacing w:before="0"/>
        <w:ind w:firstLine="567"/>
        <w:rPr>
          <w:rFonts w:eastAsia="Times New Roman" w:cs="Times New Roman"/>
        </w:rPr>
      </w:pPr>
      <w:r>
        <w:rPr>
          <w:rFonts w:eastAsia="Times New Roman" w:cs="Times New Roman"/>
        </w:rPr>
        <w:t xml:space="preserve">Patrimoniul arheologic din zona costieră este, din păcate, în mare parte neglijat, lipsind măsurile de pază, întreținere, conservare și restaurare, fiind afectat de construcții, uneori necontrolate sau neautorizate și de nerespectarea regulamentelor de urbanism. În ceea ce privește patrimoniul arhitectural și zonele istorice ale localităților, lipsa regulamentelor de </w:t>
      </w:r>
      <w:r>
        <w:rPr>
          <w:rFonts w:eastAsia="Times New Roman" w:cs="Times New Roman"/>
        </w:rPr>
        <w:lastRenderedPageBreak/>
        <w:t>urbanism care să integreze conservarea patrimoniului în dezvoltarea comunităților, în acord cu nevoile de modernizare și adaptare la cerințele actuale, a condus la o degradare continuă reflectată în demolări și transformări excesive ale construcțiilor istorice și modificări ale vechilor țesuturi urbane.</w:t>
      </w:r>
    </w:p>
    <w:p w14:paraId="2881EA65" w14:textId="77777777" w:rsidR="00670FD4" w:rsidRDefault="00670FD4" w:rsidP="00670FD4">
      <w:pPr>
        <w:spacing w:before="0"/>
        <w:ind w:firstLine="567"/>
        <w:rPr>
          <w:rFonts w:eastAsia="Times New Roman" w:cs="Times New Roman"/>
          <w:i/>
        </w:rPr>
      </w:pPr>
      <w:r>
        <w:rPr>
          <w:rFonts w:eastAsia="Times New Roman" w:cs="Times New Roman"/>
          <w:i/>
        </w:rPr>
        <w:t>Patrimoniu cultural subacvatic</w:t>
      </w:r>
    </w:p>
    <w:p w14:paraId="1B09EA74" w14:textId="77777777" w:rsidR="00670FD4" w:rsidRDefault="00670FD4" w:rsidP="00670FD4">
      <w:pPr>
        <w:spacing w:before="0"/>
        <w:ind w:firstLine="567"/>
        <w:rPr>
          <w:rFonts w:eastAsia="Times New Roman" w:cs="Times New Roman"/>
        </w:rPr>
      </w:pPr>
      <w:r>
        <w:rPr>
          <w:rFonts w:eastAsia="Times New Roman" w:cs="Times New Roman"/>
          <w:color w:val="000000"/>
        </w:rPr>
        <w:t>Urmarea firească a cercetărilor și descoperirilor din mediul submers, în vederea protejării sitului arheologic subacvatic din România, a fost clasarea acestuia în Lista Monumentelor Istorice, ca singura măsură posibilă de păstrare și control a acestui patrimoniu insuficient explorat. Protecţia de ansamblu, realizată prin includerea în Lista Monumentelor Istorice din 1991 a platformei continentale a Mării Negre (</w:t>
      </w:r>
      <w:hyperlink r:id="rId36">
        <w:r>
          <w:rPr>
            <w:rFonts w:eastAsia="Times New Roman" w:cs="Times New Roman"/>
            <w:color w:val="1155CC"/>
            <w:u w:val="single"/>
          </w:rPr>
          <w:t>http://www.cultura.ro/sites/default/files/inline-files/LMI-CT.pdf</w:t>
        </w:r>
      </w:hyperlink>
      <w:r>
        <w:rPr>
          <w:rFonts w:eastAsia="Times New Roman" w:cs="Times New Roman"/>
          <w:color w:val="000000"/>
        </w:rPr>
        <w:t>;</w:t>
      </w:r>
      <w:hyperlink r:id="rId37">
        <w:r>
          <w:rPr>
            <w:rFonts w:eastAsia="Times New Roman" w:cs="Times New Roman"/>
            <w:color w:val="1155CC"/>
            <w:u w:val="single"/>
          </w:rPr>
          <w:t>http://www.cultura.ro/sites/default/files/inline-files/LMI-TL.pdf</w:t>
        </w:r>
      </w:hyperlink>
      <w:r>
        <w:rPr>
          <w:rFonts w:eastAsia="Times New Roman" w:cs="Times New Roman"/>
          <w:color w:val="000000"/>
        </w:rPr>
        <w:t>), în limita apelor teritoriale ale României, a impus, ca o necesitate, cercetarea tuturor aspectelor în vederea cunoașterii și promovării acestui patrimoniu. Pe de altă parte, perspectivele evoluţiei amenajării teritoriului cuprinzând mari lucrări de exploatare de petrol și gaze naturale, forări, plantări de conducte, îndiguiri, extinderi ale porturilor determină o nouă atitudine faţă de prezervarea patrimoniului subacvatic cu mare valoare istorică.</w:t>
      </w:r>
    </w:p>
    <w:p w14:paraId="66741BBC" w14:textId="77777777" w:rsidR="00670FD4" w:rsidRDefault="00670FD4" w:rsidP="00670FD4">
      <w:pPr>
        <w:spacing w:before="0"/>
        <w:ind w:firstLine="567"/>
        <w:rPr>
          <w:rFonts w:eastAsia="Times New Roman" w:cs="Times New Roman"/>
        </w:rPr>
      </w:pPr>
      <w:r>
        <w:rPr>
          <w:rFonts w:eastAsia="Times New Roman" w:cs="Times New Roman"/>
        </w:rPr>
        <w:t xml:space="preserve">Programul de cercetare şi inventariere desfășurat în anii '90, intitulat “Cercetarea şi inventarierea patrimoniului istoric maritim şi fluvial (subacvatic şi terestru)”, pornind de la studiile istorice și arheologice coroborate cu investigaţii terestre şi subacvatice, a avut ca scop depistarea, cartografierea şi evaluarea siturilor subacvatice reprezentate de epave, construcţii litorale sau scufundate (porturi, docuri, diguri, faruri, fortificaţii sau limesuri) (Iosipescu și colab., 2013). </w:t>
      </w:r>
    </w:p>
    <w:p w14:paraId="0F58F2F6" w14:textId="77777777" w:rsidR="00670FD4" w:rsidRDefault="00670FD4" w:rsidP="00670FD4">
      <w:pPr>
        <w:ind w:firstLine="567"/>
        <w:rPr>
          <w:rFonts w:eastAsia="Times New Roman" w:cs="Times New Roman"/>
        </w:rPr>
      </w:pPr>
      <w:r w:rsidRPr="00E86513">
        <w:rPr>
          <w:rFonts w:eastAsia="Times New Roman" w:cs="Times New Roman"/>
        </w:rPr>
        <w:t>Prin excelenţă, epavele constituie patrimoniul subacvatic, interesul suscitat de cercetarea lor situându-se pe trei paliere fundamentale: tehnic, funcţional şi social. Datorită importanţei şi interesului ştiinţific suscitat de materialul conţinut şi reprezentat de epave, la care se adaugă caracteristicile specifice, putem spune că această mare categorie a patrimoniului subacvatic se defineşte, înainte de toate, ca un obiect de studiu unic, pentru care se impun în primul rând măsuri de protecție eficiente.</w:t>
      </w:r>
    </w:p>
    <w:p w14:paraId="626D7DEA" w14:textId="77777777" w:rsidR="00670FD4" w:rsidRDefault="00670FD4" w:rsidP="00670FD4">
      <w:pPr>
        <w:ind w:firstLine="0"/>
        <w:rPr>
          <w:rFonts w:eastAsia="Times New Roman" w:cs="Times New Roman"/>
          <w:b/>
          <w:i/>
        </w:rPr>
      </w:pPr>
      <w:r>
        <w:rPr>
          <w:rFonts w:eastAsia="Times New Roman" w:cs="Times New Roman"/>
          <w:b/>
          <w:i/>
          <w:noProof/>
        </w:rPr>
        <w:lastRenderedPageBreak/>
        <w:drawing>
          <wp:inline distT="0" distB="0" distL="0" distR="0" wp14:anchorId="77527DA0" wp14:editId="32AA65BA">
            <wp:extent cx="5495290" cy="7048500"/>
            <wp:effectExtent l="0" t="0" r="0" b="0"/>
            <wp:docPr id="214140197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8"/>
                    <a:srcRect b="6439"/>
                    <a:stretch>
                      <a:fillRect/>
                    </a:stretch>
                  </pic:blipFill>
                  <pic:spPr>
                    <a:xfrm>
                      <a:off x="0" y="0"/>
                      <a:ext cx="5495290" cy="7048500"/>
                    </a:xfrm>
                    <a:prstGeom prst="rect">
                      <a:avLst/>
                    </a:prstGeom>
                    <a:ln/>
                  </pic:spPr>
                </pic:pic>
              </a:graphicData>
            </a:graphic>
          </wp:inline>
        </w:drawing>
      </w:r>
    </w:p>
    <w:p w14:paraId="1D845CD7" w14:textId="77777777" w:rsidR="00670FD4" w:rsidRDefault="00670FD4" w:rsidP="00670FD4">
      <w:pPr>
        <w:spacing w:after="200"/>
        <w:jc w:val="center"/>
        <w:rPr>
          <w:rFonts w:eastAsia="Times New Roman" w:cs="Times New Roman"/>
          <w:b/>
        </w:rPr>
      </w:pPr>
      <w:r>
        <w:rPr>
          <w:rFonts w:eastAsia="Times New Roman" w:cs="Times New Roman"/>
          <w:b/>
        </w:rPr>
        <w:t>Fig. 2.4.5.1 Harta posibilelor puncte de interes pentru patrimoniul subacvatic din vestul Mării Negre</w:t>
      </w:r>
    </w:p>
    <w:p w14:paraId="79EA6DFB" w14:textId="77777777" w:rsidR="00670FD4" w:rsidRDefault="00670FD4" w:rsidP="00670FD4">
      <w:pPr>
        <w:spacing w:after="200"/>
        <w:rPr>
          <w:rFonts w:eastAsia="Times New Roman" w:cs="Times New Roman"/>
          <w:b/>
        </w:rPr>
      </w:pPr>
    </w:p>
    <w:p w14:paraId="318A3A22" w14:textId="77777777" w:rsidR="00670FD4" w:rsidRPr="00903011" w:rsidRDefault="00670FD4" w:rsidP="00670FD4">
      <w:pPr>
        <w:ind w:firstLine="567"/>
        <w:rPr>
          <w:rFonts w:eastAsia="Times New Roman" w:cs="Times New Roman"/>
        </w:rPr>
      </w:pPr>
      <w:r>
        <w:rPr>
          <w:rFonts w:eastAsia="Times New Roman" w:cs="Times New Roman"/>
        </w:rPr>
        <w:t xml:space="preserve">Importante inițiative în domeniu au fost proiectele HERAS –“Submarine Archaeological Heritage in the Western Black Sea Shelf” și ”Western Black Sea Underwater Cultural Tourist Routes”, coordonate de INCD GeoEcoMar. Prin aceste proiecte s-a început dezvoltarea unei baze de date care cuprinde epavele din vestul Mării Negre și a fost realizată o hartă preliminară </w:t>
      </w:r>
      <w:r>
        <w:rPr>
          <w:rFonts w:eastAsia="Times New Roman" w:cs="Times New Roman"/>
        </w:rPr>
        <w:lastRenderedPageBreak/>
        <w:t>a posibilelor situri subacvatice (Fig. 2.4.5.1). Proiectul a produs mai multe materiale și studii, cu un grad mare de utilitate, inclusiv o carte - Heras. Moștenirea arheologică submarină din partea de vest a Mării Negre.</w:t>
      </w:r>
    </w:p>
    <w:p w14:paraId="1EE4FF3F" w14:textId="77777777" w:rsidR="00670FD4" w:rsidRDefault="00670FD4" w:rsidP="00670FD4">
      <w:pPr>
        <w:pStyle w:val="Heading3"/>
      </w:pPr>
      <w:bookmarkStart w:id="83" w:name="_Toc150501468"/>
      <w:bookmarkStart w:id="84" w:name="_Toc171084844"/>
      <w:r>
        <w:t>2.4.6 Peisaj</w:t>
      </w:r>
      <w:bookmarkEnd w:id="83"/>
      <w:bookmarkEnd w:id="84"/>
    </w:p>
    <w:p w14:paraId="5220E602" w14:textId="77777777" w:rsidR="00670FD4" w:rsidRDefault="00670FD4" w:rsidP="00670FD4">
      <w:pPr>
        <w:spacing w:before="0"/>
        <w:ind w:firstLine="709"/>
        <w:rPr>
          <w:rFonts w:eastAsia="Times New Roman" w:cs="Times New Roman"/>
        </w:rPr>
      </w:pPr>
      <w:r>
        <w:rPr>
          <w:rFonts w:eastAsia="Times New Roman" w:cs="Times New Roman"/>
        </w:rPr>
        <w:t>Peisajul zonei costiere reprezintă o resursă esențială pentru derularea activităților economice și creșterea atractivității teritoriale, astfel încât stă la baza bunăstării individuale și sociale, prin asigurarea calității mediului de locuire și a dezvoltării de tip durabil.</w:t>
      </w:r>
    </w:p>
    <w:p w14:paraId="5324B790" w14:textId="77777777" w:rsidR="00670FD4" w:rsidRDefault="00670FD4" w:rsidP="00670FD4">
      <w:pPr>
        <w:spacing w:before="0"/>
        <w:ind w:firstLine="709"/>
        <w:rPr>
          <w:rFonts w:eastAsia="Times New Roman" w:cs="Times New Roman"/>
          <w:color w:val="FF0000"/>
        </w:rPr>
      </w:pPr>
      <w:r>
        <w:rPr>
          <w:rFonts w:eastAsia="Times New Roman" w:cs="Times New Roman"/>
        </w:rPr>
        <w:t>Peisajul constituie subiect al activității de planificare spațială a teritoriului, păstrarea calității caracteristicilor majore ale acestuia făcând obiectul analizelor complexe de fundamentare a planurilor de amenajare a teritoriului la nivel zonal precum și a planurilor de urbanism (PUG, PUZ) și a regulamentelor aferente acestora.</w:t>
      </w:r>
      <w:r>
        <w:rPr>
          <w:rFonts w:eastAsia="Times New Roman" w:cs="Times New Roman"/>
          <w:color w:val="FF0000"/>
        </w:rPr>
        <w:t xml:space="preserve"> </w:t>
      </w:r>
    </w:p>
    <w:p w14:paraId="42A2EB2D" w14:textId="77777777" w:rsidR="00670FD4" w:rsidRDefault="00670FD4" w:rsidP="00670FD4">
      <w:pPr>
        <w:spacing w:before="0"/>
        <w:ind w:firstLine="709"/>
        <w:rPr>
          <w:rFonts w:eastAsia="Times New Roman" w:cs="Times New Roman"/>
        </w:rPr>
      </w:pPr>
      <w:r>
        <w:rPr>
          <w:rFonts w:eastAsia="Times New Roman" w:cs="Times New Roman"/>
        </w:rPr>
        <w:t>Utilizând metodologia pentru “Atlasul peisajelor” (MDLAP 2014), în zona costieră a României s-au delimitat:</w:t>
      </w:r>
    </w:p>
    <w:p w14:paraId="7F24EB58" w14:textId="77777777" w:rsidR="00670FD4" w:rsidRDefault="00670FD4" w:rsidP="00670FD4">
      <w:pPr>
        <w:numPr>
          <w:ilvl w:val="0"/>
          <w:numId w:val="25"/>
        </w:numPr>
        <w:pBdr>
          <w:top w:val="nil"/>
          <w:left w:val="nil"/>
          <w:bottom w:val="nil"/>
          <w:right w:val="nil"/>
          <w:between w:val="nil"/>
        </w:pBdr>
        <w:spacing w:before="0"/>
        <w:ind w:left="1077" w:hanging="357"/>
        <w:rPr>
          <w:rFonts w:eastAsia="Times New Roman" w:cs="Times New Roman"/>
          <w:color w:val="000000"/>
        </w:rPr>
      </w:pPr>
      <w:r>
        <w:rPr>
          <w:rFonts w:eastAsia="Times New Roman" w:cs="Times New Roman"/>
          <w:color w:val="000000"/>
        </w:rPr>
        <w:t>Unitatea de peisaj Dunărea maritimă;</w:t>
      </w:r>
    </w:p>
    <w:p w14:paraId="4665928B" w14:textId="77777777" w:rsidR="00670FD4" w:rsidRDefault="00670FD4" w:rsidP="00670FD4">
      <w:pPr>
        <w:numPr>
          <w:ilvl w:val="0"/>
          <w:numId w:val="25"/>
        </w:numPr>
        <w:pBdr>
          <w:top w:val="nil"/>
          <w:left w:val="nil"/>
          <w:bottom w:val="nil"/>
          <w:right w:val="nil"/>
          <w:between w:val="nil"/>
        </w:pBdr>
        <w:spacing w:before="0"/>
        <w:ind w:left="1077" w:hanging="357"/>
        <w:rPr>
          <w:rFonts w:eastAsia="Times New Roman" w:cs="Times New Roman"/>
          <w:color w:val="000000"/>
        </w:rPr>
      </w:pPr>
      <w:r>
        <w:rPr>
          <w:rFonts w:eastAsia="Times New Roman" w:cs="Times New Roman"/>
          <w:color w:val="000000"/>
        </w:rPr>
        <w:t>Unitatea de peisaj Sinoe;</w:t>
      </w:r>
    </w:p>
    <w:p w14:paraId="41B3B6D6" w14:textId="77777777" w:rsidR="00670FD4" w:rsidRDefault="00670FD4" w:rsidP="00670FD4">
      <w:pPr>
        <w:numPr>
          <w:ilvl w:val="0"/>
          <w:numId w:val="25"/>
        </w:numPr>
        <w:pBdr>
          <w:top w:val="nil"/>
          <w:left w:val="nil"/>
          <w:bottom w:val="nil"/>
          <w:right w:val="nil"/>
          <w:between w:val="nil"/>
        </w:pBdr>
        <w:spacing w:before="0"/>
        <w:ind w:left="1077" w:hanging="357"/>
        <w:rPr>
          <w:rFonts w:eastAsia="Times New Roman" w:cs="Times New Roman"/>
          <w:color w:val="000000"/>
        </w:rPr>
      </w:pPr>
      <w:r>
        <w:rPr>
          <w:rFonts w:eastAsia="Times New Roman" w:cs="Times New Roman"/>
          <w:color w:val="000000"/>
        </w:rPr>
        <w:t>Unitatea de peisaj Constanța</w:t>
      </w:r>
    </w:p>
    <w:p w14:paraId="267A0F81" w14:textId="77777777" w:rsidR="00670FD4" w:rsidRDefault="00670FD4" w:rsidP="00670FD4">
      <w:pPr>
        <w:numPr>
          <w:ilvl w:val="0"/>
          <w:numId w:val="25"/>
        </w:numPr>
        <w:pBdr>
          <w:top w:val="nil"/>
          <w:left w:val="nil"/>
          <w:bottom w:val="nil"/>
          <w:right w:val="nil"/>
          <w:between w:val="nil"/>
        </w:pBdr>
        <w:spacing w:before="0"/>
        <w:ind w:left="1077" w:hanging="357"/>
        <w:rPr>
          <w:rFonts w:eastAsia="Times New Roman" w:cs="Times New Roman"/>
          <w:color w:val="000000"/>
        </w:rPr>
      </w:pPr>
      <w:r>
        <w:rPr>
          <w:rFonts w:eastAsia="Times New Roman" w:cs="Times New Roman"/>
          <w:color w:val="000000"/>
        </w:rPr>
        <w:t>Unitatea de peisaj Litoral (Fig 2.4.6.1).</w:t>
      </w:r>
    </w:p>
    <w:p w14:paraId="33B18096" w14:textId="77777777" w:rsidR="00670FD4" w:rsidRPr="00AE2EAA" w:rsidRDefault="00670FD4" w:rsidP="00670FD4">
      <w:pPr>
        <w:spacing w:before="0"/>
        <w:rPr>
          <w:rFonts w:eastAsia="Times New Roman" w:cs="Times New Roman"/>
        </w:rPr>
      </w:pPr>
      <w:r w:rsidRPr="00AE2EAA">
        <w:rPr>
          <w:rFonts w:eastAsia="Times New Roman" w:cs="Times New Roman"/>
        </w:rPr>
        <w:t>La delimitarea unităților de peisaj au fost utilizate următoarele trei tipuri de limite geografice și de percepție vizuală:</w:t>
      </w:r>
    </w:p>
    <w:p w14:paraId="3B9EC13A" w14:textId="77777777" w:rsidR="00670FD4" w:rsidRPr="00AE2EAA" w:rsidRDefault="00670FD4" w:rsidP="00670FD4">
      <w:pPr>
        <w:pStyle w:val="ListParagraph"/>
        <w:spacing w:before="0"/>
        <w:ind w:left="1077" w:firstLine="0"/>
        <w:contextualSpacing w:val="0"/>
        <w:rPr>
          <w:rFonts w:eastAsia="Times New Roman" w:cs="Times New Roman"/>
        </w:rPr>
      </w:pPr>
      <w:r w:rsidRPr="00AE2EAA">
        <w:rPr>
          <w:rFonts w:eastAsia="Times New Roman" w:cs="Times New Roman"/>
        </w:rPr>
        <w:t>•</w:t>
      </w:r>
      <w:r w:rsidRPr="00AE2EAA">
        <w:rPr>
          <w:rFonts w:eastAsia="Times New Roman" w:cs="Times New Roman"/>
        </w:rPr>
        <w:tab/>
        <w:t>Limite geografice stricte, de tip geomorfologic (faleze abrupte) sau de vegetație (marginea pădurii), ce impun caracteristici diferite de peisaj de la o zonă la alta;</w:t>
      </w:r>
    </w:p>
    <w:p w14:paraId="54679387" w14:textId="77777777" w:rsidR="00670FD4" w:rsidRPr="00AE2EAA" w:rsidRDefault="00670FD4" w:rsidP="00670FD4">
      <w:pPr>
        <w:pStyle w:val="ListParagraph"/>
        <w:spacing w:before="0"/>
        <w:ind w:left="1077" w:firstLine="0"/>
        <w:contextualSpacing w:val="0"/>
        <w:rPr>
          <w:rFonts w:eastAsia="Times New Roman" w:cs="Times New Roman"/>
        </w:rPr>
      </w:pPr>
      <w:r w:rsidRPr="00AE2EAA">
        <w:rPr>
          <w:rFonts w:eastAsia="Times New Roman" w:cs="Times New Roman"/>
        </w:rPr>
        <w:t>•</w:t>
      </w:r>
      <w:r w:rsidRPr="00AE2EAA">
        <w:rPr>
          <w:rFonts w:eastAsia="Times New Roman" w:cs="Times New Roman"/>
        </w:rPr>
        <w:tab/>
        <w:t>Continuitatea vizuală, cu accent pe păstrarea caracteristicilor compacte ale fiecărei zone de peisaj, indiferent de delimitarea administrativă a teritoriului;</w:t>
      </w:r>
    </w:p>
    <w:p w14:paraId="24938A7F" w14:textId="77777777" w:rsidR="00670FD4" w:rsidRPr="00AE2EAA" w:rsidRDefault="00670FD4" w:rsidP="00670FD4">
      <w:pPr>
        <w:pStyle w:val="ListParagraph"/>
        <w:spacing w:before="0"/>
        <w:ind w:left="1077" w:firstLine="0"/>
        <w:contextualSpacing w:val="0"/>
        <w:rPr>
          <w:rFonts w:eastAsia="Times New Roman" w:cs="Times New Roman"/>
        </w:rPr>
      </w:pPr>
      <w:r w:rsidRPr="00AE2EAA">
        <w:rPr>
          <w:rFonts w:eastAsia="Times New Roman" w:cs="Times New Roman"/>
        </w:rPr>
        <w:t>•</w:t>
      </w:r>
      <w:r w:rsidRPr="00AE2EAA">
        <w:rPr>
          <w:rFonts w:eastAsia="Times New Roman" w:cs="Times New Roman"/>
        </w:rPr>
        <w:tab/>
        <w:t>Peisaje de tranziție, cu evidențierea acelor spații de diferite dimensiuni care fac trecerea de la o zonă de peisaj la alta.</w:t>
      </w:r>
    </w:p>
    <w:p w14:paraId="4B34E58E" w14:textId="77777777" w:rsidR="00670FD4" w:rsidRPr="00AE2EAA" w:rsidRDefault="00670FD4" w:rsidP="00670FD4">
      <w:pPr>
        <w:pStyle w:val="ListParagraph"/>
        <w:spacing w:before="0"/>
        <w:ind w:left="0" w:firstLine="567"/>
        <w:contextualSpacing w:val="0"/>
        <w:rPr>
          <w:rFonts w:eastAsia="Times New Roman" w:cs="Times New Roman"/>
        </w:rPr>
      </w:pPr>
      <w:r w:rsidRPr="00AE2EAA">
        <w:rPr>
          <w:rFonts w:eastAsia="Times New Roman" w:cs="Times New Roman"/>
        </w:rPr>
        <w:t xml:space="preserve">Caracteristicile generale ale celor patru unități de peisaj sunt prezentate în Figurile 2.4.6.2 2.4.6.5. </w:t>
      </w:r>
    </w:p>
    <w:p w14:paraId="47575400" w14:textId="77777777" w:rsidR="00670FD4" w:rsidRDefault="00670FD4" w:rsidP="00670FD4">
      <w:pPr>
        <w:pBdr>
          <w:top w:val="nil"/>
          <w:left w:val="nil"/>
          <w:bottom w:val="nil"/>
          <w:right w:val="nil"/>
          <w:between w:val="nil"/>
        </w:pBdr>
        <w:spacing w:before="0"/>
        <w:ind w:left="720" w:firstLine="0"/>
        <w:rPr>
          <w:rFonts w:eastAsia="Times New Roman" w:cs="Times New Roman"/>
          <w:color w:val="000000"/>
        </w:rPr>
      </w:pPr>
    </w:p>
    <w:p w14:paraId="7C3E4E8D" w14:textId="77777777" w:rsidR="00670FD4" w:rsidRDefault="00670FD4" w:rsidP="00670FD4">
      <w:pPr>
        <w:ind w:firstLine="709"/>
        <w:rPr>
          <w:rFonts w:eastAsia="Times New Roman" w:cs="Times New Roman"/>
        </w:rPr>
      </w:pPr>
      <w:r>
        <w:rPr>
          <w:rFonts w:eastAsia="Times New Roman" w:cs="Times New Roman"/>
          <w:b/>
          <w:noProof/>
          <w:color w:val="FF0000"/>
        </w:rPr>
        <w:lastRenderedPageBreak/>
        <w:drawing>
          <wp:inline distT="0" distB="0" distL="0" distR="0" wp14:anchorId="4E0D5B20" wp14:editId="716DAA32">
            <wp:extent cx="3977640" cy="5151120"/>
            <wp:effectExtent l="0" t="0" r="0" b="0"/>
            <wp:docPr id="2141401978" name="image31.png" descr="https://lh7-us.googleusercontent.com/WLG-DYesrLRILvd4SLh5kLQZiRsPx-UPES3rVpewQmZh_TELPQzfYZo1ua9A-_sEpnLQ9bXD9XG3op1o1VID1Es9sAxDyggP-c0jwHZwfgGg6zUGCYaFHjRFvI70tg4nWNCXqKcpIC1a"/>
            <wp:cNvGraphicFramePr/>
            <a:graphic xmlns:a="http://schemas.openxmlformats.org/drawingml/2006/main">
              <a:graphicData uri="http://schemas.openxmlformats.org/drawingml/2006/picture">
                <pic:pic xmlns:pic="http://schemas.openxmlformats.org/drawingml/2006/picture">
                  <pic:nvPicPr>
                    <pic:cNvPr id="0" name="image31.png" descr="https://lh7-us.googleusercontent.com/WLG-DYesrLRILvd4SLh5kLQZiRsPx-UPES3rVpewQmZh_TELPQzfYZo1ua9A-_sEpnLQ9bXD9XG3op1o1VID1Es9sAxDyggP-c0jwHZwfgGg6zUGCYaFHjRFvI70tg4nWNCXqKcpIC1a"/>
                    <pic:cNvPicPr preferRelativeResize="0"/>
                  </pic:nvPicPr>
                  <pic:blipFill>
                    <a:blip r:embed="rId39"/>
                    <a:srcRect/>
                    <a:stretch>
                      <a:fillRect/>
                    </a:stretch>
                  </pic:blipFill>
                  <pic:spPr>
                    <a:xfrm>
                      <a:off x="0" y="0"/>
                      <a:ext cx="3977640" cy="5151120"/>
                    </a:xfrm>
                    <a:prstGeom prst="rect">
                      <a:avLst/>
                    </a:prstGeom>
                    <a:ln/>
                  </pic:spPr>
                </pic:pic>
              </a:graphicData>
            </a:graphic>
          </wp:inline>
        </w:drawing>
      </w:r>
    </w:p>
    <w:p w14:paraId="7D586D28" w14:textId="77777777" w:rsidR="00670FD4" w:rsidRDefault="00670FD4" w:rsidP="00670FD4">
      <w:pPr>
        <w:spacing w:line="240" w:lineRule="auto"/>
        <w:ind w:firstLine="709"/>
        <w:jc w:val="center"/>
        <w:rPr>
          <w:rFonts w:eastAsia="Times New Roman" w:cs="Times New Roman"/>
          <w:b/>
        </w:rPr>
      </w:pPr>
      <w:r>
        <w:rPr>
          <w:rFonts w:eastAsia="Times New Roman" w:cs="Times New Roman"/>
          <w:b/>
        </w:rPr>
        <w:t>Fig 2.4.6.1 Delimitarea unităților de peisaj din zona costieră</w:t>
      </w:r>
    </w:p>
    <w:p w14:paraId="44609423" w14:textId="77777777" w:rsidR="00670FD4" w:rsidRDefault="00670FD4" w:rsidP="00670FD4">
      <w:pPr>
        <w:spacing w:line="240" w:lineRule="auto"/>
        <w:ind w:firstLine="0"/>
        <w:rPr>
          <w:rFonts w:eastAsia="Times New Roman" w:cs="Times New Roman"/>
        </w:rPr>
      </w:pPr>
    </w:p>
    <w:p w14:paraId="481FDF40" w14:textId="77777777" w:rsidR="00670FD4" w:rsidRDefault="00670FD4" w:rsidP="00670FD4">
      <w:pPr>
        <w:spacing w:line="240" w:lineRule="auto"/>
        <w:ind w:firstLine="20"/>
        <w:rPr>
          <w:rFonts w:eastAsia="Times New Roman" w:cs="Times New Roman"/>
        </w:rPr>
      </w:pPr>
      <w:r>
        <w:rPr>
          <w:rFonts w:eastAsia="Times New Roman" w:cs="Times New Roman"/>
          <w:noProof/>
          <w:color w:val="FF0000"/>
        </w:rPr>
        <w:drawing>
          <wp:inline distT="0" distB="0" distL="0" distR="0" wp14:anchorId="17273C9F" wp14:editId="574D6E5C">
            <wp:extent cx="5379720" cy="2354580"/>
            <wp:effectExtent l="0" t="0" r="0" b="0"/>
            <wp:docPr id="2141401979" name="image30.png" descr="https://lh7-us.googleusercontent.com/veAL6j8r8FMoXSbwK7hUFForYvUjC9C_ax7xgxkRDbuGrrtXptIR1CJcqLi-la9S5L0vMwtTEv3PCO4OduFyZRB5ixTn-8HLwbDszJpuWuhpUaJpLWhM5HdHu0KgOu7siWWAW0fwO-3D"/>
            <wp:cNvGraphicFramePr/>
            <a:graphic xmlns:a="http://schemas.openxmlformats.org/drawingml/2006/main">
              <a:graphicData uri="http://schemas.openxmlformats.org/drawingml/2006/picture">
                <pic:pic xmlns:pic="http://schemas.openxmlformats.org/drawingml/2006/picture">
                  <pic:nvPicPr>
                    <pic:cNvPr id="0" name="image30.png" descr="https://lh7-us.googleusercontent.com/veAL6j8r8FMoXSbwK7hUFForYvUjC9C_ax7xgxkRDbuGrrtXptIR1CJcqLi-la9S5L0vMwtTEv3PCO4OduFyZRB5ixTn-8HLwbDszJpuWuhpUaJpLWhM5HdHu0KgOu7siWWAW0fwO-3D"/>
                    <pic:cNvPicPr preferRelativeResize="0"/>
                  </pic:nvPicPr>
                  <pic:blipFill>
                    <a:blip r:embed="rId40"/>
                    <a:srcRect/>
                    <a:stretch>
                      <a:fillRect/>
                    </a:stretch>
                  </pic:blipFill>
                  <pic:spPr>
                    <a:xfrm>
                      <a:off x="0" y="0"/>
                      <a:ext cx="5379720" cy="2354580"/>
                    </a:xfrm>
                    <a:prstGeom prst="rect">
                      <a:avLst/>
                    </a:prstGeom>
                    <a:ln/>
                  </pic:spPr>
                </pic:pic>
              </a:graphicData>
            </a:graphic>
          </wp:inline>
        </w:drawing>
      </w:r>
    </w:p>
    <w:p w14:paraId="09C4809B" w14:textId="77777777" w:rsidR="00670FD4" w:rsidRDefault="00670FD4" w:rsidP="00670FD4">
      <w:pPr>
        <w:spacing w:line="240" w:lineRule="auto"/>
        <w:ind w:firstLine="20"/>
        <w:jc w:val="center"/>
        <w:rPr>
          <w:rFonts w:eastAsia="Times New Roman" w:cs="Times New Roman"/>
          <w:b/>
        </w:rPr>
      </w:pPr>
      <w:r>
        <w:rPr>
          <w:rFonts w:eastAsia="Times New Roman" w:cs="Times New Roman"/>
          <w:b/>
        </w:rPr>
        <w:t>Fig. 2.4.6.2 Caracteristici ale unității de peisaj Dunărea maritimă</w:t>
      </w:r>
    </w:p>
    <w:p w14:paraId="5286726E" w14:textId="77777777" w:rsidR="00670FD4" w:rsidRDefault="00670FD4" w:rsidP="00670FD4">
      <w:pPr>
        <w:spacing w:line="240" w:lineRule="auto"/>
        <w:ind w:firstLine="20"/>
        <w:rPr>
          <w:rFonts w:eastAsia="Times New Roman" w:cs="Times New Roman"/>
        </w:rPr>
      </w:pPr>
      <w:r>
        <w:rPr>
          <w:rFonts w:eastAsia="Times New Roman" w:cs="Times New Roman"/>
          <w:noProof/>
          <w:color w:val="FF0000"/>
        </w:rPr>
        <w:lastRenderedPageBreak/>
        <w:drawing>
          <wp:inline distT="0" distB="0" distL="0" distR="0" wp14:anchorId="508FAE04" wp14:editId="3313AD31">
            <wp:extent cx="5379720" cy="2430780"/>
            <wp:effectExtent l="0" t="0" r="0" b="0"/>
            <wp:docPr id="2141401980" name="image36.png" descr="https://lh7-us.googleusercontent.com/E0hcv7NvZVSI4633QMlnWpO5urebCs4qCAYnHAppSDR24YeRfM25Y5_gd1GHH_W__d1KGndFCznjpXkvXh9Gomz5A0inMuj9hnffovrGoAXmP5EuE5E9LRhBpnNegHVR4h2wN5vr_5MK"/>
            <wp:cNvGraphicFramePr/>
            <a:graphic xmlns:a="http://schemas.openxmlformats.org/drawingml/2006/main">
              <a:graphicData uri="http://schemas.openxmlformats.org/drawingml/2006/picture">
                <pic:pic xmlns:pic="http://schemas.openxmlformats.org/drawingml/2006/picture">
                  <pic:nvPicPr>
                    <pic:cNvPr id="0" name="image36.png" descr="https://lh7-us.googleusercontent.com/E0hcv7NvZVSI4633QMlnWpO5urebCs4qCAYnHAppSDR24YeRfM25Y5_gd1GHH_W__d1KGndFCznjpXkvXh9Gomz5A0inMuj9hnffovrGoAXmP5EuE5E9LRhBpnNegHVR4h2wN5vr_5MK"/>
                    <pic:cNvPicPr preferRelativeResize="0"/>
                  </pic:nvPicPr>
                  <pic:blipFill>
                    <a:blip r:embed="rId41"/>
                    <a:srcRect/>
                    <a:stretch>
                      <a:fillRect/>
                    </a:stretch>
                  </pic:blipFill>
                  <pic:spPr>
                    <a:xfrm>
                      <a:off x="0" y="0"/>
                      <a:ext cx="5379720" cy="2430780"/>
                    </a:xfrm>
                    <a:prstGeom prst="rect">
                      <a:avLst/>
                    </a:prstGeom>
                    <a:ln/>
                  </pic:spPr>
                </pic:pic>
              </a:graphicData>
            </a:graphic>
          </wp:inline>
        </w:drawing>
      </w:r>
    </w:p>
    <w:p w14:paraId="0AE0C1AD" w14:textId="77777777" w:rsidR="00670FD4" w:rsidRDefault="00670FD4" w:rsidP="00670FD4">
      <w:pPr>
        <w:spacing w:line="240" w:lineRule="auto"/>
        <w:ind w:firstLine="20"/>
        <w:jc w:val="center"/>
        <w:rPr>
          <w:rFonts w:eastAsia="Times New Roman" w:cs="Times New Roman"/>
          <w:b/>
        </w:rPr>
      </w:pPr>
      <w:r>
        <w:rPr>
          <w:rFonts w:eastAsia="Times New Roman" w:cs="Times New Roman"/>
          <w:b/>
        </w:rPr>
        <w:t>Fig. 2.4.6.3 Caracteristici ale unității de peisaj Razim – Sinoe</w:t>
      </w:r>
    </w:p>
    <w:p w14:paraId="6B72C9E9" w14:textId="77777777" w:rsidR="00670FD4" w:rsidRDefault="00670FD4" w:rsidP="00670FD4">
      <w:pPr>
        <w:spacing w:line="240" w:lineRule="auto"/>
        <w:ind w:firstLine="20"/>
        <w:jc w:val="center"/>
        <w:rPr>
          <w:rFonts w:eastAsia="Times New Roman" w:cs="Times New Roman"/>
          <w:b/>
        </w:rPr>
      </w:pPr>
    </w:p>
    <w:p w14:paraId="2DB8D519" w14:textId="77777777" w:rsidR="00670FD4" w:rsidRDefault="00670FD4" w:rsidP="00670FD4">
      <w:pPr>
        <w:spacing w:line="240" w:lineRule="auto"/>
        <w:ind w:firstLine="20"/>
        <w:jc w:val="center"/>
        <w:rPr>
          <w:rFonts w:eastAsia="Times New Roman" w:cs="Times New Roman"/>
        </w:rPr>
      </w:pPr>
      <w:r>
        <w:rPr>
          <w:rFonts w:eastAsia="Times New Roman" w:cs="Times New Roman"/>
          <w:noProof/>
          <w:color w:val="FF0000"/>
        </w:rPr>
        <w:drawing>
          <wp:inline distT="0" distB="0" distL="0" distR="0" wp14:anchorId="14E7ED32" wp14:editId="20835A14">
            <wp:extent cx="5379720" cy="2400300"/>
            <wp:effectExtent l="0" t="0" r="0" b="0"/>
            <wp:docPr id="2141401949" name="image13.png" descr="https://lh7-us.googleusercontent.com/tMh6CxKa1JaYeTm041zVpSn7Q1phlCSAjUBQSgS2NsoNLf6o_kVicGddlc-JOHYV0RC867kVg7bqIiIxzbLTmwpBUXxq2jT5oHDsw7gAhq-_hm9w0o8FSUcVoPhUBFGJuYI9r8KqLpV4"/>
            <wp:cNvGraphicFramePr/>
            <a:graphic xmlns:a="http://schemas.openxmlformats.org/drawingml/2006/main">
              <a:graphicData uri="http://schemas.openxmlformats.org/drawingml/2006/picture">
                <pic:pic xmlns:pic="http://schemas.openxmlformats.org/drawingml/2006/picture">
                  <pic:nvPicPr>
                    <pic:cNvPr id="0" name="image13.png" descr="https://lh7-us.googleusercontent.com/tMh6CxKa1JaYeTm041zVpSn7Q1phlCSAjUBQSgS2NsoNLf6o_kVicGddlc-JOHYV0RC867kVg7bqIiIxzbLTmwpBUXxq2jT5oHDsw7gAhq-_hm9w0o8FSUcVoPhUBFGJuYI9r8KqLpV4"/>
                    <pic:cNvPicPr preferRelativeResize="0"/>
                  </pic:nvPicPr>
                  <pic:blipFill>
                    <a:blip r:embed="rId42"/>
                    <a:srcRect/>
                    <a:stretch>
                      <a:fillRect/>
                    </a:stretch>
                  </pic:blipFill>
                  <pic:spPr>
                    <a:xfrm>
                      <a:off x="0" y="0"/>
                      <a:ext cx="5379720" cy="2400300"/>
                    </a:xfrm>
                    <a:prstGeom prst="rect">
                      <a:avLst/>
                    </a:prstGeom>
                    <a:ln/>
                  </pic:spPr>
                </pic:pic>
              </a:graphicData>
            </a:graphic>
          </wp:inline>
        </w:drawing>
      </w:r>
    </w:p>
    <w:p w14:paraId="26D3F7D3" w14:textId="77777777" w:rsidR="00670FD4" w:rsidRDefault="00670FD4" w:rsidP="00670FD4">
      <w:pPr>
        <w:spacing w:line="240" w:lineRule="auto"/>
        <w:ind w:firstLine="20"/>
        <w:jc w:val="center"/>
        <w:rPr>
          <w:rFonts w:eastAsia="Times New Roman" w:cs="Times New Roman"/>
          <w:b/>
        </w:rPr>
      </w:pPr>
      <w:r>
        <w:rPr>
          <w:rFonts w:eastAsia="Times New Roman" w:cs="Times New Roman"/>
          <w:b/>
        </w:rPr>
        <w:t xml:space="preserve">Fig. 2.4.6.4 Caracteristici ale unității de peisaj Midia – </w:t>
      </w:r>
      <w:sdt>
        <w:sdtPr>
          <w:tag w:val="goog_rdk_38"/>
          <w:id w:val="1510861192"/>
        </w:sdtPr>
        <w:sdtContent>
          <w:r>
            <w:rPr>
              <w:rFonts w:eastAsia="Times New Roman" w:cs="Times New Roman"/>
              <w:b/>
            </w:rPr>
            <w:t>Constanța</w:t>
          </w:r>
        </w:sdtContent>
      </w:sdt>
    </w:p>
    <w:p w14:paraId="2CD72807" w14:textId="77777777" w:rsidR="00670FD4" w:rsidRDefault="00670FD4" w:rsidP="00670FD4">
      <w:pPr>
        <w:spacing w:line="240" w:lineRule="auto"/>
        <w:ind w:firstLine="20"/>
        <w:jc w:val="center"/>
        <w:rPr>
          <w:rFonts w:eastAsia="Times New Roman" w:cs="Times New Roman"/>
          <w:b/>
        </w:rPr>
      </w:pPr>
    </w:p>
    <w:p w14:paraId="55276E3B" w14:textId="77777777" w:rsidR="00670FD4" w:rsidRDefault="00670FD4" w:rsidP="00670FD4">
      <w:pPr>
        <w:spacing w:line="240" w:lineRule="auto"/>
        <w:ind w:firstLine="20"/>
        <w:jc w:val="center"/>
        <w:rPr>
          <w:rFonts w:eastAsia="Times New Roman" w:cs="Times New Roman"/>
        </w:rPr>
      </w:pPr>
      <w:r>
        <w:rPr>
          <w:rFonts w:eastAsia="Times New Roman" w:cs="Times New Roman"/>
          <w:noProof/>
          <w:color w:val="FF0000"/>
        </w:rPr>
        <w:drawing>
          <wp:inline distT="0" distB="0" distL="0" distR="0" wp14:anchorId="6A236C9B" wp14:editId="6C0A711D">
            <wp:extent cx="5379720" cy="2354580"/>
            <wp:effectExtent l="0" t="0" r="0" b="0"/>
            <wp:docPr id="2141401950" name="image5.png" descr="https://lh7-us.googleusercontent.com/Zk0eGz8Es8HeG0SWNXmRv2yQ5moqqPtdE9Gr4qtZAfJrlNvt4j6KZ8qGHt2_0D9BqPFgxfYZMu37qHG9hMKkhUNP-4Un0j-yi9YDuN9kqlJi9lHILbbAqVmuRibROx_toe8Ykt94ualS"/>
            <wp:cNvGraphicFramePr/>
            <a:graphic xmlns:a="http://schemas.openxmlformats.org/drawingml/2006/main">
              <a:graphicData uri="http://schemas.openxmlformats.org/drawingml/2006/picture">
                <pic:pic xmlns:pic="http://schemas.openxmlformats.org/drawingml/2006/picture">
                  <pic:nvPicPr>
                    <pic:cNvPr id="0" name="image5.png" descr="https://lh7-us.googleusercontent.com/Zk0eGz8Es8HeG0SWNXmRv2yQ5moqqPtdE9Gr4qtZAfJrlNvt4j6KZ8qGHt2_0D9BqPFgxfYZMu37qHG9hMKkhUNP-4Un0j-yi9YDuN9kqlJi9lHILbbAqVmuRibROx_toe8Ykt94ualS"/>
                    <pic:cNvPicPr preferRelativeResize="0"/>
                  </pic:nvPicPr>
                  <pic:blipFill>
                    <a:blip r:embed="rId43"/>
                    <a:srcRect/>
                    <a:stretch>
                      <a:fillRect/>
                    </a:stretch>
                  </pic:blipFill>
                  <pic:spPr>
                    <a:xfrm>
                      <a:off x="0" y="0"/>
                      <a:ext cx="5379720" cy="2354580"/>
                    </a:xfrm>
                    <a:prstGeom prst="rect">
                      <a:avLst/>
                    </a:prstGeom>
                    <a:ln/>
                  </pic:spPr>
                </pic:pic>
              </a:graphicData>
            </a:graphic>
          </wp:inline>
        </w:drawing>
      </w:r>
    </w:p>
    <w:p w14:paraId="64BCB788" w14:textId="77777777" w:rsidR="00670FD4" w:rsidRDefault="00670FD4" w:rsidP="00670FD4">
      <w:pPr>
        <w:spacing w:line="240" w:lineRule="auto"/>
        <w:ind w:firstLine="20"/>
        <w:jc w:val="center"/>
        <w:rPr>
          <w:rFonts w:eastAsia="Times New Roman" w:cs="Times New Roman"/>
          <w:b/>
        </w:rPr>
      </w:pPr>
      <w:r>
        <w:rPr>
          <w:rFonts w:eastAsia="Times New Roman" w:cs="Times New Roman"/>
          <w:b/>
        </w:rPr>
        <w:t>Fig. 2.4.6.5 Caracteristici ale unității de peisaj Eforie - Vama Veche</w:t>
      </w:r>
    </w:p>
    <w:p w14:paraId="36D9BE0A" w14:textId="77777777" w:rsidR="00670FD4" w:rsidRDefault="00670FD4" w:rsidP="00670FD4">
      <w:pPr>
        <w:spacing w:after="0" w:line="240" w:lineRule="auto"/>
        <w:rPr>
          <w:rFonts w:eastAsia="Times New Roman" w:cs="Times New Roman"/>
        </w:rPr>
      </w:pPr>
    </w:p>
    <w:p w14:paraId="5A5C531B" w14:textId="77777777" w:rsidR="00670FD4" w:rsidRDefault="00670FD4" w:rsidP="00670FD4">
      <w:pPr>
        <w:spacing w:before="0"/>
        <w:ind w:left="142" w:firstLine="425"/>
        <w:rPr>
          <w:rFonts w:eastAsia="Times New Roman" w:cs="Times New Roman"/>
        </w:rPr>
      </w:pPr>
      <w:r>
        <w:rPr>
          <w:rFonts w:eastAsia="Times New Roman" w:cs="Times New Roman"/>
        </w:rPr>
        <w:lastRenderedPageBreak/>
        <w:t>Principalele probleme privind gestionarea peisajului în zona costieră sunt:</w:t>
      </w:r>
    </w:p>
    <w:p w14:paraId="22ED2BF8" w14:textId="77777777" w:rsidR="00670FD4" w:rsidRDefault="00670FD4" w:rsidP="00670FD4">
      <w:pPr>
        <w:numPr>
          <w:ilvl w:val="0"/>
          <w:numId w:val="26"/>
        </w:numPr>
        <w:spacing w:before="0"/>
        <w:ind w:left="927" w:firstLine="207"/>
        <w:rPr>
          <w:rFonts w:eastAsia="Times New Roman" w:cs="Times New Roman"/>
        </w:rPr>
      </w:pPr>
      <w:r>
        <w:rPr>
          <w:rFonts w:eastAsia="Times New Roman" w:cs="Times New Roman"/>
        </w:rPr>
        <w:t>Cadrul de reglementări actuale privind amenajarea teritoriului și urbanism nu asigură abordarea integrată a teritoriului zonei costiere, inclusiv a peisajului costier;</w:t>
      </w:r>
    </w:p>
    <w:p w14:paraId="7FBC97EA" w14:textId="77777777" w:rsidR="00670FD4" w:rsidRDefault="00670FD4" w:rsidP="00670FD4">
      <w:pPr>
        <w:numPr>
          <w:ilvl w:val="0"/>
          <w:numId w:val="26"/>
        </w:numPr>
        <w:spacing w:before="0"/>
        <w:ind w:left="927" w:firstLine="207"/>
        <w:rPr>
          <w:rFonts w:eastAsia="Times New Roman" w:cs="Times New Roman"/>
        </w:rPr>
      </w:pPr>
      <w:r>
        <w:rPr>
          <w:rFonts w:eastAsia="Times New Roman" w:cs="Times New Roman"/>
        </w:rPr>
        <w:t>Lipsa unei metodologii de inventariere și evaluare specifică peisajului costier, care să susțină procesele de elaborare a instrumentelor de planificare spațială a teritoriului zonei costiere;</w:t>
      </w:r>
    </w:p>
    <w:p w14:paraId="011CEF83" w14:textId="77777777" w:rsidR="00670FD4" w:rsidRDefault="00670FD4" w:rsidP="00670FD4">
      <w:pPr>
        <w:numPr>
          <w:ilvl w:val="0"/>
          <w:numId w:val="26"/>
        </w:numPr>
        <w:spacing w:before="0"/>
        <w:ind w:left="927" w:firstLine="207"/>
        <w:rPr>
          <w:rFonts w:eastAsia="Times New Roman" w:cs="Times New Roman"/>
        </w:rPr>
      </w:pPr>
      <w:r>
        <w:rPr>
          <w:rFonts w:eastAsia="Times New Roman" w:cs="Times New Roman"/>
        </w:rPr>
        <w:t>Nu există un sistem de monitorizare pentru gestiunea integrată a elementele constitutive ale peisajului costier;</w:t>
      </w:r>
    </w:p>
    <w:p w14:paraId="4E1D1FAC" w14:textId="77777777" w:rsidR="00670FD4" w:rsidRPr="00903011" w:rsidRDefault="00670FD4" w:rsidP="00670FD4">
      <w:pPr>
        <w:numPr>
          <w:ilvl w:val="0"/>
          <w:numId w:val="26"/>
        </w:numPr>
        <w:spacing w:before="0"/>
        <w:ind w:left="927" w:firstLine="207"/>
        <w:rPr>
          <w:rFonts w:eastAsia="Times New Roman" w:cs="Times New Roman"/>
        </w:rPr>
      </w:pPr>
      <w:r>
        <w:rPr>
          <w:rFonts w:eastAsia="Times New Roman" w:cs="Times New Roman"/>
        </w:rPr>
        <w:t>Nivel slab de conștientizare în rândul societății civile, organizațiilor private și autorităților publice despre valoarea și rolul peisajelor pentru asigurarea dezvoltării economice și creșterea calității vieții în zona costieră.</w:t>
      </w:r>
    </w:p>
    <w:p w14:paraId="4E54F455" w14:textId="77777777" w:rsidR="00670FD4" w:rsidRDefault="00670FD4" w:rsidP="00670FD4">
      <w:pPr>
        <w:pStyle w:val="Heading3"/>
      </w:pPr>
      <w:bookmarkStart w:id="85" w:name="_Toc150501469"/>
      <w:bookmarkStart w:id="86" w:name="_Toc171084845"/>
      <w:r>
        <w:t>2.4.7 Aspecte socio-demografice, stare actuală și tendințe</w:t>
      </w:r>
      <w:bookmarkEnd w:id="85"/>
      <w:bookmarkEnd w:id="86"/>
    </w:p>
    <w:p w14:paraId="2C2E46EF" w14:textId="77777777" w:rsidR="00670FD4" w:rsidRDefault="00670FD4" w:rsidP="00670FD4">
      <w:pPr>
        <w:spacing w:before="0"/>
        <w:ind w:firstLine="567"/>
        <w:rPr>
          <w:rFonts w:eastAsia="Times New Roman" w:cs="Times New Roman"/>
        </w:rPr>
      </w:pPr>
      <w:r>
        <w:rPr>
          <w:rFonts w:eastAsia="Times New Roman" w:cs="Times New Roman"/>
        </w:rPr>
        <w:t>Conform datelor Recensământului Populației și Locuințelor (RPL) 2021 populația zonei costiere – mai sus definite – era în decembrie 2021, de 400.828 de locuitori (populație rezidentă), în scădere cu 15% față de RPL 2011. Din totalul populației, 87,28% dintre locuitori trăiesc în mediul urban (dintre care 73,76% în cele două municipii), iar 12,72% în mediul rural. Ponderea populației din mediul rural a sporit cu 0,8% față de RPL 2011. Se poate observa că populația este concentrată cu precădere, în mediul urban și în județul Constanța (97,24% din total). Pe de altă parte, cea mai mare parte a suprafeței zonei costiere, se află în județul Tulcea (64,83%) și în mediul rural, în cele 13 comune ale acesteia (82,47%). Această distribuție teritorială a populației determină valori foarte diferite ale densității, respectiv 4,79 locuitori / km</w:t>
      </w:r>
      <w:r>
        <w:rPr>
          <w:rFonts w:eastAsia="Times New Roman" w:cs="Times New Roman"/>
          <w:vertAlign w:val="superscript"/>
        </w:rPr>
        <w:t>2</w:t>
      </w:r>
      <w:r>
        <w:rPr>
          <w:rFonts w:eastAsia="Times New Roman" w:cs="Times New Roman"/>
        </w:rPr>
        <w:t xml:space="preserve"> în județul Tulcea și 311,83 locuitori / km</w:t>
      </w:r>
      <w:r>
        <w:rPr>
          <w:rFonts w:eastAsia="Times New Roman" w:cs="Times New Roman"/>
          <w:vertAlign w:val="superscript"/>
        </w:rPr>
        <w:t>2</w:t>
      </w:r>
      <w:r>
        <w:rPr>
          <w:rFonts w:eastAsia="Times New Roman" w:cs="Times New Roman"/>
        </w:rPr>
        <w:t xml:space="preserve"> în județul Constanța, valoarea medie a densității la nivelul zonei costiere fiind de 112,77 locuitori / km</w:t>
      </w:r>
      <w:r>
        <w:rPr>
          <w:rFonts w:eastAsia="Times New Roman" w:cs="Times New Roman"/>
          <w:vertAlign w:val="superscript"/>
        </w:rPr>
        <w:t>2</w:t>
      </w:r>
      <w:r>
        <w:rPr>
          <w:rFonts w:eastAsia="Times New Roman" w:cs="Times New Roman"/>
        </w:rPr>
        <w:t>.</w:t>
      </w:r>
    </w:p>
    <w:p w14:paraId="06640170" w14:textId="77777777" w:rsidR="00670FD4" w:rsidRDefault="00670FD4" w:rsidP="00670FD4">
      <w:pPr>
        <w:spacing w:before="0"/>
        <w:ind w:firstLine="567"/>
        <w:rPr>
          <w:rFonts w:eastAsia="Times New Roman" w:cs="Times New Roman"/>
        </w:rPr>
      </w:pPr>
      <w:r>
        <w:rPr>
          <w:rFonts w:eastAsia="Times New Roman" w:cs="Times New Roman"/>
        </w:rPr>
        <w:t xml:space="preserve">Valorile cele mai mari ale ratei natalității populației se înregistrează în mediul rural. Prin valorile peste media națională (8,6 la mie) se remarcă partea centrală a zonei, localitățile din nordul județului Constanța (Corbu, </w:t>
      </w:r>
      <w:sdt>
        <w:sdtPr>
          <w:tag w:val="goog_rdk_39"/>
          <w:id w:val="1953888534"/>
        </w:sdtPr>
        <w:sdtContent>
          <w:r>
            <w:rPr>
              <w:rFonts w:eastAsia="Times New Roman" w:cs="Times New Roman"/>
            </w:rPr>
            <w:t>Săcele</w:t>
          </w:r>
        </w:sdtContent>
      </w:sdt>
      <w:r>
        <w:rPr>
          <w:rFonts w:eastAsia="Times New Roman" w:cs="Times New Roman"/>
        </w:rPr>
        <w:t xml:space="preserve">, Istria și Mihai Viteazu), precum și Sf. Gheorghe, Agigea și Limanu. În același timp, în cazul localităților urbane, doar la Mangalia și Sulina valorile acestui indicator sunt mai mici decât media națională (de 7,1 la mie în 2022). </w:t>
      </w:r>
    </w:p>
    <w:p w14:paraId="4597EB85" w14:textId="77777777" w:rsidR="00670FD4" w:rsidRDefault="00670FD4" w:rsidP="00670FD4">
      <w:pPr>
        <w:spacing w:before="0"/>
        <w:ind w:firstLine="567"/>
        <w:rPr>
          <w:rFonts w:eastAsia="Times New Roman" w:cs="Times New Roman"/>
        </w:rPr>
      </w:pPr>
      <w:r>
        <w:rPr>
          <w:rFonts w:eastAsia="Times New Roman" w:cs="Times New Roman"/>
        </w:rPr>
        <w:t>Dinamica ratei mortalității a cunoscut o evoluție diferențiată în ultimul timp. În cazul localităților urbane valorile acestui indicator se află pe un trend constant ascendent de la începutul anilor 1990, accelerat în anii 2020-2021 de efectele cauzate de COVID19. Cu excepția orașului Năvodari, toate localitățile urbane au înregistrat rata mortalității peste media națională pentru mediul urban (de 13,6 la mie în 2021). Localitățile rurale au înregistrat o dinamică diferențiată a ratei mortalității, arătând un trend ascendent abia în a doua jumătate deceniului al doilea. COVID19 a avut un impact mai mic în mediul rural, majoritatea comunelor situându-se sub media națională de 17,4 la mie în 2021 (excepție face comuna C.A. Rosetti, cu o rată a mortalității a ce a depășit de două ori media națională pentru zonele rurale).</w:t>
      </w:r>
    </w:p>
    <w:p w14:paraId="7033323E" w14:textId="77777777" w:rsidR="00670FD4" w:rsidRDefault="00670FD4" w:rsidP="00670FD4">
      <w:pPr>
        <w:spacing w:before="0"/>
        <w:ind w:firstLine="567"/>
        <w:rPr>
          <w:rFonts w:eastAsia="Times New Roman" w:cs="Times New Roman"/>
        </w:rPr>
      </w:pPr>
      <w:r>
        <w:rPr>
          <w:rFonts w:eastAsia="Times New Roman" w:cs="Times New Roman"/>
        </w:rPr>
        <w:t xml:space="preserve">Rata sporului natural în anul 2021 este negativă în toate localitățile din zona de coastă fără excepție. Prin valorile peste media națională (-5,2 la mie pentru mediul urban și -7,8 pentru mediul rural) se remarcă doar orașul Năvodari, pentru mediul urban, și 8 din 13 localități din </w:t>
      </w:r>
      <w:r>
        <w:rPr>
          <w:rFonts w:eastAsia="Times New Roman" w:cs="Times New Roman"/>
        </w:rPr>
        <w:lastRenderedPageBreak/>
        <w:t>mediul rural. Comuna C.A. Rosetti iese în evidență printr-o valoare extremă a ratei sporului (-34 la mie în 2021).</w:t>
      </w:r>
    </w:p>
    <w:p w14:paraId="771B680F" w14:textId="77777777" w:rsidR="00670FD4" w:rsidRDefault="00670FD4" w:rsidP="00670FD4">
      <w:pPr>
        <w:spacing w:before="0"/>
        <w:ind w:firstLine="567"/>
        <w:rPr>
          <w:rFonts w:eastAsia="Times New Roman" w:cs="Times New Roman"/>
        </w:rPr>
      </w:pPr>
      <w:r>
        <w:rPr>
          <w:rFonts w:eastAsia="Times New Roman" w:cs="Times New Roman"/>
        </w:rPr>
        <w:t xml:space="preserve">Gradul de îmbătrânire a populației este într-o continuă creștere începând cu anii 1990. Zona Deltei Dunării se remarcă printr-o îmbătrânire avansată atât mediul urban, cât și în mediul rural. Între localitățile urbane se remarcă Techirghiol și Năvodari unde valorile acestui indicator se află sub 100%. În același timp în mediul rural doar 4 localități au depășit valoarea de 100% (Sf. Gheorghe, C.A. Rosetti, Jurilovca și Tuzla). În distribuția spațială a indicatorului se remarcă contrastul dintre zona Deltei, în care se înregistrează valorile cele mai mari și zona centrală (Mihai Viteazu, Istria, </w:t>
      </w:r>
      <w:sdt>
        <w:sdtPr>
          <w:tag w:val="goog_rdk_40"/>
          <w:id w:val="676920748"/>
        </w:sdtPr>
        <w:sdtContent>
          <w:r>
            <w:rPr>
              <w:rFonts w:eastAsia="Times New Roman" w:cs="Times New Roman"/>
            </w:rPr>
            <w:t>Săcele</w:t>
          </w:r>
        </w:sdtContent>
      </w:sdt>
      <w:r>
        <w:rPr>
          <w:rFonts w:eastAsia="Times New Roman" w:cs="Times New Roman"/>
        </w:rPr>
        <w:t>, Corbu și Năvodari) cu valorile cele mai mici: Mihai Viteazu este singura localitate cu gradul de îmbătrânire de sub 50%.</w:t>
      </w:r>
    </w:p>
    <w:p w14:paraId="71740B3F" w14:textId="77777777" w:rsidR="00670FD4" w:rsidRPr="00903011" w:rsidRDefault="00670FD4" w:rsidP="00670FD4">
      <w:pPr>
        <w:spacing w:before="0"/>
        <w:ind w:firstLine="567"/>
        <w:rPr>
          <w:rFonts w:eastAsia="Times New Roman" w:cs="Times New Roman"/>
        </w:rPr>
      </w:pPr>
      <w:r>
        <w:rPr>
          <w:rFonts w:eastAsia="Times New Roman" w:cs="Times New Roman"/>
        </w:rPr>
        <w:t>În ceea ce privește tendințele migraționiste de lungă durată, estimate pe baza recensământului populației din 2021, zona de coastă se divizează în două părți distincte: (i) jumătatea nordică (la nord de Năvodari), puțin atractivă, în care ponderea celor născuți în alte localități oscilează între 30 și 40% și (ii) localitățile din jumătatea sudică, conduse detașat de orașul Năvodari (cu circa 70% născuți în alte localități), printre care doar Constanța și Tuzla au valori mai mici, apropiate celor din nordul zonei.</w:t>
      </w:r>
    </w:p>
    <w:p w14:paraId="0BE05D36" w14:textId="77777777" w:rsidR="00670FD4" w:rsidRDefault="00670FD4" w:rsidP="00670FD4">
      <w:pPr>
        <w:pStyle w:val="Heading3"/>
      </w:pPr>
      <w:bookmarkStart w:id="87" w:name="_Toc150501470"/>
      <w:bookmarkStart w:id="88" w:name="_Toc171084846"/>
      <w:r>
        <w:t>2.4.8 Aspecte economice, stare actuală și tendințe</w:t>
      </w:r>
      <w:bookmarkEnd w:id="87"/>
      <w:bookmarkEnd w:id="88"/>
    </w:p>
    <w:p w14:paraId="396494B1" w14:textId="77777777" w:rsidR="00670FD4" w:rsidRDefault="00670FD4" w:rsidP="00670FD4">
      <w:pPr>
        <w:pStyle w:val="Heading4"/>
      </w:pPr>
      <w:bookmarkStart w:id="89" w:name="_Toc171084847"/>
      <w:r>
        <w:t>2.4.8.1 Turism</w:t>
      </w:r>
      <w:bookmarkEnd w:id="89"/>
    </w:p>
    <w:p w14:paraId="62A92D5B" w14:textId="77777777" w:rsidR="00670FD4" w:rsidRDefault="00670FD4" w:rsidP="00670FD4">
      <w:pPr>
        <w:spacing w:before="0"/>
        <w:ind w:firstLine="567"/>
        <w:rPr>
          <w:rFonts w:eastAsia="Times New Roman" w:cs="Times New Roman"/>
        </w:rPr>
      </w:pPr>
      <w:r>
        <w:rPr>
          <w:rFonts w:eastAsia="Times New Roman" w:cs="Times New Roman"/>
        </w:rPr>
        <w:t>Turismul, deși cu un pronunțat caracter sezonier, rămâne cel mai important sector economic din zona costieră. Zona turistică a litoralului românesc la Marea Neagră cuprinde 12 stațiuni turistice de interes național, plus alte 5 localități turistice litorale (Constanța, Tuzla, 23 August, 2 Mai și Vama veche), toate situate în județul Constanța, la care se adaugă 5 localități turistice din județul Tulcea: comuna C.A. Rosetti, orașul Sulina, comunele Sfântu Gheorghe, Murighiol și Jurilovca, precum și comunele Corbu, Agigea, Tuzla, 23 August și Limanu, din județul Constanța.</w:t>
      </w:r>
    </w:p>
    <w:p w14:paraId="0F3DDAD9" w14:textId="77777777" w:rsidR="00670FD4" w:rsidRDefault="00670FD4" w:rsidP="00670FD4">
      <w:pPr>
        <w:spacing w:before="0"/>
        <w:ind w:firstLine="567"/>
        <w:rPr>
          <w:rFonts w:eastAsia="Times New Roman" w:cs="Times New Roman"/>
        </w:rPr>
      </w:pPr>
      <w:r>
        <w:rPr>
          <w:rFonts w:eastAsia="Times New Roman" w:cs="Times New Roman"/>
        </w:rPr>
        <w:t xml:space="preserve">Capacitatea de cazare turistică existentă a acestor stațiuni și localități costiere era, în anul 2021, de 92.901 de locuri, în 1207 structuri de primire turistică având funcțiuni de cazare turistică, reprezentând 13,2% din numărul de unități și respectiv 25,49 % din capacitatea de cazare turistică totală a României, conform datelor Institutului Național de Statistică. </w:t>
      </w:r>
    </w:p>
    <w:p w14:paraId="530161B1" w14:textId="77777777" w:rsidR="00670FD4" w:rsidRDefault="00670FD4" w:rsidP="00670FD4">
      <w:pPr>
        <w:spacing w:before="0"/>
        <w:ind w:firstLine="567"/>
        <w:rPr>
          <w:rFonts w:eastAsia="Times New Roman" w:cs="Times New Roman"/>
        </w:rPr>
      </w:pPr>
      <w:r>
        <w:rPr>
          <w:rFonts w:eastAsia="Times New Roman" w:cs="Times New Roman"/>
        </w:rPr>
        <w:t xml:space="preserve">În 2021, conform datelor publicate de Institutul Național de Statistică, numărul turiștilor sosiți în zona costieră a României a fost de 1.312.084, reprezentând 14% din totalul turiștilor sosiți în România în anul respectiv. Dintre aceștia, majoritatea covârșitoare (1.256.766, reprezentând 95,78%) au fost cazați în stațiunile litorale din județul Constanța (cei mai mulți în stațiunile din municipiile Mangalia și Constanța) și doar 55.318, respectiv 4,22% în localitățile costiere situate în județul Tulcea (cei mai mulți în Murighiol). </w:t>
      </w:r>
    </w:p>
    <w:p w14:paraId="770D993E" w14:textId="77777777" w:rsidR="00670FD4" w:rsidRDefault="00670FD4" w:rsidP="00670FD4">
      <w:pPr>
        <w:spacing w:before="0"/>
        <w:ind w:firstLine="567"/>
        <w:rPr>
          <w:rFonts w:eastAsia="Times New Roman" w:cs="Times New Roman"/>
        </w:rPr>
      </w:pPr>
      <w:r>
        <w:rPr>
          <w:rFonts w:eastAsia="Times New Roman" w:cs="Times New Roman"/>
        </w:rPr>
        <w:t xml:space="preserve">Numărul total al înnoptărilor înregistrate de turiștii cazați în zona costieră a României, în anul 2021, a fost de 4.629.706, reprezentând 22,22% din totalul turiștilor sosiți în România în anul respectiv. Dintre acestea, 4.506.772 de înnoptări au fost înregistrate în zona costieră aferentă județului Constanța, iar diferența de 55.318 înnoptări, au fost înregistrate în localitățile din zona costieră din județul Tulcea. Cel mai mare număr al înnoptărilor a fost înregistrat în </w:t>
      </w:r>
      <w:r>
        <w:rPr>
          <w:rFonts w:eastAsia="Times New Roman" w:cs="Times New Roman"/>
        </w:rPr>
        <w:lastRenderedPageBreak/>
        <w:t>stațiunile aparținând municipiului Mangalia (1.769.728), urmat de cele din municipiul Constanța, incluzând și stațiunea Mamaia (416.012) și de cele din stațiunile din orașul Eforie (809.868).</w:t>
      </w:r>
    </w:p>
    <w:p w14:paraId="5FBCC679" w14:textId="77777777" w:rsidR="00670FD4" w:rsidRDefault="00670FD4" w:rsidP="00670FD4">
      <w:pPr>
        <w:spacing w:before="0"/>
        <w:ind w:firstLine="567"/>
        <w:rPr>
          <w:rFonts w:eastAsia="Times New Roman" w:cs="Times New Roman"/>
        </w:rPr>
      </w:pPr>
      <w:r>
        <w:rPr>
          <w:rFonts w:eastAsia="Times New Roman" w:cs="Times New Roman"/>
        </w:rPr>
        <w:t>Concentrarea activității turistice în perioada de vară (2-3 luni), respectiv sezonalitatea ridicată a acestei activități, determină o presiune considerabilă exercitată asupra ecosistemului costier, prin introducerea, în primul rând de deșeuri, poluanți atmosferici (intensificarea traficului rutier și fluvial), zgomot, agenți patogeni, prin degradarea peisajului, a capitalului cultural, etc. Dacă în Delta Dunării, presiunea nu este atât de ridicată, pe de o parte datorită numărului semnificativ mai scăzut de vizitatori, iar pe de altă parte datorită reglementărilor impuse de către ARBDD cu privire la activitățile din Delta Dunării, în partea sudică a zonei costiere, turismul de masă are efecte negative semnificative asupra mediului. Pe plan social, caracterul strict sezonier al locurilor de muncă din industria turismului în zona costieră face ca cererea de locuri de muncă să fie redusă, sub ofertă, ceea ce determină în cele din urmă scăderea calității serviciilor oferite.</w:t>
      </w:r>
    </w:p>
    <w:p w14:paraId="6816FFF9" w14:textId="77777777" w:rsidR="00670FD4" w:rsidRDefault="00670FD4" w:rsidP="00670FD4">
      <w:pPr>
        <w:spacing w:before="0"/>
        <w:ind w:firstLine="567"/>
        <w:rPr>
          <w:rFonts w:eastAsia="Times New Roman" w:cs="Times New Roman"/>
        </w:rPr>
      </w:pPr>
      <w:r>
        <w:rPr>
          <w:rFonts w:eastAsia="Times New Roman" w:cs="Times New Roman"/>
        </w:rPr>
        <w:t xml:space="preserve">Problema sezonalității ridicate a turismului poate fi contracarată printr-o diversificare a ofertei turistice, prin promovarea turismului de evenimente, a turismului cultural, a pesca-turismului, turismului rural și gastronomic în partea nordică a zonei costiere (Delta Dunării) și turismul de aventură, cel balneo-medical, de organizare a unor manifestări expoziționale, precum și cel de evenimente culturale și de reuniuni în sudul litoralului. </w:t>
      </w:r>
    </w:p>
    <w:p w14:paraId="5566E280" w14:textId="77777777" w:rsidR="00670FD4" w:rsidRDefault="00670FD4" w:rsidP="00670FD4">
      <w:pPr>
        <w:spacing w:before="0"/>
        <w:ind w:firstLine="567"/>
        <w:rPr>
          <w:rFonts w:eastAsia="Times New Roman" w:cs="Times New Roman"/>
        </w:rPr>
      </w:pPr>
      <w:r>
        <w:rPr>
          <w:rFonts w:eastAsia="Times New Roman" w:cs="Times New Roman"/>
        </w:rPr>
        <w:t xml:space="preserve">Dezvoltarea turismului în zona costieră este strâns legată de alte sectoare economice, în special transportul. Creșterea activității turistice în zona costieră este în mare parte dependentă de modernizarea căilor de acces către zona costieră, în special către partea sa nordică aferentă județului Tulcea. Un factor promotor al dezvoltării turismului îl constituie prezența, datorită amplasării zonei de studiu, a tuturor formelor de transport (rutier, feroviar, maritim, fluvial și, în imediata apropiere, aerian). În ultimii ani sunt în curs implementare mai multe proiecte ce au avut drept scop îmbunătățirea infrastructurii terestre și creșterea accesibilității pentru turiști, în special în județul Tulcea. Mijloacele navale și porturile publice și private oferă, de asemenea, oportunități pentru dezvoltarea turismului în zona de studiu, cu toate acestea ele trebuie dezvoltate în mod sustenabil, astfel încât să se evite periclitarea de orice fel a mediului natural unic, în special al Biosferei Delta Dunării. Se preconizează o creștere importantă a accesibilității părții nordice a zonei costiere (județul Tulcea), respectiv a zonelor predominant turistice de pe teritoriul acestuia la momentul finalizării proiectelor de dezvoltare a infrastructurii ce sunt în curs de implementare și în special a proiectelor ce vizează realizarea unui nou drum expres, respectiv pentru tronsonul de circa 112 km ce va lega Tulcea de Constanța și dezvoltarea aeroporturilor M. Kogălniceanu-Constanța și Tulcea. </w:t>
      </w:r>
    </w:p>
    <w:p w14:paraId="670C29AE" w14:textId="77777777" w:rsidR="00670FD4" w:rsidRDefault="00670FD4" w:rsidP="00670FD4">
      <w:pPr>
        <w:spacing w:before="0"/>
        <w:ind w:firstLine="567"/>
        <w:rPr>
          <w:rFonts w:eastAsia="Times New Roman" w:cs="Times New Roman"/>
        </w:rPr>
      </w:pPr>
      <w:r>
        <w:rPr>
          <w:rFonts w:eastAsia="Times New Roman" w:cs="Times New Roman"/>
        </w:rPr>
        <w:t>Dezvoltarea turismului de croazieră la Constanța necesită promovare, iar diversificarea ofertelor privind activitățile turistice privind petrecerea unei zile în județele Constanța și Tulcea, va atrage creșterea numărului de nave de croazieră care să ancoreze în Portul Constanța. Portul Constanța deține Directoratul MedCruise pentru zona Mării Negre și promovează, împreună cu Porturile Odessa, Burgas și Varna, relansarea turismului de croazieră în Marea Neagră. Croazierele pe Marea Neagră nu se vor putea relua decât după încetarea conflictului armat din Ucraina.</w:t>
      </w:r>
    </w:p>
    <w:p w14:paraId="58A7E89A" w14:textId="77777777" w:rsidR="00670FD4" w:rsidRDefault="00670FD4" w:rsidP="00670FD4">
      <w:pPr>
        <w:spacing w:before="0"/>
        <w:ind w:firstLine="567"/>
        <w:rPr>
          <w:rFonts w:eastAsia="Times New Roman" w:cs="Times New Roman"/>
        </w:rPr>
      </w:pPr>
      <w:r>
        <w:rPr>
          <w:rFonts w:eastAsia="Times New Roman" w:cs="Times New Roman"/>
        </w:rPr>
        <w:lastRenderedPageBreak/>
        <w:t xml:space="preserve">Conform CN APM, în anul 2022, au operat escale în Portul Constanța 39 de nave de croazieră, atât maritime, cât și fluviale, comparativ cu 26 nave în 2021. Pentru 2023 perspectivele sunt mai bune având în vedere că până în prezent 62 nave și-au anunțat escale (din care 28 maritime și 35 fluviale). Anii 2012-2015 au înregistrat, în medie peste 50 de nave care au acostat în Portul Constanța. Cel mai bun an a fost 2014, atunci când 95 de nave au avut escale. Apoi, între anii 2016 și 2018 situația nu a mai fost la fel, iar principalele motive au fost atentatele teroriste din 2016 şi 2017 din Turcia, anexarea Crimeei de către Rusia și instabilitatea din Ucraina. Din aceste motive, marii operatori ai turismului de croazieră au evitat acostarea în Portul Constanța. </w:t>
      </w:r>
    </w:p>
    <w:p w14:paraId="3C934778" w14:textId="77777777" w:rsidR="00670FD4" w:rsidRDefault="00670FD4" w:rsidP="00670FD4">
      <w:pPr>
        <w:spacing w:before="0"/>
        <w:ind w:firstLine="567"/>
        <w:rPr>
          <w:rFonts w:eastAsia="Times New Roman" w:cs="Times New Roman"/>
        </w:rPr>
      </w:pPr>
      <w:r>
        <w:rPr>
          <w:rFonts w:eastAsia="Times New Roman" w:cs="Times New Roman"/>
        </w:rPr>
        <w:t xml:space="preserve">Printre cele mai grave probleme cu care s-a confruntat în ultima perioadă turismul în zona costieră, în special în partea sa sudică unde se practică un turism de masă, sunt, pe de o parte, scăderea aproape continuă a duratei medii a sejurului petrecut de turiști, iar pe de altă parte reducerea drastică a sosirilor turiștilor străini. Slaba promovare turistică constituie principala cauză a reducerii semnificative a numărului de turiști străini. Este necesar, în mod evident, să se îmbunătățească oferta turistică a litoralului românesc, dar și reluarea campaniilor de promovare turistică a acestei oferte pe piețe țintă europene, în baza unor studii de piață ce trebuie realizate, pentru ca în baza rezultatelor acestora să se acționeze cu prioritate pentru promovarea ofertei turismului românesc de litoral și diversificarea. </w:t>
      </w:r>
    </w:p>
    <w:p w14:paraId="7929932B" w14:textId="77777777" w:rsidR="00670FD4" w:rsidRDefault="00670FD4" w:rsidP="00670FD4">
      <w:pPr>
        <w:pStyle w:val="Heading4"/>
      </w:pPr>
      <w:bookmarkStart w:id="90" w:name="_Toc171084848"/>
      <w:r>
        <w:t>4.8.2 Pescuit și acvacultură</w:t>
      </w:r>
      <w:bookmarkEnd w:id="90"/>
    </w:p>
    <w:p w14:paraId="4AFFCAE3" w14:textId="77777777" w:rsidR="00670FD4" w:rsidRDefault="00670FD4" w:rsidP="00670FD4">
      <w:pPr>
        <w:rPr>
          <w:rFonts w:eastAsia="Times New Roman" w:cs="Times New Roman"/>
        </w:rPr>
      </w:pPr>
      <w:r>
        <w:rPr>
          <w:rFonts w:eastAsia="Times New Roman" w:cs="Times New Roman"/>
          <w:i/>
          <w:color w:val="000000"/>
        </w:rPr>
        <w:t>Pescuit marin</w:t>
      </w:r>
    </w:p>
    <w:p w14:paraId="52174074" w14:textId="77777777" w:rsidR="00670FD4" w:rsidRDefault="00670FD4" w:rsidP="00670FD4">
      <w:pPr>
        <w:spacing w:before="0"/>
        <w:ind w:firstLine="567"/>
        <w:rPr>
          <w:rFonts w:eastAsia="Times New Roman" w:cs="Times New Roman"/>
          <w:color w:val="000000"/>
        </w:rPr>
      </w:pPr>
      <w:r>
        <w:rPr>
          <w:rFonts w:eastAsia="Times New Roman" w:cs="Times New Roman"/>
          <w:color w:val="000000"/>
        </w:rPr>
        <w:t xml:space="preserve">În cadrul Zonei Economice Exclusive deținută de România, pescuitul marin se desfășoară de la țărm până la izobata de 60 metri (adâncimi mai mari pentru pescuitul specializat de calcan, </w:t>
      </w:r>
      <w:r>
        <w:rPr>
          <w:rFonts w:eastAsia="Times New Roman" w:cs="Times New Roman"/>
        </w:rPr>
        <w:t>scrumbie</w:t>
      </w:r>
      <w:r>
        <w:rPr>
          <w:rFonts w:eastAsia="Times New Roman" w:cs="Times New Roman"/>
          <w:color w:val="000000"/>
        </w:rPr>
        <w:t xml:space="preserve"> și rechin), acoperind așadar, o mare suprafață a părții marine a zonei costiere. Fig. 2.4.8.2.1 sunt reprezentate zonele de pescuit de pe platoul continental românesc al Mării Negre, precum și zonele în care pescuitul este interzis.</w:t>
      </w:r>
    </w:p>
    <w:p w14:paraId="611081BF" w14:textId="77777777" w:rsidR="00670FD4" w:rsidRDefault="00670FD4" w:rsidP="00670FD4">
      <w:pPr>
        <w:spacing w:before="0"/>
        <w:rPr>
          <w:rFonts w:eastAsia="Times New Roman" w:cs="Times New Roman"/>
          <w:color w:val="000000"/>
        </w:rPr>
      </w:pPr>
    </w:p>
    <w:p w14:paraId="514E73E6" w14:textId="77777777" w:rsidR="00670FD4" w:rsidRDefault="00670FD4" w:rsidP="00670FD4">
      <w:pPr>
        <w:jc w:val="center"/>
        <w:rPr>
          <w:rFonts w:eastAsia="Times New Roman" w:cs="Times New Roman"/>
          <w:color w:val="000000"/>
        </w:rPr>
      </w:pPr>
      <w:r>
        <w:rPr>
          <w:noProof/>
        </w:rPr>
        <w:lastRenderedPageBreak/>
        <w:drawing>
          <wp:inline distT="0" distB="0" distL="0" distR="0" wp14:anchorId="67A25A92" wp14:editId="5A7988C0">
            <wp:extent cx="3718811" cy="4892262"/>
            <wp:effectExtent l="0" t="0" r="0" b="0"/>
            <wp:docPr id="214140195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4"/>
                    <a:srcRect/>
                    <a:stretch>
                      <a:fillRect/>
                    </a:stretch>
                  </pic:blipFill>
                  <pic:spPr>
                    <a:xfrm>
                      <a:off x="0" y="0"/>
                      <a:ext cx="3718811" cy="4892262"/>
                    </a:xfrm>
                    <a:prstGeom prst="rect">
                      <a:avLst/>
                    </a:prstGeom>
                    <a:ln/>
                  </pic:spPr>
                </pic:pic>
              </a:graphicData>
            </a:graphic>
          </wp:inline>
        </w:drawing>
      </w:r>
    </w:p>
    <w:p w14:paraId="49C10D87" w14:textId="77777777" w:rsidR="00670FD4" w:rsidRDefault="00670FD4" w:rsidP="00670FD4">
      <w:pPr>
        <w:jc w:val="center"/>
        <w:rPr>
          <w:rFonts w:eastAsia="Times New Roman" w:cs="Times New Roman"/>
          <w:b/>
        </w:rPr>
      </w:pPr>
      <w:r>
        <w:rPr>
          <w:rFonts w:eastAsia="Times New Roman" w:cs="Times New Roman"/>
          <w:b/>
        </w:rPr>
        <w:t>Fig. 2.4.8.2.1 Zone destinate pescuitului și zone unde pescuitul este interzis (sursa: INCDM Grigore Antipa)</w:t>
      </w:r>
    </w:p>
    <w:p w14:paraId="0E30DF1E" w14:textId="77777777" w:rsidR="00670FD4" w:rsidRDefault="00670FD4" w:rsidP="00670FD4">
      <w:pPr>
        <w:spacing w:before="0"/>
        <w:ind w:firstLine="567"/>
        <w:rPr>
          <w:rFonts w:eastAsia="Times New Roman" w:cs="Times New Roman"/>
          <w:color w:val="000000"/>
        </w:rPr>
      </w:pPr>
      <w:r>
        <w:rPr>
          <w:rFonts w:eastAsia="Times New Roman" w:cs="Times New Roman"/>
          <w:color w:val="000000"/>
        </w:rPr>
        <w:t>De-a lungul litoralului românesc există patru porturi de pescuit, la Sulina, Capul Midia, Constanța și Mangalia și alte 18 mici stații/puncte de pescuit, situate între Sulina și Vama Veche (Fig. 2.4.8.2.2).</w:t>
      </w:r>
    </w:p>
    <w:p w14:paraId="03EC4B08" w14:textId="77777777" w:rsidR="00670FD4" w:rsidRDefault="00670FD4" w:rsidP="00670FD4">
      <w:pPr>
        <w:spacing w:before="0"/>
        <w:rPr>
          <w:rFonts w:eastAsia="Times New Roman" w:cs="Times New Roman"/>
        </w:rPr>
      </w:pPr>
      <w:r>
        <w:rPr>
          <w:rFonts w:eastAsia="Times New Roman" w:cs="Times New Roman"/>
          <w:color w:val="000000"/>
          <w:u w:val="single"/>
        </w:rPr>
        <w:t>Flotă, unelte și efort de pescuit</w:t>
      </w:r>
    </w:p>
    <w:p w14:paraId="1B07302D" w14:textId="77777777" w:rsidR="00670FD4" w:rsidRDefault="00670FD4" w:rsidP="00670FD4">
      <w:pPr>
        <w:spacing w:before="0"/>
        <w:ind w:firstLine="567"/>
        <w:rPr>
          <w:rFonts w:eastAsia="Times New Roman" w:cs="Times New Roman"/>
        </w:rPr>
      </w:pPr>
      <w:r>
        <w:rPr>
          <w:rFonts w:eastAsia="Times New Roman" w:cs="Times New Roman"/>
          <w:color w:val="000000"/>
        </w:rPr>
        <w:t>Flota românească de pescuit operează în zona de competență a Comisiei Generale pentru Pescărie la Marea Mediterană (GFCM), Zona 37 - Marea Mediterană și Marea Neagră, Sub-zona 37.4, Diviziunea 37.4.2, GSA 29, până la 30-35 Mm în largul Mării Negre, și are unele caracteristici, precum:</w:t>
      </w:r>
    </w:p>
    <w:p w14:paraId="7DCFDFA6" w14:textId="77777777" w:rsidR="00670FD4" w:rsidRDefault="00670FD4" w:rsidP="00670FD4">
      <w:pPr>
        <w:numPr>
          <w:ilvl w:val="0"/>
          <w:numId w:val="27"/>
        </w:numPr>
        <w:spacing w:before="0"/>
        <w:ind w:left="714" w:hanging="357"/>
        <w:rPr>
          <w:rFonts w:eastAsia="Times New Roman" w:cs="Times New Roman"/>
          <w:color w:val="000000"/>
        </w:rPr>
      </w:pPr>
      <w:r>
        <w:rPr>
          <w:rFonts w:eastAsia="Times New Roman" w:cs="Times New Roman"/>
          <w:color w:val="000000"/>
        </w:rPr>
        <w:t>Pescuitul cu traulul are un caracter sezonier;</w:t>
      </w:r>
    </w:p>
    <w:p w14:paraId="2AC3D114" w14:textId="77777777" w:rsidR="00670FD4" w:rsidRDefault="00670FD4" w:rsidP="00670FD4">
      <w:pPr>
        <w:numPr>
          <w:ilvl w:val="0"/>
          <w:numId w:val="27"/>
        </w:numPr>
        <w:spacing w:before="0"/>
        <w:ind w:left="714" w:hanging="357"/>
        <w:rPr>
          <w:rFonts w:eastAsia="Times New Roman" w:cs="Times New Roman"/>
          <w:color w:val="000000"/>
        </w:rPr>
      </w:pPr>
      <w:r>
        <w:rPr>
          <w:rFonts w:eastAsia="Times New Roman" w:cs="Times New Roman"/>
          <w:color w:val="000000"/>
        </w:rPr>
        <w:t>Zona marină din dreptul Rezervației Biosfera Deltei Dunării interzice pescuitul cu unelte tractate (traul pelagic), limitându-se la utilizarea talienelor și setcilor;</w:t>
      </w:r>
    </w:p>
    <w:p w14:paraId="3538A3CA" w14:textId="77777777" w:rsidR="00670FD4" w:rsidRDefault="00670FD4" w:rsidP="00670FD4">
      <w:pPr>
        <w:numPr>
          <w:ilvl w:val="0"/>
          <w:numId w:val="27"/>
        </w:numPr>
        <w:spacing w:before="0"/>
        <w:ind w:left="714" w:hanging="357"/>
        <w:rPr>
          <w:rFonts w:eastAsia="Times New Roman" w:cs="Times New Roman"/>
          <w:color w:val="000000"/>
        </w:rPr>
      </w:pPr>
      <w:r>
        <w:rPr>
          <w:rFonts w:eastAsia="Times New Roman" w:cs="Times New Roman"/>
          <w:color w:val="000000"/>
        </w:rPr>
        <w:t>Punctele de debarcare a capturii sunt porturile Cap Midia, Constanta și Sulina;</w:t>
      </w:r>
    </w:p>
    <w:p w14:paraId="58F046B6" w14:textId="77777777" w:rsidR="00670FD4" w:rsidRDefault="00670FD4" w:rsidP="00670FD4">
      <w:pPr>
        <w:numPr>
          <w:ilvl w:val="0"/>
          <w:numId w:val="27"/>
        </w:numPr>
        <w:spacing w:before="0"/>
        <w:ind w:left="714" w:hanging="357"/>
        <w:rPr>
          <w:rFonts w:eastAsia="Times New Roman" w:cs="Times New Roman"/>
          <w:color w:val="000000"/>
        </w:rPr>
      </w:pPr>
      <w:r>
        <w:rPr>
          <w:rFonts w:eastAsia="Times New Roman" w:cs="Times New Roman"/>
          <w:color w:val="000000"/>
        </w:rPr>
        <w:t>Porturile nu au instalații specifice navelor traulere costiere.</w:t>
      </w:r>
    </w:p>
    <w:p w14:paraId="14D59527" w14:textId="77777777" w:rsidR="00670FD4" w:rsidRDefault="00670FD4" w:rsidP="00670FD4">
      <w:pPr>
        <w:spacing w:before="0"/>
        <w:ind w:firstLine="567"/>
        <w:rPr>
          <w:rFonts w:eastAsia="Times New Roman" w:cs="Times New Roman"/>
        </w:rPr>
      </w:pPr>
      <w:r>
        <w:rPr>
          <w:rFonts w:eastAsia="Times New Roman" w:cs="Times New Roman"/>
          <w:color w:val="000000"/>
        </w:rPr>
        <w:lastRenderedPageBreak/>
        <w:t>Capacitatea de pescuit, ca factor decisiv în evaluarea economică a activității de pescuit</w:t>
      </w:r>
      <w:r>
        <w:rPr>
          <w:rFonts w:eastAsia="Times New Roman" w:cs="Times New Roman"/>
          <w:color w:val="0070C0"/>
        </w:rPr>
        <w:t xml:space="preserve">, </w:t>
      </w:r>
      <w:r>
        <w:rPr>
          <w:rFonts w:eastAsia="Times New Roman" w:cs="Times New Roman"/>
          <w:color w:val="000000"/>
        </w:rPr>
        <w:t>este definită luând în considerație tonajul, puterea motorului şi numărul ambarcațiunilor. Uneltele şi tehnicile de pescuit selectiv-nedistructive, rentabile, protejează resursele marine, conservă biodiversitatea biologică, ecosistemele marine și speciile de pești amenințate.</w:t>
      </w:r>
    </w:p>
    <w:p w14:paraId="60C7B542" w14:textId="77777777" w:rsidR="00670FD4" w:rsidRDefault="00670FD4" w:rsidP="00670FD4">
      <w:pPr>
        <w:spacing w:before="0"/>
        <w:ind w:firstLine="567"/>
        <w:rPr>
          <w:rFonts w:eastAsia="Times New Roman" w:cs="Times New Roman"/>
          <w:color w:val="000000"/>
        </w:rPr>
      </w:pPr>
      <w:r>
        <w:rPr>
          <w:rFonts w:eastAsia="Times New Roman" w:cs="Times New Roman"/>
          <w:color w:val="000000"/>
        </w:rPr>
        <w:t>În anul 2021 numărul de ambarcațiuni active a fost de 130 nave, în scădere comparativ cu 2020 (138 de nave), la fel ca și numărul navelor inactive. Caracteristicile ambarcațiunilor active în 2021 sunt redate în Tabelul 2.4.8.2.1.</w:t>
      </w:r>
    </w:p>
    <w:p w14:paraId="688198BD" w14:textId="77777777" w:rsidR="00670FD4" w:rsidRDefault="00670FD4" w:rsidP="00670FD4">
      <w:pPr>
        <w:ind w:firstLine="567"/>
        <w:rPr>
          <w:rFonts w:eastAsia="Times New Roman" w:cs="Times New Roman"/>
          <w:color w:val="000000"/>
        </w:rPr>
      </w:pPr>
    </w:p>
    <w:p w14:paraId="4ECD7CDA" w14:textId="77777777" w:rsidR="00670FD4" w:rsidRDefault="00670FD4" w:rsidP="00670FD4">
      <w:pPr>
        <w:ind w:firstLine="567"/>
        <w:jc w:val="center"/>
        <w:rPr>
          <w:rFonts w:eastAsia="Times New Roman" w:cs="Times New Roman"/>
          <w:b/>
        </w:rPr>
      </w:pPr>
      <w:r>
        <w:rPr>
          <w:rFonts w:eastAsia="Times New Roman" w:cs="Times New Roman"/>
          <w:b/>
        </w:rPr>
        <w:t>Tabel 2.4.8.2.1 Numărul total de ambarcațiuni active în anul 2021 (ANPA, 2022)</w:t>
      </w:r>
    </w:p>
    <w:tbl>
      <w:tblPr>
        <w:tblW w:w="9006" w:type="dxa"/>
        <w:jc w:val="center"/>
        <w:tblLayout w:type="fixed"/>
        <w:tblLook w:val="0400" w:firstRow="0" w:lastRow="0" w:firstColumn="0" w:lastColumn="0" w:noHBand="0" w:noVBand="1"/>
      </w:tblPr>
      <w:tblGrid>
        <w:gridCol w:w="1493"/>
        <w:gridCol w:w="1511"/>
        <w:gridCol w:w="1036"/>
        <w:gridCol w:w="1114"/>
        <w:gridCol w:w="929"/>
        <w:gridCol w:w="1000"/>
        <w:gridCol w:w="1000"/>
        <w:gridCol w:w="923"/>
      </w:tblGrid>
      <w:tr w:rsidR="00670FD4" w14:paraId="3E9DB9B0" w14:textId="77777777" w:rsidTr="001925BA">
        <w:trPr>
          <w:trHeight w:val="855"/>
          <w:jc w:val="center"/>
        </w:trPr>
        <w:tc>
          <w:tcPr>
            <w:tcW w:w="149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C3B8A24"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b/>
                <w:sz w:val="20"/>
                <w:szCs w:val="20"/>
              </w:rPr>
              <w:t>Clase de</w:t>
            </w:r>
          </w:p>
          <w:p w14:paraId="532F63D7"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b/>
                <w:sz w:val="20"/>
                <w:szCs w:val="20"/>
              </w:rPr>
              <w:t xml:space="preserve">lungime ambarcațiuni </w:t>
            </w:r>
          </w:p>
        </w:tc>
        <w:tc>
          <w:tcPr>
            <w:tcW w:w="1511"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C1603FF"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b/>
                <w:sz w:val="20"/>
                <w:szCs w:val="20"/>
              </w:rPr>
              <w:t>Total ambarcațiuni active</w:t>
            </w:r>
          </w:p>
        </w:tc>
        <w:tc>
          <w:tcPr>
            <w:tcW w:w="1036"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3A4461F"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b/>
                <w:sz w:val="20"/>
                <w:szCs w:val="20"/>
              </w:rPr>
              <w:t>Tehnica de pescuit</w:t>
            </w:r>
          </w:p>
        </w:tc>
        <w:tc>
          <w:tcPr>
            <w:tcW w:w="111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6022F019"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b/>
                <w:sz w:val="20"/>
                <w:szCs w:val="20"/>
              </w:rPr>
              <w:t xml:space="preserve">Lungime medie </w:t>
            </w:r>
            <w:r>
              <w:rPr>
                <w:rFonts w:eastAsia="Times New Roman" w:cs="Times New Roman"/>
                <w:sz w:val="20"/>
                <w:szCs w:val="20"/>
              </w:rPr>
              <w:t>(m)</w:t>
            </w:r>
          </w:p>
        </w:tc>
        <w:tc>
          <w:tcPr>
            <w:tcW w:w="92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761CAF2"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b/>
                <w:sz w:val="20"/>
                <w:szCs w:val="20"/>
              </w:rPr>
              <w:t xml:space="preserve">Vârsta medie </w:t>
            </w:r>
            <w:r>
              <w:rPr>
                <w:rFonts w:eastAsia="Times New Roman" w:cs="Times New Roman"/>
                <w:sz w:val="20"/>
                <w:szCs w:val="20"/>
              </w:rPr>
              <w:t>(ani)</w:t>
            </w:r>
          </w:p>
        </w:tc>
        <w:tc>
          <w:tcPr>
            <w:tcW w:w="1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DB373EA"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b/>
                <w:sz w:val="20"/>
                <w:szCs w:val="20"/>
              </w:rPr>
              <w:t>Total</w:t>
            </w:r>
          </w:p>
          <w:p w14:paraId="2872B538"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GT</w:t>
            </w:r>
          </w:p>
        </w:tc>
        <w:tc>
          <w:tcPr>
            <w:tcW w:w="1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39EFDAF"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b/>
                <w:sz w:val="20"/>
                <w:szCs w:val="20"/>
              </w:rPr>
              <w:t>Total</w:t>
            </w:r>
          </w:p>
          <w:p w14:paraId="15770256"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kW</w:t>
            </w:r>
          </w:p>
        </w:tc>
        <w:tc>
          <w:tcPr>
            <w:tcW w:w="92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11A155F7"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b/>
                <w:sz w:val="20"/>
                <w:szCs w:val="20"/>
              </w:rPr>
              <w:t>Nr.</w:t>
            </w:r>
          </w:p>
          <w:p w14:paraId="756BAB76"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b/>
                <w:sz w:val="20"/>
                <w:szCs w:val="20"/>
              </w:rPr>
              <w:t>oameni</w:t>
            </w:r>
          </w:p>
        </w:tc>
      </w:tr>
      <w:tr w:rsidR="00670FD4" w14:paraId="2BA7623A" w14:textId="77777777" w:rsidTr="001925BA">
        <w:trPr>
          <w:trHeight w:val="225"/>
          <w:jc w:val="center"/>
        </w:trPr>
        <w:tc>
          <w:tcPr>
            <w:tcW w:w="149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43E97D7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&lt; 6 m</w:t>
            </w:r>
          </w:p>
        </w:tc>
        <w:tc>
          <w:tcPr>
            <w:tcW w:w="1511"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6F7F009D" w14:textId="77777777" w:rsidR="00670FD4" w:rsidRDefault="00670FD4" w:rsidP="001925BA">
            <w:pPr>
              <w:spacing w:after="0" w:line="240" w:lineRule="auto"/>
              <w:ind w:left="100"/>
              <w:rPr>
                <w:rFonts w:eastAsia="Times New Roman" w:cs="Times New Roman"/>
                <w:sz w:val="20"/>
                <w:szCs w:val="20"/>
              </w:rPr>
            </w:pPr>
            <w:r>
              <w:rPr>
                <w:rFonts w:eastAsia="Times New Roman" w:cs="Times New Roman"/>
                <w:sz w:val="20"/>
                <w:szCs w:val="20"/>
              </w:rPr>
              <w:t>9</w:t>
            </w:r>
          </w:p>
        </w:tc>
        <w:tc>
          <w:tcPr>
            <w:tcW w:w="1036"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764784B0"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PG</w:t>
            </w:r>
          </w:p>
        </w:tc>
        <w:tc>
          <w:tcPr>
            <w:tcW w:w="111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0BA454E"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5,03</w:t>
            </w:r>
          </w:p>
        </w:tc>
        <w:tc>
          <w:tcPr>
            <w:tcW w:w="92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7501946E"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18,67</w:t>
            </w:r>
          </w:p>
        </w:tc>
        <w:tc>
          <w:tcPr>
            <w:tcW w:w="1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8A82AA8"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8,33</w:t>
            </w:r>
          </w:p>
        </w:tc>
        <w:tc>
          <w:tcPr>
            <w:tcW w:w="1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4679620C"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145,95</w:t>
            </w:r>
          </w:p>
        </w:tc>
        <w:tc>
          <w:tcPr>
            <w:tcW w:w="92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9B3393B"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17</w:t>
            </w:r>
          </w:p>
        </w:tc>
      </w:tr>
      <w:tr w:rsidR="00670FD4" w14:paraId="02B9B330" w14:textId="77777777" w:rsidTr="001925BA">
        <w:trPr>
          <w:trHeight w:val="225"/>
          <w:jc w:val="center"/>
        </w:trPr>
        <w:tc>
          <w:tcPr>
            <w:tcW w:w="149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4F70241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6- 12 m</w:t>
            </w:r>
          </w:p>
        </w:tc>
        <w:tc>
          <w:tcPr>
            <w:tcW w:w="1511"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1C2531BE" w14:textId="77777777" w:rsidR="00670FD4" w:rsidRDefault="00670FD4" w:rsidP="001925BA">
            <w:pPr>
              <w:spacing w:after="0" w:line="240" w:lineRule="auto"/>
              <w:ind w:left="100"/>
              <w:rPr>
                <w:rFonts w:eastAsia="Times New Roman" w:cs="Times New Roman"/>
                <w:sz w:val="20"/>
                <w:szCs w:val="20"/>
              </w:rPr>
            </w:pPr>
            <w:r>
              <w:rPr>
                <w:rFonts w:eastAsia="Times New Roman" w:cs="Times New Roman"/>
                <w:sz w:val="20"/>
                <w:szCs w:val="20"/>
              </w:rPr>
              <w:t>69</w:t>
            </w:r>
          </w:p>
        </w:tc>
        <w:tc>
          <w:tcPr>
            <w:tcW w:w="1036"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9F20004"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PG</w:t>
            </w:r>
          </w:p>
        </w:tc>
        <w:tc>
          <w:tcPr>
            <w:tcW w:w="111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3F789EC"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7,84</w:t>
            </w:r>
          </w:p>
        </w:tc>
        <w:tc>
          <w:tcPr>
            <w:tcW w:w="92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A72EEDD"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22,29</w:t>
            </w:r>
          </w:p>
        </w:tc>
        <w:tc>
          <w:tcPr>
            <w:tcW w:w="1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66425CBD"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135,63</w:t>
            </w:r>
          </w:p>
        </w:tc>
        <w:tc>
          <w:tcPr>
            <w:tcW w:w="1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1AECB14E"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748,43</w:t>
            </w:r>
          </w:p>
        </w:tc>
        <w:tc>
          <w:tcPr>
            <w:tcW w:w="92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55AAD5E"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165</w:t>
            </w:r>
          </w:p>
        </w:tc>
      </w:tr>
      <w:tr w:rsidR="00670FD4" w14:paraId="5ED3B149" w14:textId="77777777" w:rsidTr="001925BA">
        <w:trPr>
          <w:trHeight w:val="225"/>
          <w:jc w:val="center"/>
        </w:trPr>
        <w:tc>
          <w:tcPr>
            <w:tcW w:w="149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291BE93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6-12 m</w:t>
            </w:r>
          </w:p>
        </w:tc>
        <w:tc>
          <w:tcPr>
            <w:tcW w:w="1511"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2ECEC657" w14:textId="77777777" w:rsidR="00670FD4" w:rsidRDefault="00670FD4" w:rsidP="001925BA">
            <w:pPr>
              <w:spacing w:after="0" w:line="240" w:lineRule="auto"/>
              <w:ind w:left="100"/>
              <w:rPr>
                <w:rFonts w:eastAsia="Times New Roman" w:cs="Times New Roman"/>
                <w:sz w:val="20"/>
                <w:szCs w:val="20"/>
              </w:rPr>
            </w:pPr>
            <w:r>
              <w:rPr>
                <w:rFonts w:eastAsia="Times New Roman" w:cs="Times New Roman"/>
                <w:sz w:val="20"/>
                <w:szCs w:val="20"/>
              </w:rPr>
              <w:t>30</w:t>
            </w:r>
          </w:p>
        </w:tc>
        <w:tc>
          <w:tcPr>
            <w:tcW w:w="1036"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4D9BBC8A"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PMP</w:t>
            </w:r>
          </w:p>
        </w:tc>
        <w:tc>
          <w:tcPr>
            <w:tcW w:w="111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6A9CD82A"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8,74</w:t>
            </w:r>
          </w:p>
        </w:tc>
        <w:tc>
          <w:tcPr>
            <w:tcW w:w="92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1E1DC1E4"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15,83</w:t>
            </w:r>
          </w:p>
        </w:tc>
        <w:tc>
          <w:tcPr>
            <w:tcW w:w="1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76A3FA40"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176,41</w:t>
            </w:r>
          </w:p>
        </w:tc>
        <w:tc>
          <w:tcPr>
            <w:tcW w:w="1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BC472D2"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877,84</w:t>
            </w:r>
          </w:p>
        </w:tc>
        <w:tc>
          <w:tcPr>
            <w:tcW w:w="92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A75A8A6"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95</w:t>
            </w:r>
          </w:p>
        </w:tc>
      </w:tr>
      <w:tr w:rsidR="00670FD4" w14:paraId="70341083" w14:textId="77777777" w:rsidTr="001925BA">
        <w:trPr>
          <w:trHeight w:val="225"/>
          <w:jc w:val="center"/>
        </w:trPr>
        <w:tc>
          <w:tcPr>
            <w:tcW w:w="149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7A451435"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b/>
                <w:sz w:val="20"/>
                <w:szCs w:val="20"/>
              </w:rPr>
              <w:t>12-18 m</w:t>
            </w:r>
          </w:p>
        </w:tc>
        <w:tc>
          <w:tcPr>
            <w:tcW w:w="1511"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47253B86" w14:textId="77777777" w:rsidR="00670FD4" w:rsidRDefault="00670FD4" w:rsidP="001925BA">
            <w:pPr>
              <w:spacing w:after="0" w:line="240" w:lineRule="auto"/>
              <w:ind w:left="100"/>
              <w:rPr>
                <w:rFonts w:eastAsia="Times New Roman" w:cs="Times New Roman"/>
                <w:sz w:val="20"/>
                <w:szCs w:val="20"/>
              </w:rPr>
            </w:pPr>
            <w:r>
              <w:rPr>
                <w:rFonts w:eastAsia="Times New Roman" w:cs="Times New Roman"/>
                <w:sz w:val="20"/>
                <w:szCs w:val="20"/>
              </w:rPr>
              <w:t>18</w:t>
            </w:r>
          </w:p>
        </w:tc>
        <w:tc>
          <w:tcPr>
            <w:tcW w:w="1036"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7A6970B2"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PMP</w:t>
            </w:r>
          </w:p>
        </w:tc>
        <w:tc>
          <w:tcPr>
            <w:tcW w:w="111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A1567E2"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14,85</w:t>
            </w:r>
          </w:p>
        </w:tc>
        <w:tc>
          <w:tcPr>
            <w:tcW w:w="92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623F0F75"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12,56</w:t>
            </w:r>
          </w:p>
        </w:tc>
        <w:tc>
          <w:tcPr>
            <w:tcW w:w="1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2840EAD9"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596,31</w:t>
            </w:r>
          </w:p>
        </w:tc>
        <w:tc>
          <w:tcPr>
            <w:tcW w:w="1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D7E5D86"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2.493,57</w:t>
            </w:r>
          </w:p>
        </w:tc>
        <w:tc>
          <w:tcPr>
            <w:tcW w:w="92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3D6BD96"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72</w:t>
            </w:r>
          </w:p>
        </w:tc>
      </w:tr>
      <w:tr w:rsidR="00670FD4" w14:paraId="173E52BC" w14:textId="77777777" w:rsidTr="001925BA">
        <w:trPr>
          <w:trHeight w:val="225"/>
          <w:jc w:val="center"/>
        </w:trPr>
        <w:tc>
          <w:tcPr>
            <w:tcW w:w="149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186A5672"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b/>
                <w:sz w:val="20"/>
                <w:szCs w:val="20"/>
              </w:rPr>
              <w:t>18-24 m</w:t>
            </w:r>
          </w:p>
        </w:tc>
        <w:tc>
          <w:tcPr>
            <w:tcW w:w="1511"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428319C6" w14:textId="77777777" w:rsidR="00670FD4" w:rsidRDefault="00670FD4" w:rsidP="001925BA">
            <w:pPr>
              <w:spacing w:after="0" w:line="240" w:lineRule="auto"/>
              <w:ind w:left="100"/>
              <w:rPr>
                <w:rFonts w:eastAsia="Times New Roman" w:cs="Times New Roman"/>
                <w:sz w:val="20"/>
                <w:szCs w:val="20"/>
              </w:rPr>
            </w:pPr>
            <w:r>
              <w:rPr>
                <w:rFonts w:eastAsia="Times New Roman" w:cs="Times New Roman"/>
                <w:sz w:val="20"/>
                <w:szCs w:val="20"/>
              </w:rPr>
              <w:t>3</w:t>
            </w:r>
          </w:p>
        </w:tc>
        <w:tc>
          <w:tcPr>
            <w:tcW w:w="1036"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A8089E9"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PMP</w:t>
            </w:r>
          </w:p>
        </w:tc>
        <w:tc>
          <w:tcPr>
            <w:tcW w:w="111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70378655"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22,13</w:t>
            </w:r>
          </w:p>
        </w:tc>
        <w:tc>
          <w:tcPr>
            <w:tcW w:w="92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1D297127"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31,00</w:t>
            </w:r>
          </w:p>
        </w:tc>
        <w:tc>
          <w:tcPr>
            <w:tcW w:w="1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9E6ABD3"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318,00</w:t>
            </w:r>
          </w:p>
        </w:tc>
        <w:tc>
          <w:tcPr>
            <w:tcW w:w="1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15AA283"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846,25</w:t>
            </w:r>
          </w:p>
        </w:tc>
        <w:tc>
          <w:tcPr>
            <w:tcW w:w="92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D191B70"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12</w:t>
            </w:r>
          </w:p>
        </w:tc>
      </w:tr>
      <w:tr w:rsidR="00670FD4" w14:paraId="13BE3450" w14:textId="77777777" w:rsidTr="001925BA">
        <w:trPr>
          <w:trHeight w:val="225"/>
          <w:jc w:val="center"/>
        </w:trPr>
        <w:tc>
          <w:tcPr>
            <w:tcW w:w="149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4CF8BA5E"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&gt; 24 m</w:t>
            </w:r>
          </w:p>
        </w:tc>
        <w:tc>
          <w:tcPr>
            <w:tcW w:w="1511"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7D1295F4" w14:textId="77777777" w:rsidR="00670FD4" w:rsidRDefault="00670FD4" w:rsidP="001925BA">
            <w:pPr>
              <w:spacing w:after="0" w:line="240" w:lineRule="auto"/>
              <w:ind w:left="100"/>
              <w:rPr>
                <w:rFonts w:eastAsia="Times New Roman" w:cs="Times New Roman"/>
                <w:sz w:val="20"/>
                <w:szCs w:val="20"/>
              </w:rPr>
            </w:pPr>
            <w:r>
              <w:rPr>
                <w:rFonts w:eastAsia="Times New Roman" w:cs="Times New Roman"/>
                <w:sz w:val="20"/>
                <w:szCs w:val="20"/>
              </w:rPr>
              <w:t>1</w:t>
            </w:r>
          </w:p>
        </w:tc>
        <w:tc>
          <w:tcPr>
            <w:tcW w:w="1036"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4D0FA614"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PMP</w:t>
            </w:r>
          </w:p>
        </w:tc>
        <w:tc>
          <w:tcPr>
            <w:tcW w:w="111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6C633198"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25,50</w:t>
            </w:r>
          </w:p>
        </w:tc>
        <w:tc>
          <w:tcPr>
            <w:tcW w:w="92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4727660"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39,00</w:t>
            </w:r>
          </w:p>
        </w:tc>
        <w:tc>
          <w:tcPr>
            <w:tcW w:w="1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263418EB"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117,00</w:t>
            </w:r>
          </w:p>
        </w:tc>
        <w:tc>
          <w:tcPr>
            <w:tcW w:w="1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7ACB342"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220,00</w:t>
            </w:r>
          </w:p>
        </w:tc>
        <w:tc>
          <w:tcPr>
            <w:tcW w:w="92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7765B42E"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4</w:t>
            </w:r>
          </w:p>
        </w:tc>
      </w:tr>
      <w:tr w:rsidR="00670FD4" w14:paraId="0666748D" w14:textId="77777777" w:rsidTr="001925BA">
        <w:trPr>
          <w:trHeight w:val="225"/>
          <w:jc w:val="center"/>
        </w:trPr>
        <w:tc>
          <w:tcPr>
            <w:tcW w:w="149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2E98E40"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b/>
                <w:sz w:val="20"/>
                <w:szCs w:val="20"/>
              </w:rPr>
              <w:t>TOTAL</w:t>
            </w:r>
          </w:p>
        </w:tc>
        <w:tc>
          <w:tcPr>
            <w:tcW w:w="1511"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502CEAB" w14:textId="77777777" w:rsidR="00670FD4" w:rsidRDefault="00670FD4" w:rsidP="001925BA">
            <w:pPr>
              <w:spacing w:after="0" w:line="240" w:lineRule="auto"/>
              <w:ind w:left="100"/>
              <w:rPr>
                <w:rFonts w:eastAsia="Times New Roman" w:cs="Times New Roman"/>
                <w:sz w:val="20"/>
                <w:szCs w:val="20"/>
              </w:rPr>
            </w:pPr>
            <w:r>
              <w:rPr>
                <w:rFonts w:eastAsia="Times New Roman" w:cs="Times New Roman"/>
                <w:sz w:val="20"/>
                <w:szCs w:val="20"/>
              </w:rPr>
              <w:t>130</w:t>
            </w:r>
          </w:p>
        </w:tc>
        <w:tc>
          <w:tcPr>
            <w:tcW w:w="1036"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67BF5069" w14:textId="77777777" w:rsidR="00670FD4" w:rsidRDefault="00670FD4" w:rsidP="001925BA">
            <w:pPr>
              <w:spacing w:after="0" w:line="240" w:lineRule="auto"/>
              <w:ind w:left="100"/>
              <w:jc w:val="center"/>
              <w:rPr>
                <w:rFonts w:eastAsia="Times New Roman" w:cs="Times New Roman"/>
                <w:sz w:val="20"/>
                <w:szCs w:val="20"/>
              </w:rPr>
            </w:pPr>
            <w:r>
              <w:rPr>
                <w:rFonts w:eastAsia="Times New Roman" w:cs="Times New Roman"/>
                <w:sz w:val="20"/>
                <w:szCs w:val="20"/>
              </w:rPr>
              <w:t> </w:t>
            </w:r>
          </w:p>
        </w:tc>
        <w:tc>
          <w:tcPr>
            <w:tcW w:w="111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17CB844" w14:textId="77777777" w:rsidR="00670FD4" w:rsidRDefault="00670FD4" w:rsidP="001925BA">
            <w:pPr>
              <w:spacing w:after="0" w:line="240" w:lineRule="auto"/>
              <w:ind w:left="100"/>
              <w:jc w:val="center"/>
              <w:rPr>
                <w:rFonts w:eastAsia="Times New Roman" w:cs="Times New Roman"/>
                <w:sz w:val="20"/>
                <w:szCs w:val="20"/>
              </w:rPr>
            </w:pPr>
            <w:r>
              <w:rPr>
                <w:rFonts w:eastAsia="Times New Roman" w:cs="Times New Roman"/>
                <w:sz w:val="20"/>
                <w:szCs w:val="20"/>
              </w:rPr>
              <w:t> </w:t>
            </w:r>
          </w:p>
        </w:tc>
        <w:tc>
          <w:tcPr>
            <w:tcW w:w="92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18B5E6AA" w14:textId="77777777" w:rsidR="00670FD4" w:rsidRDefault="00670FD4" w:rsidP="001925BA">
            <w:pPr>
              <w:spacing w:after="0" w:line="240" w:lineRule="auto"/>
              <w:ind w:left="100"/>
              <w:jc w:val="center"/>
              <w:rPr>
                <w:rFonts w:eastAsia="Times New Roman" w:cs="Times New Roman"/>
                <w:sz w:val="20"/>
                <w:szCs w:val="20"/>
              </w:rPr>
            </w:pPr>
            <w:r>
              <w:rPr>
                <w:rFonts w:eastAsia="Times New Roman" w:cs="Times New Roman"/>
                <w:sz w:val="20"/>
                <w:szCs w:val="20"/>
              </w:rPr>
              <w:t> </w:t>
            </w:r>
          </w:p>
        </w:tc>
        <w:tc>
          <w:tcPr>
            <w:tcW w:w="1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155ED90F"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1.351,68</w:t>
            </w:r>
          </w:p>
        </w:tc>
        <w:tc>
          <w:tcPr>
            <w:tcW w:w="1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72B9CAFF"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5.332,04</w:t>
            </w:r>
          </w:p>
        </w:tc>
        <w:tc>
          <w:tcPr>
            <w:tcW w:w="92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CAD7B77"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sz w:val="20"/>
                <w:szCs w:val="20"/>
              </w:rPr>
              <w:t>365</w:t>
            </w:r>
          </w:p>
        </w:tc>
      </w:tr>
    </w:tbl>
    <w:p w14:paraId="2392036A" w14:textId="77777777" w:rsidR="00670FD4" w:rsidRDefault="00670FD4" w:rsidP="00670FD4">
      <w:pPr>
        <w:spacing w:before="0"/>
        <w:ind w:firstLine="567"/>
        <w:rPr>
          <w:rFonts w:eastAsia="Times New Roman" w:cs="Times New Roman"/>
        </w:rPr>
      </w:pPr>
    </w:p>
    <w:p w14:paraId="3399CA35" w14:textId="77777777" w:rsidR="00670FD4" w:rsidRDefault="00670FD4" w:rsidP="00670FD4">
      <w:pPr>
        <w:spacing w:before="0"/>
        <w:ind w:firstLine="567"/>
        <w:rPr>
          <w:rFonts w:eastAsia="Times New Roman" w:cs="Times New Roman"/>
        </w:rPr>
      </w:pPr>
      <w:r>
        <w:rPr>
          <w:rFonts w:eastAsia="Times New Roman" w:cs="Times New Roman"/>
        </w:rPr>
        <w:t>Activitatea de pescuit industrial se realizează folosindu-se două tipuri de unelte: active și fixe. Pescuitul cu unelte active se efectuează la adâncimi mai mari de 20 m, cu nave trauler și cu următoarele unelte: traul pelagic, beam traul şi năvod. Pescuitul cu unelte fixe este practicat în lungul litoralului românesc, la mică adâncime de 2-11 m, cu taliene, dar și la adâncimi de 20-60 m. Sunt folosite instalaţii, plase și capcane destinate capturării speciilor de pești care migrează în ape puțin adânci, dar și alte unelte, precum talianul, setca (pelagică sau demersală), volte, țaparine și paragate.</w:t>
      </w:r>
    </w:p>
    <w:p w14:paraId="2DEF1EC8" w14:textId="77777777" w:rsidR="00670FD4" w:rsidRDefault="00670FD4" w:rsidP="00670FD4">
      <w:pPr>
        <w:spacing w:before="0"/>
        <w:ind w:firstLine="567"/>
        <w:rPr>
          <w:rFonts w:eastAsia="Times New Roman" w:cs="Times New Roman"/>
          <w:color w:val="000000"/>
        </w:rPr>
      </w:pPr>
      <w:bookmarkStart w:id="91" w:name="_heading=h.3o7alnk" w:colFirst="0" w:colLast="0"/>
      <w:bookmarkEnd w:id="91"/>
      <w:r>
        <w:rPr>
          <w:rFonts w:eastAsia="Times New Roman" w:cs="Times New Roman"/>
          <w:color w:val="000000"/>
        </w:rPr>
        <w:t xml:space="preserve">În conformitate cu sistemele de clasificare europene (Decizia (UE) 2021/1167 </w:t>
      </w:r>
      <w:r>
        <w:rPr>
          <w:rFonts w:eastAsia="Times New Roman" w:cs="Times New Roman"/>
          <w:i/>
          <w:color w:val="000000"/>
        </w:rPr>
        <w:t>Activitatea de pescuit</w:t>
      </w:r>
      <w:r>
        <w:rPr>
          <w:rFonts w:eastAsia="Times New Roman" w:cs="Times New Roman"/>
          <w:color w:val="000000"/>
        </w:rPr>
        <w:t>/</w:t>
      </w:r>
      <w:r>
        <w:rPr>
          <w:rFonts w:eastAsia="Times New Roman" w:cs="Times New Roman"/>
          <w:i/>
          <w:color w:val="000000"/>
        </w:rPr>
        <w:t>tehnica de pescuit</w:t>
      </w:r>
      <w:r>
        <w:rPr>
          <w:rFonts w:eastAsia="Times New Roman" w:cs="Times New Roman"/>
          <w:color w:val="000000"/>
        </w:rPr>
        <w:t>), România a adoptat categoriile de tehnici de pescuit redate în Tabelul 2.4.8.2.2.</w:t>
      </w:r>
    </w:p>
    <w:p w14:paraId="497CBC17" w14:textId="77777777" w:rsidR="00670FD4" w:rsidRDefault="00670FD4" w:rsidP="00670FD4">
      <w:pPr>
        <w:ind w:firstLine="567"/>
        <w:rPr>
          <w:rFonts w:eastAsia="Times New Roman" w:cs="Times New Roman"/>
          <w:color w:val="000000"/>
        </w:rPr>
      </w:pPr>
    </w:p>
    <w:p w14:paraId="5148AB9A" w14:textId="77777777" w:rsidR="00670FD4" w:rsidRDefault="00670FD4" w:rsidP="00670FD4">
      <w:pPr>
        <w:spacing w:after="0"/>
        <w:ind w:firstLine="0"/>
        <w:jc w:val="center"/>
        <w:rPr>
          <w:rFonts w:eastAsia="Times New Roman" w:cs="Times New Roman"/>
        </w:rPr>
      </w:pPr>
      <w:r>
        <w:rPr>
          <w:rFonts w:eastAsia="Times New Roman" w:cs="Times New Roman"/>
          <w:b/>
          <w:color w:val="000000"/>
        </w:rPr>
        <w:t>Tabel 2.4.8.2.2 Tehnici de pescuit la litoralul românesc (ANPA-PNCDP, 2022)</w:t>
      </w:r>
    </w:p>
    <w:tbl>
      <w:tblPr>
        <w:tblW w:w="9124" w:type="dxa"/>
        <w:jc w:val="center"/>
        <w:tblLayout w:type="fixed"/>
        <w:tblLook w:val="0400" w:firstRow="0" w:lastRow="0" w:firstColumn="0" w:lastColumn="0" w:noHBand="0" w:noVBand="1"/>
      </w:tblPr>
      <w:tblGrid>
        <w:gridCol w:w="3906"/>
        <w:gridCol w:w="5218"/>
      </w:tblGrid>
      <w:tr w:rsidR="00670FD4" w14:paraId="42EA6918" w14:textId="77777777" w:rsidTr="001925BA">
        <w:trPr>
          <w:trHeight w:val="20"/>
          <w:jc w:val="center"/>
        </w:trPr>
        <w:tc>
          <w:tcPr>
            <w:tcW w:w="39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BEC0657" w14:textId="77777777" w:rsidR="00670FD4" w:rsidRDefault="00670FD4" w:rsidP="001925BA">
            <w:pPr>
              <w:spacing w:after="0" w:line="240" w:lineRule="auto"/>
              <w:ind w:firstLine="0"/>
              <w:rPr>
                <w:rFonts w:eastAsia="Times New Roman" w:cs="Times New Roman"/>
              </w:rPr>
            </w:pPr>
            <w:r>
              <w:rPr>
                <w:rFonts w:eastAsia="Times New Roman" w:cs="Times New Roman"/>
                <w:color w:val="000000"/>
              </w:rPr>
              <w:t>Pescuitul cu traulul pelagic</w:t>
            </w:r>
          </w:p>
        </w:tc>
        <w:tc>
          <w:tcPr>
            <w:tcW w:w="521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8BC17D0" w14:textId="77777777" w:rsidR="00670FD4" w:rsidRDefault="00670FD4" w:rsidP="001925BA">
            <w:pPr>
              <w:spacing w:after="0" w:line="240" w:lineRule="auto"/>
              <w:rPr>
                <w:rFonts w:eastAsia="Times New Roman" w:cs="Times New Roman"/>
              </w:rPr>
            </w:pPr>
            <w:r>
              <w:rPr>
                <w:rFonts w:eastAsia="Times New Roman" w:cs="Times New Roman"/>
                <w:color w:val="000000"/>
              </w:rPr>
              <w:t>OTM_MPD_&gt;=13_19_0 _0</w:t>
            </w:r>
          </w:p>
        </w:tc>
      </w:tr>
      <w:tr w:rsidR="00670FD4" w14:paraId="078AED23" w14:textId="77777777" w:rsidTr="001925BA">
        <w:trPr>
          <w:trHeight w:val="20"/>
          <w:jc w:val="center"/>
        </w:trPr>
        <w:tc>
          <w:tcPr>
            <w:tcW w:w="39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5CE9217" w14:textId="77777777" w:rsidR="00670FD4" w:rsidRDefault="00670FD4" w:rsidP="001925BA">
            <w:pPr>
              <w:spacing w:after="0" w:line="240" w:lineRule="auto"/>
              <w:ind w:firstLine="0"/>
              <w:rPr>
                <w:rFonts w:eastAsia="Times New Roman" w:cs="Times New Roman"/>
              </w:rPr>
            </w:pPr>
            <w:r>
              <w:rPr>
                <w:rFonts w:eastAsia="Times New Roman" w:cs="Times New Roman"/>
                <w:color w:val="000000"/>
              </w:rPr>
              <w:t>Pescuitul cu beam traul</w:t>
            </w:r>
          </w:p>
        </w:tc>
        <w:tc>
          <w:tcPr>
            <w:tcW w:w="521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0C74410" w14:textId="77777777" w:rsidR="00670FD4" w:rsidRDefault="00670FD4" w:rsidP="001925BA">
            <w:pPr>
              <w:spacing w:after="0" w:line="240" w:lineRule="auto"/>
              <w:rPr>
                <w:rFonts w:eastAsia="Times New Roman" w:cs="Times New Roman"/>
              </w:rPr>
            </w:pPr>
            <w:r>
              <w:rPr>
                <w:rFonts w:eastAsia="Times New Roman" w:cs="Times New Roman"/>
                <w:color w:val="000000"/>
              </w:rPr>
              <w:t>TBB_MOL_0_0_0</w:t>
            </w:r>
          </w:p>
        </w:tc>
      </w:tr>
      <w:tr w:rsidR="00670FD4" w14:paraId="11F43460" w14:textId="77777777" w:rsidTr="001925BA">
        <w:trPr>
          <w:trHeight w:val="20"/>
          <w:jc w:val="center"/>
        </w:trPr>
        <w:tc>
          <w:tcPr>
            <w:tcW w:w="39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7B80A97" w14:textId="77777777" w:rsidR="00670FD4" w:rsidRDefault="00670FD4" w:rsidP="001925BA">
            <w:pPr>
              <w:spacing w:after="0" w:line="240" w:lineRule="auto"/>
              <w:ind w:firstLine="0"/>
              <w:rPr>
                <w:rFonts w:eastAsia="Times New Roman" w:cs="Times New Roman"/>
              </w:rPr>
            </w:pPr>
            <w:r>
              <w:rPr>
                <w:rFonts w:eastAsia="Times New Roman" w:cs="Times New Roman"/>
                <w:color w:val="000000"/>
              </w:rPr>
              <w:t>Pescuitul cu talianul</w:t>
            </w:r>
          </w:p>
        </w:tc>
        <w:tc>
          <w:tcPr>
            <w:tcW w:w="521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A7B2981" w14:textId="77777777" w:rsidR="00670FD4" w:rsidRDefault="00670FD4" w:rsidP="001925BA">
            <w:pPr>
              <w:spacing w:after="0" w:line="240" w:lineRule="auto"/>
              <w:rPr>
                <w:rFonts w:eastAsia="Times New Roman" w:cs="Times New Roman"/>
              </w:rPr>
            </w:pPr>
            <w:r>
              <w:rPr>
                <w:rFonts w:eastAsia="Times New Roman" w:cs="Times New Roman"/>
                <w:color w:val="000000"/>
              </w:rPr>
              <w:t>FPN_MPD_&gt;=0_0_0</w:t>
            </w:r>
          </w:p>
        </w:tc>
      </w:tr>
      <w:tr w:rsidR="00670FD4" w14:paraId="2AAAD686" w14:textId="77777777" w:rsidTr="001925BA">
        <w:trPr>
          <w:trHeight w:val="20"/>
          <w:jc w:val="center"/>
        </w:trPr>
        <w:tc>
          <w:tcPr>
            <w:tcW w:w="39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089F9AD" w14:textId="77777777" w:rsidR="00670FD4" w:rsidRDefault="00670FD4" w:rsidP="001925BA">
            <w:pPr>
              <w:spacing w:after="0" w:line="240" w:lineRule="auto"/>
              <w:ind w:firstLine="0"/>
              <w:rPr>
                <w:rFonts w:eastAsia="Times New Roman" w:cs="Times New Roman"/>
              </w:rPr>
            </w:pPr>
            <w:r>
              <w:rPr>
                <w:rFonts w:eastAsia="Times New Roman" w:cs="Times New Roman"/>
                <w:color w:val="000000"/>
              </w:rPr>
              <w:lastRenderedPageBreak/>
              <w:t>Pescuitul pelagic/demersal cu setci</w:t>
            </w:r>
          </w:p>
        </w:tc>
        <w:tc>
          <w:tcPr>
            <w:tcW w:w="521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83C4188" w14:textId="77777777" w:rsidR="00670FD4" w:rsidRDefault="00670FD4" w:rsidP="001925BA">
            <w:pPr>
              <w:spacing w:after="0" w:line="240" w:lineRule="auto"/>
              <w:jc w:val="center"/>
              <w:rPr>
                <w:rFonts w:eastAsia="Times New Roman" w:cs="Times New Roman"/>
              </w:rPr>
            </w:pPr>
            <w:r>
              <w:rPr>
                <w:rFonts w:eastAsia="Times New Roman" w:cs="Times New Roman"/>
                <w:color w:val="000000"/>
              </w:rPr>
              <w:t>GNS_DEF_360-400_0_0; GNS_DEF_0_0_0</w:t>
            </w:r>
          </w:p>
        </w:tc>
      </w:tr>
      <w:tr w:rsidR="00670FD4" w14:paraId="08867852" w14:textId="77777777" w:rsidTr="001925BA">
        <w:trPr>
          <w:trHeight w:val="20"/>
          <w:jc w:val="center"/>
        </w:trPr>
        <w:tc>
          <w:tcPr>
            <w:tcW w:w="39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6F49D88" w14:textId="77777777" w:rsidR="00670FD4" w:rsidRDefault="00670FD4" w:rsidP="001925BA">
            <w:pPr>
              <w:spacing w:after="0" w:line="240" w:lineRule="auto"/>
              <w:ind w:firstLine="0"/>
              <w:rPr>
                <w:rFonts w:eastAsia="Times New Roman" w:cs="Times New Roman"/>
              </w:rPr>
            </w:pPr>
            <w:r>
              <w:rPr>
                <w:rFonts w:eastAsia="Times New Roman" w:cs="Times New Roman"/>
                <w:color w:val="000000"/>
              </w:rPr>
              <w:t>Pescuit cu volte și undițe</w:t>
            </w:r>
          </w:p>
        </w:tc>
        <w:tc>
          <w:tcPr>
            <w:tcW w:w="521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14C55DB" w14:textId="77777777" w:rsidR="00670FD4" w:rsidRDefault="00670FD4" w:rsidP="001925BA">
            <w:pPr>
              <w:spacing w:after="0" w:line="240" w:lineRule="auto"/>
              <w:rPr>
                <w:rFonts w:eastAsia="Times New Roman" w:cs="Times New Roman"/>
              </w:rPr>
            </w:pPr>
            <w:r>
              <w:rPr>
                <w:rFonts w:eastAsia="Times New Roman" w:cs="Times New Roman"/>
                <w:color w:val="000000"/>
              </w:rPr>
              <w:t>LHP-LHM_ FIF_0_0_0</w:t>
            </w:r>
          </w:p>
        </w:tc>
      </w:tr>
      <w:tr w:rsidR="00670FD4" w14:paraId="2AABB341" w14:textId="77777777" w:rsidTr="001925BA">
        <w:trPr>
          <w:trHeight w:val="20"/>
          <w:jc w:val="center"/>
        </w:trPr>
        <w:tc>
          <w:tcPr>
            <w:tcW w:w="39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9C29963" w14:textId="77777777" w:rsidR="00670FD4" w:rsidRDefault="00670FD4" w:rsidP="001925BA">
            <w:pPr>
              <w:spacing w:after="0" w:line="240" w:lineRule="auto"/>
              <w:ind w:firstLine="0"/>
              <w:rPr>
                <w:rFonts w:eastAsia="Times New Roman" w:cs="Times New Roman"/>
              </w:rPr>
            </w:pPr>
            <w:r>
              <w:rPr>
                <w:rFonts w:eastAsia="Times New Roman" w:cs="Times New Roman"/>
                <w:color w:val="000000"/>
              </w:rPr>
              <w:t>Pescuitul cu paragate</w:t>
            </w:r>
          </w:p>
        </w:tc>
        <w:tc>
          <w:tcPr>
            <w:tcW w:w="521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9833C44" w14:textId="77777777" w:rsidR="00670FD4" w:rsidRDefault="00670FD4" w:rsidP="001925BA">
            <w:pPr>
              <w:spacing w:after="0" w:line="240" w:lineRule="auto"/>
              <w:rPr>
                <w:rFonts w:eastAsia="Times New Roman" w:cs="Times New Roman"/>
              </w:rPr>
            </w:pPr>
            <w:r>
              <w:rPr>
                <w:rFonts w:eastAsia="Times New Roman" w:cs="Times New Roman"/>
                <w:color w:val="000000"/>
              </w:rPr>
              <w:t>LLS_DEF_0_0_0</w:t>
            </w:r>
          </w:p>
        </w:tc>
      </w:tr>
      <w:tr w:rsidR="00670FD4" w14:paraId="324E74D0" w14:textId="77777777" w:rsidTr="001925BA">
        <w:trPr>
          <w:trHeight w:val="20"/>
          <w:jc w:val="center"/>
        </w:trPr>
        <w:tc>
          <w:tcPr>
            <w:tcW w:w="39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8088115" w14:textId="77777777" w:rsidR="00670FD4" w:rsidRDefault="00670FD4" w:rsidP="001925BA">
            <w:pPr>
              <w:spacing w:after="0" w:line="240" w:lineRule="auto"/>
              <w:ind w:firstLine="0"/>
              <w:rPr>
                <w:rFonts w:eastAsia="Times New Roman" w:cs="Times New Roman"/>
              </w:rPr>
            </w:pPr>
            <w:r>
              <w:rPr>
                <w:rFonts w:eastAsia="Times New Roman" w:cs="Times New Roman"/>
                <w:color w:val="000000"/>
              </w:rPr>
              <w:t>Recoltarea manuală a rapanei</w:t>
            </w:r>
          </w:p>
        </w:tc>
        <w:tc>
          <w:tcPr>
            <w:tcW w:w="521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94CCC83" w14:textId="77777777" w:rsidR="00670FD4" w:rsidRDefault="00670FD4" w:rsidP="001925BA">
            <w:pPr>
              <w:spacing w:after="0" w:line="240" w:lineRule="auto"/>
              <w:rPr>
                <w:rFonts w:eastAsia="Times New Roman" w:cs="Times New Roman"/>
              </w:rPr>
            </w:pPr>
            <w:r>
              <w:rPr>
                <w:rFonts w:eastAsia="Times New Roman" w:cs="Times New Roman"/>
                <w:color w:val="000000"/>
              </w:rPr>
              <w:t>MISC</w:t>
            </w:r>
          </w:p>
        </w:tc>
      </w:tr>
    </w:tbl>
    <w:p w14:paraId="06E42463" w14:textId="77777777" w:rsidR="00670FD4" w:rsidRDefault="00670FD4" w:rsidP="00670FD4">
      <w:pPr>
        <w:jc w:val="center"/>
        <w:rPr>
          <w:rFonts w:eastAsia="Times New Roman" w:cs="Times New Roman"/>
          <w:b/>
        </w:rPr>
      </w:pPr>
    </w:p>
    <w:p w14:paraId="79548EC0" w14:textId="77777777" w:rsidR="00670FD4" w:rsidRDefault="00670FD4" w:rsidP="00670FD4">
      <w:pPr>
        <w:jc w:val="center"/>
        <w:rPr>
          <w:rFonts w:eastAsia="Times New Roman" w:cs="Times New Roman"/>
          <w:b/>
        </w:rPr>
      </w:pPr>
      <w:r>
        <w:rPr>
          <w:noProof/>
        </w:rPr>
        <w:drawing>
          <wp:inline distT="0" distB="0" distL="0" distR="0" wp14:anchorId="0380154E" wp14:editId="63BE05DC">
            <wp:extent cx="3987503" cy="5637991"/>
            <wp:effectExtent l="0" t="0" r="0" b="0"/>
            <wp:docPr id="2141401953"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45"/>
                    <a:srcRect/>
                    <a:stretch>
                      <a:fillRect/>
                    </a:stretch>
                  </pic:blipFill>
                  <pic:spPr>
                    <a:xfrm>
                      <a:off x="0" y="0"/>
                      <a:ext cx="3987503" cy="5637991"/>
                    </a:xfrm>
                    <a:prstGeom prst="rect">
                      <a:avLst/>
                    </a:prstGeom>
                    <a:ln/>
                  </pic:spPr>
                </pic:pic>
              </a:graphicData>
            </a:graphic>
          </wp:inline>
        </w:drawing>
      </w:r>
    </w:p>
    <w:p w14:paraId="3BF56312" w14:textId="77777777" w:rsidR="00670FD4" w:rsidRDefault="00670FD4" w:rsidP="00670FD4">
      <w:pPr>
        <w:ind w:firstLine="567"/>
        <w:jc w:val="center"/>
        <w:rPr>
          <w:rFonts w:eastAsia="Times New Roman" w:cs="Times New Roman"/>
          <w:b/>
        </w:rPr>
      </w:pPr>
      <w:r>
        <w:rPr>
          <w:rFonts w:eastAsia="Times New Roman" w:cs="Times New Roman"/>
          <w:b/>
        </w:rPr>
        <w:t>Fig. 2.4.8.2.2 Harta porturilor de la litoralul românesc al Mării Negre</w:t>
      </w:r>
    </w:p>
    <w:p w14:paraId="4FE6852D" w14:textId="77777777" w:rsidR="00670FD4" w:rsidRDefault="00670FD4" w:rsidP="00670FD4"/>
    <w:p w14:paraId="598FEECE" w14:textId="77777777" w:rsidR="00670FD4" w:rsidRDefault="00670FD4" w:rsidP="00670FD4">
      <w:pPr>
        <w:spacing w:before="0"/>
        <w:ind w:firstLine="567"/>
        <w:rPr>
          <w:rFonts w:eastAsia="Times New Roman" w:cs="Times New Roman"/>
          <w:color w:val="000000"/>
          <w:highlight w:val="white"/>
        </w:rPr>
      </w:pPr>
      <w:r>
        <w:rPr>
          <w:rFonts w:eastAsia="Times New Roman" w:cs="Times New Roman"/>
          <w:color w:val="000000"/>
          <w:highlight w:val="white"/>
        </w:rPr>
        <w:t xml:space="preserve">În 2022, au fost autorizate următoarele tipuri și număr de unelte: OTM (traule pelagice) - 53; TBB (beam traul) - 73; GNS (setci) - 5595, GNS (setci de calcan) - 6244; FPN (taliene) - 48; LLS (volte, țaparine, paragate) - 777; FPO - 4453. </w:t>
      </w:r>
    </w:p>
    <w:p w14:paraId="01C93E6A" w14:textId="77777777" w:rsidR="00670FD4" w:rsidRDefault="00670FD4" w:rsidP="00670FD4">
      <w:pPr>
        <w:spacing w:before="0"/>
        <w:ind w:firstLine="567"/>
        <w:rPr>
          <w:rFonts w:eastAsia="Times New Roman" w:cs="Times New Roman"/>
          <w:color w:val="000000"/>
          <w:highlight w:val="white"/>
        </w:rPr>
      </w:pPr>
      <w:r>
        <w:rPr>
          <w:rFonts w:eastAsia="Times New Roman" w:cs="Times New Roman"/>
          <w:color w:val="000000"/>
          <w:highlight w:val="white"/>
        </w:rPr>
        <w:lastRenderedPageBreak/>
        <w:t>Nivelul capturii și eficiența pescuitului sunt dependente de evoluția condițiilor hidroclimatice, factorii antropici, starea stocurilor speciilor principale, capacitatea și efortul de pescuit (număr de ambarcațiuni, tonaj, puterea motorului, număr de unelte, număr de zile efective de pescuit, etc). Conform ANPA, în  2022, structura capturilor a fost formată din specii de talie mică (şprot, hamsie, bacaliar, stavrid, guvizi) şi de talie mai mare (calcan, rechin, scrumbie de Dunăre). Principalele specii capturate au fost: rapana - 2.144.300 kg; midia - 368.250 kg; hamsia - 30.250 kg, șprotul - 61.648 kg; stavridul - 16.293 kg; calcanul - 60.866 kg, strunghilul - 4.912 kg, hanosul - 1.731 kg, barbunul - 23.331 kg, scrumbia de Dunăre - 2.281 kg), lufarul - 22.504 kg, pisica de mare - 5.322 kg, zărganul - 303 kg, chefalul - 2. 703 kg, vulpea de mare - 1.209 kg, bacaliarul - 1.063 kg, rechinul - 532 kg și alte specii - 5.733 kg.</w:t>
      </w:r>
    </w:p>
    <w:p w14:paraId="206C195D" w14:textId="77777777" w:rsidR="00670FD4" w:rsidRDefault="00670FD4" w:rsidP="00670FD4">
      <w:pPr>
        <w:spacing w:before="0"/>
        <w:rPr>
          <w:rFonts w:eastAsia="Times New Roman" w:cs="Times New Roman"/>
          <w:i/>
          <w:color w:val="000000"/>
          <w:highlight w:val="white"/>
        </w:rPr>
      </w:pPr>
      <w:r>
        <w:rPr>
          <w:rFonts w:eastAsia="Times New Roman" w:cs="Times New Roman"/>
          <w:i/>
          <w:color w:val="000000"/>
          <w:highlight w:val="white"/>
        </w:rPr>
        <w:t>Pescuitul în Delta Dunării</w:t>
      </w:r>
    </w:p>
    <w:p w14:paraId="6E15C8BF" w14:textId="77777777" w:rsidR="00670FD4" w:rsidRDefault="00670FD4" w:rsidP="00670FD4">
      <w:pPr>
        <w:spacing w:before="0"/>
        <w:ind w:firstLine="567"/>
        <w:rPr>
          <w:rFonts w:eastAsia="Times New Roman" w:cs="Times New Roman"/>
          <w:color w:val="000000"/>
          <w:highlight w:val="white"/>
        </w:rPr>
      </w:pPr>
      <w:r>
        <w:rPr>
          <w:rFonts w:eastAsia="Times New Roman" w:cs="Times New Roman"/>
          <w:highlight w:val="white"/>
        </w:rPr>
        <w:t>Principalele</w:t>
      </w:r>
      <w:r>
        <w:rPr>
          <w:rFonts w:eastAsia="Times New Roman" w:cs="Times New Roman"/>
          <w:color w:val="000000"/>
          <w:highlight w:val="white"/>
        </w:rPr>
        <w:t xml:space="preserve"> categorii de pescuit din </w:t>
      </w:r>
      <w:r>
        <w:rPr>
          <w:rFonts w:eastAsia="Times New Roman" w:cs="Times New Roman"/>
          <w:highlight w:val="white"/>
        </w:rPr>
        <w:t>Delta</w:t>
      </w:r>
      <w:r>
        <w:rPr>
          <w:rFonts w:eastAsia="Times New Roman" w:cs="Times New Roman"/>
          <w:color w:val="000000"/>
          <w:highlight w:val="white"/>
        </w:rPr>
        <w:t xml:space="preserve"> Dunării sunt: i) pescuitul peștilor de apă dulce (în Deltă; complexul Razim - Sinoie; fluviul Dunărea); ii) pescuitul peștilor migratori (scrumbia pontică și sturionii) și iii) pescuitul peștilor marini.</w:t>
      </w:r>
    </w:p>
    <w:p w14:paraId="54C32E90" w14:textId="77777777" w:rsidR="00670FD4" w:rsidRDefault="00670FD4" w:rsidP="00670FD4">
      <w:pPr>
        <w:spacing w:before="0"/>
        <w:ind w:firstLine="567"/>
        <w:rPr>
          <w:rFonts w:eastAsia="Times New Roman" w:cs="Times New Roman"/>
          <w:color w:val="000000"/>
          <w:highlight w:val="white"/>
        </w:rPr>
      </w:pPr>
      <w:r>
        <w:rPr>
          <w:rFonts w:eastAsia="Times New Roman" w:cs="Times New Roman"/>
          <w:color w:val="000000"/>
          <w:highlight w:val="white"/>
        </w:rPr>
        <w:t>Dinamica capturii totale din ultimii 62 de ani (1960-2022) a cunoscut patru perioade caracteristice: 1960-1970, cu capturi variabile datorate regimului hidrologic al Dunării (10.000-20.000 t/an); 1970-1984, cu rate anuale apropiate (±15.000 t/an), dar cu schimbări importante de mediu și în structura comunității piscicole; 1984-2014, în care se constată o scădere a capturilor de la 15.000 la 1900 t/an (2011) și 2014-2022, cu o creștere de până la 3600 t/an (în 2017), cu o scădere bruscă până la 1610 t/an, în 2022.</w:t>
      </w:r>
    </w:p>
    <w:p w14:paraId="5EDE28CC" w14:textId="77777777" w:rsidR="00670FD4" w:rsidRDefault="00670FD4" w:rsidP="00670FD4">
      <w:pPr>
        <w:spacing w:before="0"/>
        <w:ind w:firstLine="567"/>
        <w:rPr>
          <w:rFonts w:eastAsia="Times New Roman" w:cs="Times New Roman"/>
          <w:color w:val="000000"/>
          <w:highlight w:val="white"/>
        </w:rPr>
      </w:pPr>
      <w:r>
        <w:rPr>
          <w:rFonts w:eastAsia="Times New Roman" w:cs="Times New Roman"/>
          <w:color w:val="000000"/>
          <w:highlight w:val="white"/>
        </w:rPr>
        <w:t>În lacurile din Delta Dunării, din 28 unități piscicole situate în UAT-urile C.A Rosetti, Sulina, Murighiol și Jurilovca, nouă (situate în comunele C.A Rosetti, Murighiol și Jurilovca) au raportat, în 2022, o producți</w:t>
      </w:r>
      <w:r>
        <w:rPr>
          <w:rFonts w:eastAsia="Times New Roman" w:cs="Times New Roman"/>
          <w:highlight w:val="white"/>
        </w:rPr>
        <w:t>e</w:t>
      </w:r>
      <w:r>
        <w:rPr>
          <w:rFonts w:eastAsia="Times New Roman" w:cs="Times New Roman"/>
          <w:color w:val="000000"/>
          <w:highlight w:val="white"/>
        </w:rPr>
        <w:t xml:space="preserve"> piscicol</w:t>
      </w:r>
      <w:r>
        <w:rPr>
          <w:rFonts w:eastAsia="Times New Roman" w:cs="Times New Roman"/>
          <w:highlight w:val="white"/>
        </w:rPr>
        <w:t>ă</w:t>
      </w:r>
      <w:r>
        <w:rPr>
          <w:rFonts w:eastAsia="Times New Roman" w:cs="Times New Roman"/>
          <w:color w:val="000000"/>
          <w:highlight w:val="white"/>
        </w:rPr>
        <w:t xml:space="preserve"> în valoare totală de 1.082.010 kg.</w:t>
      </w:r>
    </w:p>
    <w:p w14:paraId="0BCFF5D3" w14:textId="77777777" w:rsidR="00670FD4" w:rsidRDefault="00670FD4" w:rsidP="00670FD4">
      <w:pPr>
        <w:spacing w:before="0"/>
        <w:ind w:firstLine="567"/>
        <w:rPr>
          <w:rFonts w:eastAsia="Times New Roman" w:cs="Times New Roman"/>
          <w:color w:val="000000"/>
          <w:highlight w:val="white"/>
        </w:rPr>
      </w:pPr>
      <w:r>
        <w:rPr>
          <w:rFonts w:eastAsia="Times New Roman" w:cs="Times New Roman"/>
          <w:color w:val="000000"/>
          <w:highlight w:val="white"/>
        </w:rPr>
        <w:t>În zona central–sudică a litoralului românesc sunt 13 unități piscicole, situate în UAT-urile Năvodari, Corbu, Constanța, Agigea, Tuzla, Techirghiol, 23 August, Mangalia și Limanu, șase dintre acestea (situate în Corbu, Tuzla, Techirghiol, 23 August) raportând, în 2022, o producți</w:t>
      </w:r>
      <w:r>
        <w:rPr>
          <w:rFonts w:eastAsia="Times New Roman" w:cs="Times New Roman"/>
          <w:highlight w:val="white"/>
        </w:rPr>
        <w:t>e</w:t>
      </w:r>
      <w:r>
        <w:rPr>
          <w:rFonts w:eastAsia="Times New Roman" w:cs="Times New Roman"/>
          <w:color w:val="000000"/>
          <w:highlight w:val="white"/>
        </w:rPr>
        <w:t xml:space="preserve"> piscicol</w:t>
      </w:r>
      <w:r>
        <w:rPr>
          <w:rFonts w:eastAsia="Times New Roman" w:cs="Times New Roman"/>
          <w:highlight w:val="white"/>
        </w:rPr>
        <w:t>ă</w:t>
      </w:r>
      <w:r>
        <w:rPr>
          <w:rFonts w:eastAsia="Times New Roman" w:cs="Times New Roman"/>
          <w:color w:val="000000"/>
          <w:highlight w:val="white"/>
        </w:rPr>
        <w:t xml:space="preserve"> în valoare totală de 1.003.275 kg.</w:t>
      </w:r>
    </w:p>
    <w:p w14:paraId="44165FB7" w14:textId="77777777" w:rsidR="00670FD4" w:rsidRDefault="00670FD4" w:rsidP="00670FD4">
      <w:pPr>
        <w:spacing w:before="0"/>
        <w:ind w:firstLine="567"/>
        <w:rPr>
          <w:rFonts w:eastAsia="Times New Roman" w:cs="Times New Roman"/>
        </w:rPr>
      </w:pPr>
      <w:r>
        <w:rPr>
          <w:rFonts w:eastAsia="Times New Roman" w:cs="Times New Roman"/>
        </w:rPr>
        <w:t>Principalele probleme cu care se confruntă sectorul pescăresc în zona costieră sunt:</w:t>
      </w:r>
    </w:p>
    <w:p w14:paraId="2962D4EF" w14:textId="77777777" w:rsidR="00670FD4" w:rsidRDefault="00670FD4" w:rsidP="00670FD4">
      <w:pPr>
        <w:spacing w:before="0"/>
        <w:ind w:firstLine="567"/>
        <w:rPr>
          <w:rFonts w:eastAsia="Times New Roman" w:cs="Times New Roman"/>
        </w:rPr>
      </w:pPr>
      <w:r>
        <w:rPr>
          <w:rFonts w:eastAsia="Times New Roman" w:cs="Times New Roman"/>
        </w:rPr>
        <w:t>•</w:t>
      </w:r>
      <w:r>
        <w:rPr>
          <w:rFonts w:eastAsia="Times New Roman" w:cs="Times New Roman"/>
        </w:rPr>
        <w:tab/>
        <w:t>infrastructura specifică (porturi, puncte de debarcare, puncte de primă vânzare) este, în prezent, slab dezvoltată. Infrastructura de porturi pescărești cu dane specializate și spații de depozitare, precum și locațiile pentru organizarea primei vânzări a peștelui sunt insuficiente și necesită îmbunătățirea facilităților existente;</w:t>
      </w:r>
    </w:p>
    <w:p w14:paraId="4F8FAC6A" w14:textId="77777777" w:rsidR="00670FD4" w:rsidRDefault="00670FD4" w:rsidP="00670FD4">
      <w:pPr>
        <w:spacing w:before="0"/>
        <w:ind w:firstLine="567"/>
        <w:rPr>
          <w:rFonts w:eastAsia="Times New Roman" w:cs="Times New Roman"/>
        </w:rPr>
      </w:pPr>
      <w:r>
        <w:rPr>
          <w:rFonts w:eastAsia="Times New Roman" w:cs="Times New Roman"/>
        </w:rPr>
        <w:t>•</w:t>
      </w:r>
      <w:r>
        <w:rPr>
          <w:rFonts w:eastAsia="Times New Roman" w:cs="Times New Roman"/>
        </w:rPr>
        <w:tab/>
        <w:t>flota de pescuit este învechită, poluatoare;</w:t>
      </w:r>
    </w:p>
    <w:p w14:paraId="55D6454F" w14:textId="77777777" w:rsidR="00670FD4" w:rsidRDefault="00670FD4" w:rsidP="00670FD4">
      <w:pPr>
        <w:spacing w:before="0"/>
        <w:ind w:firstLine="567"/>
        <w:rPr>
          <w:rFonts w:eastAsia="Times New Roman" w:cs="Times New Roman"/>
        </w:rPr>
      </w:pPr>
      <w:r>
        <w:rPr>
          <w:rFonts w:eastAsia="Times New Roman" w:cs="Times New Roman"/>
        </w:rPr>
        <w:t>•</w:t>
      </w:r>
      <w:r>
        <w:rPr>
          <w:rFonts w:eastAsia="Times New Roman" w:cs="Times New Roman"/>
        </w:rPr>
        <w:tab/>
        <w:t>în ciuda numeroaselor reglementări, încă există practici sau comportamente nesustenabile care duc la impact nedorit al activităților de pescuit asupra ecosistemelor acvatice;</w:t>
      </w:r>
    </w:p>
    <w:p w14:paraId="182DC9A2" w14:textId="77777777" w:rsidR="00670FD4" w:rsidRDefault="00670FD4" w:rsidP="00670FD4">
      <w:pPr>
        <w:spacing w:before="0"/>
        <w:ind w:firstLine="567"/>
        <w:rPr>
          <w:rFonts w:eastAsia="Times New Roman" w:cs="Times New Roman"/>
        </w:rPr>
      </w:pPr>
      <w:r>
        <w:rPr>
          <w:rFonts w:eastAsia="Times New Roman" w:cs="Times New Roman"/>
        </w:rPr>
        <w:t>•</w:t>
      </w:r>
      <w:r>
        <w:rPr>
          <w:rFonts w:eastAsia="Times New Roman" w:cs="Times New Roman"/>
        </w:rPr>
        <w:tab/>
        <w:t>controlul și colectarea datelor insuficient aplicate;</w:t>
      </w:r>
    </w:p>
    <w:p w14:paraId="2F9D0ED7" w14:textId="77777777" w:rsidR="00670FD4" w:rsidRDefault="00670FD4" w:rsidP="00670FD4">
      <w:pPr>
        <w:spacing w:before="0"/>
        <w:ind w:firstLine="567"/>
        <w:rPr>
          <w:rFonts w:eastAsia="Times New Roman" w:cs="Times New Roman"/>
        </w:rPr>
      </w:pPr>
      <w:r>
        <w:rPr>
          <w:rFonts w:eastAsia="Times New Roman" w:cs="Times New Roman"/>
        </w:rPr>
        <w:t>•</w:t>
      </w:r>
      <w:r>
        <w:rPr>
          <w:rFonts w:eastAsia="Times New Roman" w:cs="Times New Roman"/>
        </w:rPr>
        <w:tab/>
        <w:t>delimitarea zonelor prioritare de pescuit nu este încă finalizată, lipsind criteriile clare pentru stabilirea acestora;</w:t>
      </w:r>
    </w:p>
    <w:p w14:paraId="374F106B" w14:textId="77777777" w:rsidR="00670FD4" w:rsidRDefault="00670FD4" w:rsidP="00670FD4">
      <w:pPr>
        <w:spacing w:before="0"/>
        <w:ind w:firstLine="567"/>
        <w:rPr>
          <w:rFonts w:eastAsia="Times New Roman" w:cs="Times New Roman"/>
        </w:rPr>
      </w:pPr>
      <w:r>
        <w:rPr>
          <w:rFonts w:eastAsia="Times New Roman" w:cs="Times New Roman"/>
        </w:rPr>
        <w:lastRenderedPageBreak/>
        <w:t>•</w:t>
      </w:r>
      <w:r>
        <w:rPr>
          <w:rFonts w:eastAsia="Times New Roman" w:cs="Times New Roman"/>
        </w:rPr>
        <w:tab/>
        <w:t>starea precară a stocurilor de sturioni din Dunăre și Marea Neagră; supraexploatarea stocurilor de calcan din Marea Neagră;</w:t>
      </w:r>
    </w:p>
    <w:p w14:paraId="6F35A931" w14:textId="77777777" w:rsidR="00670FD4" w:rsidRDefault="00670FD4" w:rsidP="00670FD4">
      <w:pPr>
        <w:spacing w:before="0"/>
        <w:ind w:firstLine="567"/>
        <w:rPr>
          <w:rFonts w:eastAsia="Times New Roman" w:cs="Times New Roman"/>
        </w:rPr>
      </w:pPr>
      <w:r>
        <w:rPr>
          <w:rFonts w:eastAsia="Times New Roman" w:cs="Times New Roman"/>
        </w:rPr>
        <w:t>•</w:t>
      </w:r>
      <w:r>
        <w:rPr>
          <w:rFonts w:eastAsia="Times New Roman" w:cs="Times New Roman"/>
        </w:rPr>
        <w:tab/>
        <w:t xml:space="preserve">modificarea sau transformarea habitatelor de reproducere sau hrănire a speciilor de pești ca urmare a lucrările hidrotehnice; </w:t>
      </w:r>
    </w:p>
    <w:p w14:paraId="78A8B236" w14:textId="77777777" w:rsidR="00670FD4" w:rsidRDefault="00670FD4" w:rsidP="00670FD4">
      <w:pPr>
        <w:spacing w:before="0"/>
        <w:ind w:firstLine="567"/>
        <w:rPr>
          <w:rFonts w:eastAsia="Times New Roman" w:cs="Times New Roman"/>
        </w:rPr>
      </w:pPr>
      <w:r>
        <w:rPr>
          <w:rFonts w:eastAsia="Times New Roman" w:cs="Times New Roman"/>
        </w:rPr>
        <w:t>•</w:t>
      </w:r>
      <w:r>
        <w:rPr>
          <w:rFonts w:eastAsia="Times New Roman" w:cs="Times New Roman"/>
        </w:rPr>
        <w:tab/>
        <w:t>lipsa zonǎrii habitatelor de reproducere şi înmulțire a principalelor specii exploatabile;</w:t>
      </w:r>
    </w:p>
    <w:p w14:paraId="7AC9B3BB" w14:textId="77777777" w:rsidR="00670FD4" w:rsidRDefault="00670FD4" w:rsidP="00670FD4">
      <w:pPr>
        <w:spacing w:before="0"/>
        <w:ind w:firstLine="567"/>
        <w:rPr>
          <w:rFonts w:eastAsia="Times New Roman" w:cs="Times New Roman"/>
        </w:rPr>
      </w:pPr>
      <w:r>
        <w:rPr>
          <w:rFonts w:eastAsia="Times New Roman" w:cs="Times New Roman"/>
        </w:rPr>
        <w:t>•</w:t>
      </w:r>
      <w:r>
        <w:rPr>
          <w:rFonts w:eastAsia="Times New Roman" w:cs="Times New Roman"/>
        </w:rPr>
        <w:tab/>
        <w:t>lipsa zonǎrii habitatelor cu potențial productiv din punct de vedere al resurselor piscicole, precum şi a informațiilor despre ariile vulnerabile la activitǎțile umane ce impacteazǎ productivitatea şi diversitatea biologicǎ, importante pentru susținerea stocurilor;</w:t>
      </w:r>
    </w:p>
    <w:p w14:paraId="2700FF5A" w14:textId="77777777" w:rsidR="00670FD4" w:rsidRDefault="00670FD4" w:rsidP="00670FD4">
      <w:pPr>
        <w:spacing w:before="0"/>
        <w:ind w:firstLine="567"/>
        <w:rPr>
          <w:rFonts w:eastAsia="Times New Roman" w:cs="Times New Roman"/>
        </w:rPr>
      </w:pPr>
      <w:r>
        <w:rPr>
          <w:rFonts w:eastAsia="Times New Roman" w:cs="Times New Roman"/>
        </w:rPr>
        <w:t>•</w:t>
      </w:r>
      <w:r>
        <w:rPr>
          <w:rFonts w:eastAsia="Times New Roman" w:cs="Times New Roman"/>
        </w:rPr>
        <w:tab/>
        <w:t>schimbarea folosinţei iazurilor, prin transformarea lor în poldere agricole a afectat semnificativ acvacultura. Pe de altă parte, eutrofizarea, poluarea şi unele fenomene naturale (seceta), precum şi lipsa tehnologiilor moderne au dus la scăderea productivităţii amenajărilor piscicole din Delta Dunării.</w:t>
      </w:r>
    </w:p>
    <w:p w14:paraId="6C50E141" w14:textId="77777777" w:rsidR="00670FD4" w:rsidRDefault="00670FD4" w:rsidP="00670FD4">
      <w:pPr>
        <w:spacing w:before="0"/>
        <w:rPr>
          <w:rFonts w:eastAsia="Times New Roman" w:cs="Times New Roman"/>
          <w:b/>
          <w:i/>
          <w:color w:val="000000"/>
          <w:highlight w:val="white"/>
        </w:rPr>
      </w:pPr>
      <w:r>
        <w:rPr>
          <w:rFonts w:eastAsia="Times New Roman" w:cs="Times New Roman"/>
          <w:i/>
          <w:color w:val="000000"/>
          <w:highlight w:val="white"/>
        </w:rPr>
        <w:t>Acvacultura</w:t>
      </w:r>
    </w:p>
    <w:p w14:paraId="75DE7857" w14:textId="77777777" w:rsidR="00670FD4" w:rsidRDefault="00670FD4" w:rsidP="00670FD4">
      <w:pPr>
        <w:spacing w:before="0"/>
        <w:ind w:firstLine="567"/>
        <w:rPr>
          <w:rFonts w:eastAsia="Times New Roman" w:cs="Times New Roman"/>
        </w:rPr>
      </w:pPr>
      <w:r>
        <w:rPr>
          <w:rFonts w:eastAsia="Times New Roman" w:cs="Times New Roman"/>
        </w:rPr>
        <w:t>Acvacultura din România se bazează preponderent pe activitatea de piscicultură de apă dulce (în lacuri deltaice și litorale) și salmastră (în lagune), în timp ce acvacultura marină pontică are o dezvoltare relativ recentă (Zaharia și colab., 2017). Pe baza programelor și recomandărilor UE și potențialului mariculturii s-au reluat activitățile de cercetare pentru dezvoltarea domeniului pe organisme acvatice cu mare plasticitate care suportă variații mari de temperatură, salinitate, densitate, hrană, precum și condiții de creștere în condiții dirijate, de captivitate (http://msp-platform.rmri.ro/marsplan.html).</w:t>
      </w:r>
    </w:p>
    <w:p w14:paraId="72BB9A03" w14:textId="77777777" w:rsidR="00670FD4" w:rsidRDefault="00670FD4" w:rsidP="00670FD4">
      <w:pPr>
        <w:spacing w:before="0"/>
        <w:ind w:firstLine="567"/>
        <w:rPr>
          <w:rFonts w:eastAsia="Times New Roman" w:cs="Times New Roman"/>
        </w:rPr>
      </w:pPr>
      <w:r>
        <w:rPr>
          <w:rFonts w:eastAsia="Times New Roman" w:cs="Times New Roman"/>
        </w:rPr>
        <w:t>Acvacultura are potențialul de a deveni o ramură importantă a Economiei Albastre, element esențial în cadrul Agendei Maritime Comune pentru Marea Neagră a Uniunii Europene pentru a oferi resurse durabile de hrană, securitate alimentară, locuri de muncă în zona costieră și dezvoltare durabilă în cadrul „Orientărilor strategice UE pentru Dezvoltarea Durabilă a Acvaculturii” - CE, 2013, (INCDM, 2021). Comisia Generală pentru Pescuit la Marea Mediterană (GFCM) din Organizația Națiunilor Unite pentru Alimentație și Agricultură (FAO) a adoptat o rezoluție specifică (GFCM/36/2012/1) privind AZA-Zone Alocate pentru Acvacultură.</w:t>
      </w:r>
    </w:p>
    <w:p w14:paraId="22106166" w14:textId="77777777" w:rsidR="00670FD4" w:rsidRDefault="00670FD4" w:rsidP="00670FD4">
      <w:pPr>
        <w:spacing w:before="0"/>
        <w:ind w:firstLine="567"/>
        <w:rPr>
          <w:rFonts w:eastAsia="Times New Roman" w:cs="Times New Roman"/>
        </w:rPr>
      </w:pPr>
      <w:r>
        <w:rPr>
          <w:rFonts w:eastAsia="Times New Roman" w:cs="Times New Roman"/>
        </w:rPr>
        <w:t>Astfel, din rațiuni de siguranță alimentară, moluştele vii sunt colectate pentru a fi introduse pe piaţă pentru consumul uman doar din zone clasificate. Clasificarea zonelor de producţie a moluştelor vii din apele marine româneşti a fost posibilă prin identificarea a trei zone de calitate (clasa A) pentru recoltarea moluştelor bivalve vii (prin decizia semnată de ANSV, ANPA, INCDM „Grigore Antipa” şi ANAR). Acestea sunt: a) zona 1, cuprinsă între Perișor și Chituc (Tulcea), cu ~ 215 Mm</w:t>
      </w:r>
      <w:r>
        <w:rPr>
          <w:rFonts w:eastAsia="Times New Roman" w:cs="Times New Roman"/>
          <w:vertAlign w:val="superscript"/>
        </w:rPr>
        <w:t>2</w:t>
      </w:r>
      <w:r>
        <w:rPr>
          <w:rFonts w:eastAsia="Times New Roman" w:cs="Times New Roman"/>
        </w:rPr>
        <w:t xml:space="preserve"> suprafață; b) zona 2, cuprinsă între Năvodari și portul Constanța (Baia Mamaia), ~109 Mm</w:t>
      </w:r>
      <w:r>
        <w:rPr>
          <w:rFonts w:eastAsia="Times New Roman" w:cs="Times New Roman"/>
          <w:vertAlign w:val="superscript"/>
        </w:rPr>
        <w:t>2</w:t>
      </w:r>
      <w:r>
        <w:rPr>
          <w:rFonts w:eastAsia="Times New Roman" w:cs="Times New Roman"/>
        </w:rPr>
        <w:t>; zona 3, cuprinsă între Agigea și Mangalia, cu o suprafață de ~10 Mm</w:t>
      </w:r>
      <w:r>
        <w:rPr>
          <w:rFonts w:eastAsia="Times New Roman" w:cs="Times New Roman"/>
          <w:vertAlign w:val="superscript"/>
        </w:rPr>
        <w:t xml:space="preserve">2 </w:t>
      </w:r>
      <w:r>
        <w:rPr>
          <w:rFonts w:eastAsia="Times New Roman" w:cs="Times New Roman"/>
        </w:rPr>
        <w:t>(Fig. 2.4.8.2.3).</w:t>
      </w:r>
    </w:p>
    <w:p w14:paraId="697546B7" w14:textId="77777777" w:rsidR="00670FD4" w:rsidRDefault="00670FD4" w:rsidP="00670FD4">
      <w:pPr>
        <w:ind w:firstLine="0"/>
        <w:jc w:val="center"/>
        <w:rPr>
          <w:rFonts w:eastAsia="Times New Roman" w:cs="Times New Roman"/>
        </w:rPr>
      </w:pPr>
      <w:r>
        <w:rPr>
          <w:noProof/>
        </w:rPr>
        <w:lastRenderedPageBreak/>
        <w:drawing>
          <wp:inline distT="0" distB="0" distL="0" distR="0" wp14:anchorId="0BF3AF6D" wp14:editId="1E9DAEA8">
            <wp:extent cx="5731510" cy="4053840"/>
            <wp:effectExtent l="0" t="0" r="0" b="0"/>
            <wp:docPr id="2141401954"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46"/>
                    <a:srcRect/>
                    <a:stretch>
                      <a:fillRect/>
                    </a:stretch>
                  </pic:blipFill>
                  <pic:spPr>
                    <a:xfrm>
                      <a:off x="0" y="0"/>
                      <a:ext cx="5731510" cy="4053840"/>
                    </a:xfrm>
                    <a:prstGeom prst="rect">
                      <a:avLst/>
                    </a:prstGeom>
                    <a:ln/>
                  </pic:spPr>
                </pic:pic>
              </a:graphicData>
            </a:graphic>
          </wp:inline>
        </w:drawing>
      </w:r>
    </w:p>
    <w:p w14:paraId="5326D151" w14:textId="77777777" w:rsidR="00670FD4" w:rsidRDefault="00670FD4" w:rsidP="00670FD4">
      <w:pPr>
        <w:jc w:val="center"/>
        <w:rPr>
          <w:rFonts w:eastAsia="Times New Roman" w:cs="Times New Roman"/>
          <w:b/>
          <w:i/>
        </w:rPr>
      </w:pPr>
      <w:r>
        <w:rPr>
          <w:rFonts w:eastAsia="Times New Roman" w:cs="Times New Roman"/>
          <w:b/>
        </w:rPr>
        <w:t xml:space="preserve">Fig. 2.4.8.2.3 Harta zonelor pentru moluște de la litoralul românesc </w:t>
      </w:r>
      <w:r>
        <w:rPr>
          <w:rFonts w:eastAsia="Times New Roman" w:cs="Times New Roman"/>
          <w:b/>
          <w:i/>
        </w:rPr>
        <w:t>(sursa: INCDM)</w:t>
      </w:r>
    </w:p>
    <w:p w14:paraId="1338ED6A" w14:textId="77777777" w:rsidR="00670FD4" w:rsidRDefault="00670FD4" w:rsidP="00670FD4">
      <w:pPr>
        <w:rPr>
          <w:rFonts w:eastAsia="Times New Roman" w:cs="Times New Roman"/>
        </w:rPr>
      </w:pPr>
    </w:p>
    <w:p w14:paraId="09F8BEF2" w14:textId="77777777" w:rsidR="00670FD4" w:rsidRDefault="00670FD4" w:rsidP="00670FD4">
      <w:pPr>
        <w:pStyle w:val="Heading4"/>
      </w:pPr>
      <w:bookmarkStart w:id="92" w:name="_Toc171084849"/>
      <w:r>
        <w:t>2.4.8.3 Transport</w:t>
      </w:r>
      <w:bookmarkEnd w:id="92"/>
    </w:p>
    <w:p w14:paraId="26C20FAD" w14:textId="77777777" w:rsidR="00670FD4" w:rsidRDefault="00670FD4" w:rsidP="00670FD4">
      <w:pPr>
        <w:spacing w:before="0"/>
        <w:rPr>
          <w:rFonts w:eastAsia="Times New Roman" w:cs="Times New Roman"/>
          <w:i/>
        </w:rPr>
      </w:pPr>
      <w:r>
        <w:rPr>
          <w:rFonts w:eastAsia="Times New Roman" w:cs="Times New Roman"/>
          <w:i/>
        </w:rPr>
        <w:t>Transport rutier</w:t>
      </w:r>
    </w:p>
    <w:p w14:paraId="7DE01771" w14:textId="77777777" w:rsidR="00670FD4" w:rsidRDefault="00670FD4" w:rsidP="00670FD4">
      <w:pPr>
        <w:spacing w:before="0"/>
        <w:ind w:firstLine="567"/>
        <w:rPr>
          <w:rFonts w:eastAsia="Times New Roman" w:cs="Times New Roman"/>
        </w:rPr>
      </w:pPr>
      <w:r>
        <w:rPr>
          <w:rFonts w:eastAsia="Times New Roman" w:cs="Times New Roman"/>
        </w:rPr>
        <w:t>În partea nordică a zonei costiere, aferentă județului Tulcea, rețeaua de drumuri publice cuprinde doar drumuri județene și comunale, în timp ce în partea sudică, aferentă județului Constanța, rețeaua de drumuri publice este mult mai complexă, incluzând toate categoriile de drumuri (autostradă, drumuri naționale, drumuri județene și drumuri comunale). Cele mai importante căi de transport rutier din interiorul zonei de studiu sunt:</w:t>
      </w:r>
    </w:p>
    <w:p w14:paraId="18F041B7" w14:textId="77777777" w:rsidR="00670FD4" w:rsidRDefault="00670FD4" w:rsidP="00670FD4">
      <w:pPr>
        <w:spacing w:before="0"/>
        <w:ind w:firstLine="567"/>
        <w:rPr>
          <w:rFonts w:eastAsia="Times New Roman" w:cs="Times New Roman"/>
        </w:rPr>
      </w:pPr>
      <w:r>
        <w:rPr>
          <w:rFonts w:eastAsia="Times New Roman" w:cs="Times New Roman"/>
        </w:rPr>
        <w:t>•</w:t>
      </w:r>
      <w:r>
        <w:rPr>
          <w:rFonts w:eastAsia="Times New Roman" w:cs="Times New Roman"/>
        </w:rPr>
        <w:tab/>
        <w:t>autostrada A4 (denumită și Autostrada Dobrogei) care reprezintă segmentul ocolitor al municipiului Constanța, parcurgând un traseu de 21,7 km de la Ovidiu (în nord-vest), pe la vest, până la Agigea, în sud. Prin intersecția cu autostrada A2 se asigură legătura municipiului Constanța cu capitala, București, iar din 2013 s-a dat în folosință un ultim tronson, de aproximativ 2 km, care leagă nodul de la Agigea de Portul Constanța. De asemenea, din nodul de la Agigea se face legătura cu drumul național DN 39;</w:t>
      </w:r>
    </w:p>
    <w:p w14:paraId="5415C01A" w14:textId="77777777" w:rsidR="00670FD4" w:rsidRDefault="00670FD4" w:rsidP="00670FD4">
      <w:pPr>
        <w:spacing w:before="0"/>
        <w:ind w:firstLine="567"/>
        <w:rPr>
          <w:rFonts w:eastAsia="Times New Roman" w:cs="Times New Roman"/>
        </w:rPr>
      </w:pPr>
      <w:r>
        <w:rPr>
          <w:rFonts w:eastAsia="Times New Roman" w:cs="Times New Roman"/>
        </w:rPr>
        <w:t>•</w:t>
      </w:r>
      <w:r>
        <w:rPr>
          <w:rFonts w:eastAsia="Times New Roman" w:cs="Times New Roman"/>
        </w:rPr>
        <w:tab/>
        <w:t>drumul național DN39 (lungime 54,35 km), leagă orașul Constanța de orașele Eforie și Mangalia, formând principala legătură cu stațiunile din această zonă</w:t>
      </w:r>
    </w:p>
    <w:p w14:paraId="61778F3E" w14:textId="77777777" w:rsidR="00670FD4" w:rsidRDefault="00670FD4" w:rsidP="00670FD4">
      <w:pPr>
        <w:spacing w:before="0"/>
        <w:ind w:firstLine="567"/>
        <w:rPr>
          <w:rFonts w:eastAsia="Times New Roman" w:cs="Times New Roman"/>
        </w:rPr>
      </w:pPr>
      <w:r>
        <w:rPr>
          <w:rFonts w:eastAsia="Times New Roman" w:cs="Times New Roman"/>
        </w:rPr>
        <w:lastRenderedPageBreak/>
        <w:t>•</w:t>
      </w:r>
      <w:r>
        <w:rPr>
          <w:rFonts w:eastAsia="Times New Roman" w:cs="Times New Roman"/>
        </w:rPr>
        <w:tab/>
        <w:t>drumul național DN38, leagă Agigea de Techirghiol și continuă până pe teritoriul Bulgariei. Se intersectează cu DN 39, la Agigea, asigurându-se astfel legătura dintre stațiunea Techirghiol cu municipiul Constanța;</w:t>
      </w:r>
    </w:p>
    <w:p w14:paraId="42BF29A5" w14:textId="77777777" w:rsidR="00670FD4" w:rsidRDefault="00670FD4" w:rsidP="00670FD4">
      <w:pPr>
        <w:spacing w:before="0"/>
        <w:ind w:firstLine="567"/>
        <w:rPr>
          <w:rFonts w:eastAsia="Times New Roman" w:cs="Times New Roman"/>
        </w:rPr>
      </w:pPr>
      <w:r>
        <w:rPr>
          <w:rFonts w:eastAsia="Times New Roman" w:cs="Times New Roman"/>
        </w:rPr>
        <w:t>•</w:t>
      </w:r>
      <w:r>
        <w:rPr>
          <w:rFonts w:eastAsia="Times New Roman" w:cs="Times New Roman"/>
        </w:rPr>
        <w:tab/>
        <w:t xml:space="preserve">drumul județean DJ226, leagă orașul Năvodari de drumul național DN22 (Constanța-Tulcea), punctul de intersecție fiind comuna Mihai Viteazu. Acest drum județean asigură accesul dinspre Năvodari la portul Midia și Petromidia, iar mai departe în partea de sud a Rezervației Biosferei Delta Dunării (UAT Corbu, Istria și Mihai Viteazu). </w:t>
      </w:r>
    </w:p>
    <w:p w14:paraId="3AAD7CE7" w14:textId="77777777" w:rsidR="00670FD4" w:rsidRDefault="00670FD4" w:rsidP="00670FD4">
      <w:pPr>
        <w:spacing w:before="0"/>
        <w:ind w:firstLine="567"/>
        <w:rPr>
          <w:rFonts w:eastAsia="Times New Roman" w:cs="Times New Roman"/>
        </w:rPr>
      </w:pPr>
      <w:r>
        <w:rPr>
          <w:rFonts w:eastAsia="Times New Roman" w:cs="Times New Roman"/>
        </w:rPr>
        <w:t xml:space="preserve">La nivelul teritoriului zonei costiere aferentă județului Constanța, cea mai mare lungime a străzilor orășenești se înregistrează în municipiul Constanța (511 km), urmat de orașul Năvodari (261 km). Lungimea cea mai mare a drumurilor modernizate se regăsește, de asemenea, în municipiul Constanța cu 432 km drum modernizat, urmat de orașul Năvodari cu 179 km modernizați (Consiliul Județean Constanța, 2021). În partea de nord a zonei de studiu, în orașul Sulina, lungimea străzilor orășenești era în 2019 de 34 km, din care doar 12 km drumuri modernizate (Consiliul Județean Tulcea, 2019). </w:t>
      </w:r>
    </w:p>
    <w:p w14:paraId="2C9D7B37" w14:textId="77777777" w:rsidR="00670FD4" w:rsidRDefault="00670FD4" w:rsidP="00670FD4">
      <w:pPr>
        <w:spacing w:before="0"/>
        <w:ind w:firstLine="567"/>
        <w:rPr>
          <w:rFonts w:eastAsia="Times New Roman" w:cs="Times New Roman"/>
        </w:rPr>
      </w:pPr>
      <w:r>
        <w:rPr>
          <w:rFonts w:eastAsia="Times New Roman" w:cs="Times New Roman"/>
        </w:rPr>
        <w:t>Servicii de transport local/urban de pasageri se regăsesc doar în municipiile Constanța și Mangalia. Sistemul de transport public cu autobuze în municipiul Constanța este asigurat de CT Bus S.A., existând în prezent un număr de 23 de rute, deservite de peste 150 autobuze (din care 20 electrice) și microbuze. În municipiul Mangalia, există două trasee (unul local, iar celălalt acoperă și stațiunile din municipiu) deservite de serviciul de transport public asigurat de Primăria Municipiului. În perioada sezonului estival, începând din 2022, aceste trasee sunt deservite, în mare parte, de autobuze electrice (Consiliul Județean Constanța, 2021).</w:t>
      </w:r>
    </w:p>
    <w:p w14:paraId="308CC9E5" w14:textId="77777777" w:rsidR="00670FD4" w:rsidRDefault="00670FD4" w:rsidP="00670FD4">
      <w:pPr>
        <w:spacing w:before="0"/>
        <w:ind w:firstLine="567"/>
        <w:rPr>
          <w:rFonts w:eastAsia="Times New Roman" w:cs="Times New Roman"/>
        </w:rPr>
      </w:pPr>
      <w:r>
        <w:rPr>
          <w:rFonts w:eastAsia="Times New Roman" w:cs="Times New Roman"/>
        </w:rPr>
        <w:t xml:space="preserve">Între localitățile din zona de studiu, precum și între localitățile din zona de studiu și altele din afara zonei, există de asemenea o serie de operatori ce asigură transportul public pe cale rutieră, cea mai mare parte dintre rute asigurând transportul de pasageri către și dinspre principalul municipiu, Constanța. </w:t>
      </w:r>
    </w:p>
    <w:p w14:paraId="242A12A9" w14:textId="77777777" w:rsidR="00670FD4" w:rsidRDefault="00670FD4" w:rsidP="00670FD4">
      <w:pPr>
        <w:spacing w:before="0"/>
        <w:rPr>
          <w:rFonts w:eastAsia="Times New Roman" w:cs="Times New Roman"/>
          <w:i/>
        </w:rPr>
      </w:pPr>
      <w:r>
        <w:rPr>
          <w:rFonts w:eastAsia="Times New Roman" w:cs="Times New Roman"/>
          <w:i/>
        </w:rPr>
        <w:t>Transport feroviar</w:t>
      </w:r>
    </w:p>
    <w:p w14:paraId="7D1AA745" w14:textId="77777777" w:rsidR="00670FD4" w:rsidRDefault="00670FD4" w:rsidP="00670FD4">
      <w:pPr>
        <w:spacing w:before="0"/>
        <w:ind w:firstLine="567"/>
        <w:rPr>
          <w:rFonts w:eastAsia="Times New Roman" w:cs="Times New Roman"/>
        </w:rPr>
      </w:pPr>
      <w:r>
        <w:rPr>
          <w:rFonts w:eastAsia="Times New Roman" w:cs="Times New Roman"/>
        </w:rPr>
        <w:t xml:space="preserve">Rețeaua de transport feroviar din partea nordică a zonei costiere este ca și inexistentă. În partea sudică a zonei de studiu, transportul feroviar se desfășoară pe o magistrală CFR (magistrala 800 București Nord-Constanța-Mangalia) și căi ferate secundare, dedicate atât transportului de pasageri, cât și de marfă. În zona de studiu sunt 16 stații feroviare și 5 noduri feroviare (Constanța, Constanța Mărfuri, Palas, Năvodari și Agigea Nord). Dintre stațiile feroviare, stația Constanța este dedicată strict transportului de călători, Agigea Ecluză, Agigea Nord, Constanța Palas, Costinești, Eforie Nord, Eforie Sud, Mangalia, Mihai Viteazu și Neptun deservesc atât traficul de marfă, cât și cel de călători, în timp ce stațiile Constanța Mărfuri, Constanța P. Mol 5, </w:t>
      </w:r>
      <w:sdt>
        <w:sdtPr>
          <w:tag w:val="goog_rdk_41"/>
          <w:id w:val="-914858733"/>
        </w:sdtPr>
        <w:sdtContent>
          <w:r>
            <w:rPr>
              <w:rFonts w:eastAsia="Times New Roman" w:cs="Times New Roman"/>
            </w:rPr>
            <w:t>Constanța</w:t>
          </w:r>
        </w:sdtContent>
      </w:sdt>
      <w:r>
        <w:rPr>
          <w:rFonts w:eastAsia="Times New Roman" w:cs="Times New Roman"/>
        </w:rPr>
        <w:t xml:space="preserve"> P. Zona A, Constanța P. Zona B, Constanța P. Ferryboat și Năvodari deservesc strict transportul de mărfuri. Cea mai mare parte dintre liniile de transport feroviar, la nivelul zonei de studiu, sunt neelectrificate.</w:t>
      </w:r>
    </w:p>
    <w:p w14:paraId="02900605" w14:textId="77777777" w:rsidR="00670FD4" w:rsidRDefault="00670FD4" w:rsidP="00670FD4">
      <w:pPr>
        <w:spacing w:before="0"/>
        <w:ind w:firstLine="567"/>
        <w:rPr>
          <w:rFonts w:eastAsia="Times New Roman" w:cs="Times New Roman"/>
        </w:rPr>
      </w:pPr>
      <w:r>
        <w:rPr>
          <w:rFonts w:eastAsia="Times New Roman" w:cs="Times New Roman"/>
        </w:rPr>
        <w:t xml:space="preserve"> În Strategia de Dezvoltare a Infrastructurii Feroviare 2021-2025 sunt vizate următoarele măsuri în județul Constanța:</w:t>
      </w:r>
    </w:p>
    <w:p w14:paraId="6A439C58" w14:textId="77777777" w:rsidR="00670FD4" w:rsidRDefault="00670FD4" w:rsidP="00670FD4">
      <w:pPr>
        <w:spacing w:before="0"/>
        <w:ind w:firstLine="567"/>
        <w:rPr>
          <w:rFonts w:eastAsia="Times New Roman" w:cs="Times New Roman"/>
        </w:rPr>
      </w:pPr>
      <w:r>
        <w:rPr>
          <w:rFonts w:eastAsia="Times New Roman" w:cs="Times New Roman"/>
        </w:rPr>
        <w:t>• Electrificarea și reabilitarea tronsonului Constanța – Mangalia;</w:t>
      </w:r>
    </w:p>
    <w:p w14:paraId="3ED1D475" w14:textId="77777777" w:rsidR="00670FD4" w:rsidRDefault="00670FD4" w:rsidP="00670FD4">
      <w:pPr>
        <w:spacing w:before="0"/>
        <w:ind w:firstLine="567"/>
        <w:rPr>
          <w:rFonts w:eastAsia="Times New Roman" w:cs="Times New Roman"/>
        </w:rPr>
      </w:pPr>
      <w:r>
        <w:rPr>
          <w:rFonts w:eastAsia="Times New Roman" w:cs="Times New Roman"/>
        </w:rPr>
        <w:lastRenderedPageBreak/>
        <w:t>• Modernizarea infrastructurii feroviare din Portul Constanța.</w:t>
      </w:r>
    </w:p>
    <w:p w14:paraId="12D059FC" w14:textId="77777777" w:rsidR="00670FD4" w:rsidRDefault="00670FD4" w:rsidP="00670FD4">
      <w:pPr>
        <w:spacing w:before="0"/>
        <w:rPr>
          <w:rFonts w:eastAsia="Times New Roman" w:cs="Times New Roman"/>
          <w:i/>
        </w:rPr>
      </w:pPr>
      <w:r>
        <w:rPr>
          <w:rFonts w:eastAsia="Times New Roman" w:cs="Times New Roman"/>
          <w:i/>
        </w:rPr>
        <w:t xml:space="preserve">Transport naval </w:t>
      </w:r>
    </w:p>
    <w:p w14:paraId="5E18C4FA" w14:textId="77777777" w:rsidR="00670FD4" w:rsidRDefault="00670FD4" w:rsidP="00670FD4">
      <w:pPr>
        <w:spacing w:before="0"/>
        <w:ind w:firstLine="567"/>
        <w:rPr>
          <w:rFonts w:eastAsia="Times New Roman" w:cs="Times New Roman"/>
        </w:rPr>
      </w:pPr>
      <w:r>
        <w:rPr>
          <w:rFonts w:eastAsia="Times New Roman" w:cs="Times New Roman"/>
        </w:rPr>
        <w:t>Prezența în zonă a Portului Constanța, a porturilor maritime satelit Mangalia și Midia și a Portului Sulina, noduri importante de transport, face ca cea mai mare parte a transporturilor să fie asociată conectării acestor porturi (în cea mai mare măsură a Portului Constanța) cu rutele de transport ce folosesc alte moduri de transport decât cel maritim pentru afluirea mărfurilor către și dinspre acestea către întreg hinterlandul lor.</w:t>
      </w:r>
    </w:p>
    <w:p w14:paraId="7749A001" w14:textId="77777777" w:rsidR="00670FD4" w:rsidRDefault="00670FD4" w:rsidP="00670FD4">
      <w:pPr>
        <w:spacing w:before="0"/>
        <w:ind w:firstLine="567"/>
        <w:rPr>
          <w:rFonts w:eastAsia="Times New Roman" w:cs="Times New Roman"/>
        </w:rPr>
      </w:pPr>
      <w:r>
        <w:rPr>
          <w:rFonts w:eastAsia="Times New Roman" w:cs="Times New Roman"/>
        </w:rPr>
        <w:t>Traficul maritim este concentrat în zona portului maritim Constanța (inclusiv Agigea), dar și în zona porturilor situate pe sectorul maritim al Dunării. În general, traficul maritim se concentrează în zona litoralului sudic şi gurile Dunării, rutele fiind spre principalele porturi din Marea Neagră, în special spre Bosfor (Fig. 2.4.8.3.1), și este reprezentat în general de nave tip vrachier, tanc și portcontainer (INCDM, 2022).</w:t>
      </w:r>
    </w:p>
    <w:p w14:paraId="5E8C49DC" w14:textId="77777777" w:rsidR="00670FD4" w:rsidRDefault="00670FD4" w:rsidP="00670FD4">
      <w:pPr>
        <w:ind w:firstLine="567"/>
        <w:rPr>
          <w:rFonts w:eastAsia="Times New Roman" w:cs="Times New Roman"/>
        </w:rPr>
      </w:pPr>
    </w:p>
    <w:p w14:paraId="46FA74BB" w14:textId="77777777" w:rsidR="00670FD4" w:rsidRDefault="00670FD4" w:rsidP="00670FD4">
      <w:pPr>
        <w:jc w:val="center"/>
        <w:rPr>
          <w:rFonts w:eastAsia="Times New Roman" w:cs="Times New Roman"/>
        </w:rPr>
      </w:pPr>
      <w:r>
        <w:rPr>
          <w:rFonts w:eastAsia="Times New Roman" w:cs="Times New Roman"/>
          <w:noProof/>
        </w:rPr>
        <w:drawing>
          <wp:inline distT="0" distB="0" distL="0" distR="0" wp14:anchorId="22423681" wp14:editId="6131B3AD">
            <wp:extent cx="5742940" cy="4057015"/>
            <wp:effectExtent l="0" t="0" r="0" b="0"/>
            <wp:docPr id="214140195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7"/>
                    <a:srcRect/>
                    <a:stretch>
                      <a:fillRect/>
                    </a:stretch>
                  </pic:blipFill>
                  <pic:spPr>
                    <a:xfrm>
                      <a:off x="0" y="0"/>
                      <a:ext cx="5742940" cy="4057015"/>
                    </a:xfrm>
                    <a:prstGeom prst="rect">
                      <a:avLst/>
                    </a:prstGeom>
                    <a:ln/>
                  </pic:spPr>
                </pic:pic>
              </a:graphicData>
            </a:graphic>
          </wp:inline>
        </w:drawing>
      </w:r>
    </w:p>
    <w:p w14:paraId="115D14C9" w14:textId="77777777" w:rsidR="00670FD4" w:rsidRDefault="00670FD4" w:rsidP="00670FD4">
      <w:pPr>
        <w:ind w:firstLine="567"/>
        <w:jc w:val="center"/>
        <w:rPr>
          <w:rFonts w:eastAsia="Times New Roman" w:cs="Times New Roman"/>
          <w:b/>
        </w:rPr>
      </w:pPr>
      <w:r>
        <w:rPr>
          <w:rFonts w:eastAsia="Times New Roman" w:cs="Times New Roman"/>
          <w:b/>
        </w:rPr>
        <w:t>Fig. 2.4.8.3.1</w:t>
      </w:r>
      <w:r>
        <w:rPr>
          <w:b/>
        </w:rPr>
        <w:t xml:space="preserve"> </w:t>
      </w:r>
      <w:r>
        <w:rPr>
          <w:rFonts w:eastAsia="Times New Roman" w:cs="Times New Roman"/>
          <w:b/>
        </w:rPr>
        <w:t>Intensitatea traficului maritim 2020 (</w:t>
      </w:r>
      <w:r>
        <w:rPr>
          <w:rFonts w:eastAsia="Times New Roman" w:cs="Times New Roman"/>
          <w:b/>
          <w:i/>
        </w:rPr>
        <w:t>sursă: EmodNet Human Activities</w:t>
      </w:r>
      <w:r>
        <w:rPr>
          <w:rFonts w:eastAsia="Times New Roman" w:cs="Times New Roman"/>
          <w:b/>
        </w:rPr>
        <w:t>)</w:t>
      </w:r>
    </w:p>
    <w:p w14:paraId="3AF3173F" w14:textId="77777777" w:rsidR="00670FD4" w:rsidRDefault="00670FD4" w:rsidP="00670FD4">
      <w:pPr>
        <w:ind w:firstLine="567"/>
        <w:rPr>
          <w:rFonts w:eastAsia="Times New Roman" w:cs="Times New Roman"/>
        </w:rPr>
      </w:pPr>
    </w:p>
    <w:p w14:paraId="1ACF9685" w14:textId="77777777" w:rsidR="00670FD4" w:rsidRDefault="00670FD4" w:rsidP="00670FD4">
      <w:pPr>
        <w:ind w:firstLine="567"/>
        <w:rPr>
          <w:rFonts w:eastAsia="Times New Roman" w:cs="Times New Roman"/>
        </w:rPr>
      </w:pPr>
    </w:p>
    <w:p w14:paraId="28CE1C7F" w14:textId="77777777" w:rsidR="00670FD4" w:rsidRDefault="00670FD4" w:rsidP="00670FD4">
      <w:pPr>
        <w:spacing w:before="0"/>
        <w:ind w:firstLine="567"/>
        <w:rPr>
          <w:rFonts w:eastAsia="Times New Roman" w:cs="Times New Roman"/>
          <w:color w:val="000000"/>
        </w:rPr>
      </w:pPr>
      <w:r>
        <w:rPr>
          <w:rFonts w:eastAsia="Times New Roman" w:cs="Times New Roman"/>
          <w:color w:val="000000"/>
        </w:rPr>
        <w:t>În ultimii cinci ani în porturile maritime românești traficul naval a inclus un număr mediu de aproximativ 4000 de nave fluviale și 10.000 de nave maritime (Fig. 2.4.8.3.2).</w:t>
      </w:r>
    </w:p>
    <w:p w14:paraId="0628061D" w14:textId="77777777" w:rsidR="00670FD4" w:rsidRDefault="00670FD4" w:rsidP="00670FD4">
      <w:pPr>
        <w:spacing w:before="0"/>
        <w:ind w:firstLine="567"/>
      </w:pPr>
    </w:p>
    <w:p w14:paraId="487F2F12" w14:textId="77777777" w:rsidR="00670FD4" w:rsidRDefault="00670FD4" w:rsidP="00670FD4">
      <w:pPr>
        <w:spacing w:before="240" w:after="240"/>
        <w:jc w:val="center"/>
      </w:pPr>
      <w:r>
        <w:rPr>
          <w:noProof/>
          <w:color w:val="000000"/>
        </w:rPr>
        <w:lastRenderedPageBreak/>
        <w:drawing>
          <wp:inline distT="0" distB="0" distL="0" distR="0" wp14:anchorId="4AC6D242" wp14:editId="487D02B8">
            <wp:extent cx="3787140" cy="2255520"/>
            <wp:effectExtent l="0" t="0" r="0" b="0"/>
            <wp:docPr id="214140195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8"/>
                    <a:srcRect/>
                    <a:stretch>
                      <a:fillRect/>
                    </a:stretch>
                  </pic:blipFill>
                  <pic:spPr>
                    <a:xfrm>
                      <a:off x="0" y="0"/>
                      <a:ext cx="3787140" cy="2255520"/>
                    </a:xfrm>
                    <a:prstGeom prst="rect">
                      <a:avLst/>
                    </a:prstGeom>
                    <a:ln/>
                  </pic:spPr>
                </pic:pic>
              </a:graphicData>
            </a:graphic>
          </wp:inline>
        </w:drawing>
      </w:r>
    </w:p>
    <w:p w14:paraId="523DA9A4" w14:textId="77777777" w:rsidR="00670FD4" w:rsidRDefault="00670FD4" w:rsidP="00670FD4">
      <w:pPr>
        <w:spacing w:before="240" w:after="240"/>
        <w:jc w:val="center"/>
        <w:rPr>
          <w:rFonts w:eastAsia="Times New Roman" w:cs="Times New Roman"/>
        </w:rPr>
      </w:pPr>
      <w:bookmarkStart w:id="93" w:name="_heading=h.23ckvvd" w:colFirst="0" w:colLast="0"/>
      <w:bookmarkEnd w:id="93"/>
      <w:r>
        <w:rPr>
          <w:rFonts w:eastAsia="Times New Roman" w:cs="Times New Roman"/>
          <w:b/>
          <w:color w:val="000000"/>
        </w:rPr>
        <w:t>Fig. 2.4.8.3.2 Escale ale navelor maritime în porturile românești (</w:t>
      </w:r>
      <w:r>
        <w:rPr>
          <w:rFonts w:eastAsia="Times New Roman" w:cs="Times New Roman"/>
          <w:i/>
          <w:color w:val="000000"/>
        </w:rPr>
        <w:t>sursa: www.portofconstantza.com</w:t>
      </w:r>
      <w:r>
        <w:rPr>
          <w:rFonts w:eastAsia="Times New Roman" w:cs="Times New Roman"/>
          <w:b/>
          <w:color w:val="000000"/>
        </w:rPr>
        <w:t>)</w:t>
      </w:r>
    </w:p>
    <w:p w14:paraId="22A1EC32" w14:textId="77777777" w:rsidR="00670FD4" w:rsidRDefault="00670FD4" w:rsidP="00670FD4">
      <w:pPr>
        <w:ind w:firstLine="567"/>
        <w:rPr>
          <w:rFonts w:eastAsia="Times New Roman" w:cs="Times New Roman"/>
          <w:color w:val="000000"/>
        </w:rPr>
      </w:pPr>
      <w:r>
        <w:rPr>
          <w:rFonts w:eastAsia="Times New Roman" w:cs="Times New Roman"/>
          <w:color w:val="000000"/>
        </w:rPr>
        <w:t>Luând în considerare faptul că Portul Constanța, care concentrează cea mai mare parte a traficului, include operarea tuturor tipurilor de mărfuri și tipul navelor care au avut escală în acest port este divers. Totuși, în ceea ce privește numărul acestora se observă o reprezentare semnificativă a navelor cargou, urmată de navele care transportă produse lichide sau solide în vrac, navele tanc și cele vrachier (Fig. 2.4.8.3.3).</w:t>
      </w:r>
    </w:p>
    <w:p w14:paraId="38EEF80E" w14:textId="77777777" w:rsidR="00670FD4" w:rsidRDefault="00670FD4" w:rsidP="00670FD4">
      <w:pPr>
        <w:ind w:firstLine="567"/>
      </w:pPr>
    </w:p>
    <w:p w14:paraId="42AF0C46" w14:textId="77777777" w:rsidR="00670FD4" w:rsidRDefault="00670FD4" w:rsidP="00670FD4">
      <w:pPr>
        <w:spacing w:before="240" w:after="240"/>
        <w:jc w:val="center"/>
      </w:pPr>
      <w:r>
        <w:rPr>
          <w:b/>
          <w:noProof/>
          <w:color w:val="000000"/>
        </w:rPr>
        <w:drawing>
          <wp:inline distT="0" distB="0" distL="0" distR="0" wp14:anchorId="7EDE3763" wp14:editId="2DFFDC68">
            <wp:extent cx="3846376" cy="3299683"/>
            <wp:effectExtent l="0" t="0" r="0" b="0"/>
            <wp:docPr id="214140195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9"/>
                    <a:srcRect/>
                    <a:stretch>
                      <a:fillRect/>
                    </a:stretch>
                  </pic:blipFill>
                  <pic:spPr>
                    <a:xfrm>
                      <a:off x="0" y="0"/>
                      <a:ext cx="3846376" cy="3299683"/>
                    </a:xfrm>
                    <a:prstGeom prst="rect">
                      <a:avLst/>
                    </a:prstGeom>
                    <a:ln/>
                  </pic:spPr>
                </pic:pic>
              </a:graphicData>
            </a:graphic>
          </wp:inline>
        </w:drawing>
      </w:r>
    </w:p>
    <w:p w14:paraId="5076B571" w14:textId="77777777" w:rsidR="00670FD4" w:rsidRDefault="00670FD4" w:rsidP="00670FD4">
      <w:pPr>
        <w:spacing w:before="240" w:after="240"/>
        <w:jc w:val="center"/>
        <w:rPr>
          <w:rFonts w:eastAsia="Times New Roman" w:cs="Times New Roman"/>
          <w:i/>
          <w:color w:val="000000"/>
        </w:rPr>
      </w:pPr>
      <w:bookmarkStart w:id="94" w:name="_heading=h.ihv636" w:colFirst="0" w:colLast="0"/>
      <w:bookmarkEnd w:id="94"/>
      <w:r>
        <w:rPr>
          <w:rFonts w:eastAsia="Times New Roman" w:cs="Times New Roman"/>
          <w:b/>
          <w:color w:val="000000"/>
        </w:rPr>
        <w:t>Fig. 2.4.8.3.3 Tipuri de nave maritime cu escală în porturile maritime românești (</w:t>
      </w:r>
      <w:r>
        <w:rPr>
          <w:rFonts w:eastAsia="Times New Roman" w:cs="Times New Roman"/>
          <w:i/>
          <w:color w:val="000000"/>
        </w:rPr>
        <w:t xml:space="preserve">sursa: </w:t>
      </w:r>
      <w:hyperlink r:id="rId50">
        <w:r>
          <w:rPr>
            <w:rFonts w:eastAsia="Times New Roman" w:cs="Times New Roman"/>
            <w:color w:val="0000FF"/>
            <w:u w:val="single"/>
          </w:rPr>
          <w:t>www.portofconstantza.com</w:t>
        </w:r>
      </w:hyperlink>
      <w:r>
        <w:rPr>
          <w:rFonts w:eastAsia="Times New Roman" w:cs="Times New Roman"/>
          <w:i/>
          <w:color w:val="000000"/>
        </w:rPr>
        <w:t>)</w:t>
      </w:r>
    </w:p>
    <w:p w14:paraId="751B8BFC" w14:textId="77777777" w:rsidR="00670FD4" w:rsidRDefault="00670FD4" w:rsidP="00670FD4">
      <w:pPr>
        <w:spacing w:before="0"/>
        <w:ind w:firstLine="567"/>
        <w:rPr>
          <w:rFonts w:eastAsia="Times New Roman" w:cs="Times New Roman"/>
          <w:color w:val="000000"/>
        </w:rPr>
      </w:pPr>
      <w:r>
        <w:rPr>
          <w:rFonts w:eastAsia="Times New Roman" w:cs="Times New Roman"/>
          <w:color w:val="000000"/>
        </w:rPr>
        <w:t xml:space="preserve">Deși politicile de dezvoltare a porturilor românești au avut permanent orientarea către a promova escalele navelor de mari dimensiuni, în măsură să aducă beneficii economice crescute </w:t>
      </w:r>
      <w:r>
        <w:rPr>
          <w:rFonts w:eastAsia="Times New Roman" w:cs="Times New Roman"/>
          <w:color w:val="000000"/>
        </w:rPr>
        <w:lastRenderedPageBreak/>
        <w:t>în raport cu cantitățile de mărfuri transportate, dar și un impact redus asupra mediului, numărul navelor cu capacități sub 5.000 de tone care accesează porturile românești este încă semnificativ (Fig. 2.4.8.3.4). Totuși, este de remarcat faptul că ultimele dezvoltări ale infrastructurii portuare și condițiile noi generate de conflictul militar din Ucraina au condus la operarea în 2022 și de nave cu o capacitate mai mare de 180.000 de tone.</w:t>
      </w:r>
    </w:p>
    <w:p w14:paraId="3CD63DE1" w14:textId="77777777" w:rsidR="00670FD4" w:rsidRDefault="00670FD4" w:rsidP="00670FD4">
      <w:pPr>
        <w:ind w:firstLine="567"/>
        <w:rPr>
          <w:rFonts w:eastAsia="Times New Roman" w:cs="Times New Roman"/>
          <w:color w:val="000000"/>
        </w:rPr>
      </w:pPr>
    </w:p>
    <w:p w14:paraId="0210B9FB" w14:textId="77777777" w:rsidR="00670FD4" w:rsidRDefault="00670FD4" w:rsidP="00670FD4">
      <w:pPr>
        <w:spacing w:before="240" w:after="240"/>
        <w:jc w:val="center"/>
      </w:pPr>
      <w:r>
        <w:rPr>
          <w:b/>
          <w:noProof/>
          <w:color w:val="000000"/>
        </w:rPr>
        <w:drawing>
          <wp:inline distT="0" distB="0" distL="0" distR="0" wp14:anchorId="4BB75CF8" wp14:editId="5476721B">
            <wp:extent cx="4480560" cy="3855720"/>
            <wp:effectExtent l="0" t="0" r="0" b="0"/>
            <wp:docPr id="214140195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1"/>
                    <a:srcRect/>
                    <a:stretch>
                      <a:fillRect/>
                    </a:stretch>
                  </pic:blipFill>
                  <pic:spPr>
                    <a:xfrm>
                      <a:off x="0" y="0"/>
                      <a:ext cx="4480560" cy="3855720"/>
                    </a:xfrm>
                    <a:prstGeom prst="rect">
                      <a:avLst/>
                    </a:prstGeom>
                    <a:ln/>
                  </pic:spPr>
                </pic:pic>
              </a:graphicData>
            </a:graphic>
          </wp:inline>
        </w:drawing>
      </w:r>
    </w:p>
    <w:p w14:paraId="56BB9279" w14:textId="77777777" w:rsidR="00670FD4" w:rsidRDefault="00670FD4" w:rsidP="00670FD4">
      <w:pPr>
        <w:spacing w:before="240" w:after="240"/>
        <w:jc w:val="center"/>
        <w:rPr>
          <w:rFonts w:eastAsia="Times New Roman" w:cs="Times New Roman"/>
        </w:rPr>
      </w:pPr>
      <w:bookmarkStart w:id="95" w:name="_heading=h.32hioqz" w:colFirst="0" w:colLast="0"/>
      <w:bookmarkEnd w:id="95"/>
      <w:r>
        <w:rPr>
          <w:rFonts w:eastAsia="Times New Roman" w:cs="Times New Roman"/>
          <w:b/>
          <w:color w:val="000000"/>
        </w:rPr>
        <w:t>Fig. 2.4.8.3.4 Număr de nave maritime cu escală în porturile maritime românești în funcție de capacități (</w:t>
      </w:r>
      <w:r>
        <w:rPr>
          <w:rFonts w:eastAsia="Times New Roman" w:cs="Times New Roman"/>
          <w:b/>
          <w:i/>
          <w:color w:val="000000"/>
        </w:rPr>
        <w:t xml:space="preserve">sursa: </w:t>
      </w:r>
      <w:hyperlink r:id="rId52">
        <w:r>
          <w:rPr>
            <w:rFonts w:eastAsia="Times New Roman" w:cs="Times New Roman"/>
            <w:b/>
            <w:i/>
            <w:color w:val="0000FF"/>
            <w:u w:val="single"/>
          </w:rPr>
          <w:t>www.portofconstantza.com</w:t>
        </w:r>
      </w:hyperlink>
      <w:r>
        <w:rPr>
          <w:rFonts w:eastAsia="Times New Roman" w:cs="Times New Roman"/>
          <w:i/>
          <w:color w:val="000000"/>
        </w:rPr>
        <w:t>)</w:t>
      </w:r>
    </w:p>
    <w:p w14:paraId="74EEFFF3" w14:textId="77777777" w:rsidR="00670FD4" w:rsidRDefault="00670FD4" w:rsidP="00670FD4">
      <w:pPr>
        <w:spacing w:before="0"/>
        <w:rPr>
          <w:rFonts w:eastAsia="Times New Roman" w:cs="Times New Roman"/>
        </w:rPr>
      </w:pPr>
      <w:r>
        <w:rPr>
          <w:rFonts w:eastAsia="Times New Roman" w:cs="Times New Roman"/>
          <w:color w:val="000000"/>
        </w:rPr>
        <w:t>Conexiuni și intermodalism pentru Portul Constanța</w:t>
      </w:r>
    </w:p>
    <w:p w14:paraId="0FDE15E0" w14:textId="77777777" w:rsidR="00670FD4" w:rsidRDefault="00670FD4" w:rsidP="00670FD4">
      <w:pPr>
        <w:spacing w:before="0"/>
        <w:rPr>
          <w:rFonts w:eastAsia="Times New Roman" w:cs="Times New Roman"/>
        </w:rPr>
      </w:pPr>
      <w:r>
        <w:rPr>
          <w:rFonts w:eastAsia="Times New Roman" w:cs="Times New Roman"/>
          <w:color w:val="000000"/>
          <w:u w:val="single"/>
        </w:rPr>
        <w:t>Calea ferată</w:t>
      </w:r>
    </w:p>
    <w:p w14:paraId="55F9EAF2" w14:textId="77777777" w:rsidR="00670FD4" w:rsidRDefault="00670FD4" w:rsidP="00670FD4">
      <w:pPr>
        <w:spacing w:before="0"/>
        <w:ind w:firstLine="567"/>
        <w:rPr>
          <w:rFonts w:eastAsia="Times New Roman" w:cs="Times New Roman"/>
        </w:rPr>
      </w:pPr>
      <w:r>
        <w:rPr>
          <w:rFonts w:eastAsia="Times New Roman" w:cs="Times New Roman"/>
          <w:color w:val="000000"/>
        </w:rPr>
        <w:t>Serviciile permanente de cale ferată asigură transportul volumelor mari de mărfuri către cele mai importante zone economice din România și Europa de Est. De asemenea, Portul Constanța reprezintă un important nod de transport al Coridorului TRACECA. Fiecare terminal portuar are acces direct la sistemul de cale ferată, asigurându-se un transport sigur și eficient al mărfurilor. Lungimea totală de cale ferată în port ajunge la 326 km.</w:t>
      </w:r>
    </w:p>
    <w:p w14:paraId="6FB72512" w14:textId="77777777" w:rsidR="00670FD4" w:rsidRDefault="00670FD4" w:rsidP="00670FD4">
      <w:pPr>
        <w:spacing w:before="0"/>
        <w:rPr>
          <w:rFonts w:eastAsia="Times New Roman" w:cs="Times New Roman"/>
        </w:rPr>
      </w:pPr>
      <w:r>
        <w:rPr>
          <w:rFonts w:eastAsia="Times New Roman" w:cs="Times New Roman"/>
          <w:color w:val="000000"/>
          <w:u w:val="single"/>
        </w:rPr>
        <w:t>Fluvial</w:t>
      </w:r>
      <w:r>
        <w:rPr>
          <w:rFonts w:eastAsia="Times New Roman" w:cs="Times New Roman"/>
          <w:i/>
          <w:color w:val="000000"/>
        </w:rPr>
        <w:t> </w:t>
      </w:r>
    </w:p>
    <w:p w14:paraId="6016179A" w14:textId="77777777" w:rsidR="00670FD4" w:rsidRDefault="00670FD4" w:rsidP="00670FD4">
      <w:pPr>
        <w:spacing w:before="0"/>
        <w:ind w:firstLine="567"/>
        <w:rPr>
          <w:rFonts w:eastAsia="Times New Roman" w:cs="Times New Roman"/>
        </w:rPr>
      </w:pPr>
      <w:r>
        <w:rPr>
          <w:rFonts w:eastAsia="Times New Roman" w:cs="Times New Roman"/>
          <w:color w:val="000000"/>
        </w:rPr>
        <w:t>Portul Constanța este conectat la Coridorul TEN-T Rin-Dunăre, care leagă cei doi poli comerciali europeni: Rotterdam și Constanța, creând o cale navigabilă interioară de la Marea Nordului până la Marea Neagră. Lungimea acestei căi navigabile este de 2.414 km</w:t>
      </w:r>
      <w:r>
        <w:rPr>
          <w:rFonts w:eastAsia="Times New Roman" w:cs="Times New Roman"/>
          <w:b/>
          <w:color w:val="000000"/>
        </w:rPr>
        <w:t xml:space="preserve"> </w:t>
      </w:r>
      <w:r>
        <w:rPr>
          <w:rFonts w:eastAsia="Times New Roman" w:cs="Times New Roman"/>
          <w:color w:val="000000"/>
        </w:rPr>
        <w:t xml:space="preserve">de la Sulina, până la Kelheim, de unde continuă prin Canalul Main-Rin, traversând Europa până la Marea </w:t>
      </w:r>
      <w:r>
        <w:rPr>
          <w:rFonts w:eastAsia="Times New Roman" w:cs="Times New Roman"/>
          <w:color w:val="000000"/>
        </w:rPr>
        <w:lastRenderedPageBreak/>
        <w:t>Nordului. Pe teritoriul României, lungimea căii navigabile este de 1.075 km. Legătura Portului Constanța cu Coridorul Rin-Dunăre prin Canalul Dunăre-Marea Neagră creează o alternativă de transport cu 4000 km mai scurtă pentru mărfurile care vin din Orientul Îndepărtat și Australia prin Canalul Suez și au destinație Europa Centrală.</w:t>
      </w:r>
    </w:p>
    <w:p w14:paraId="4A9456B8" w14:textId="77777777" w:rsidR="00670FD4" w:rsidRDefault="00670FD4" w:rsidP="00670FD4">
      <w:pPr>
        <w:spacing w:before="0"/>
        <w:ind w:firstLine="567"/>
        <w:rPr>
          <w:rFonts w:eastAsia="Times New Roman" w:cs="Times New Roman"/>
        </w:rPr>
      </w:pPr>
      <w:r>
        <w:rPr>
          <w:rFonts w:eastAsia="Times New Roman" w:cs="Times New Roman"/>
          <w:color w:val="000000"/>
        </w:rPr>
        <w:t>În conformitate cu standardele Uniunii Europene și ale Națiunilor Unite, Canalul Dunăre-Marea Neagră este un canal de clasa VI și un canal fluvial de clasa "F". Canalul, administrat de CN ACN, are lungimea de 64,4 km, lățimea de 90 m, adâncimea apei de 7 m și 17,5 m sub poduri. Situat la 35,4 km de Dunăre, brațul de nord al Canalului Dunăre-Marea Neagră asigură legătura cu Portul Midia prin două ecluze, la Ovidiu și Năvodari. Brațul de nord are o lungime de 27,5 km și o lățime de 45-50 m, cu adâncimi minime ale apei de 5,5 m. În opinia CN APM, accesul facil spre Europa Centrală este asigurat de bunele condiții navigabile ale Dunării de Jos și numărul redus de ecluze (doar 4 ecluze) pe sectorul dintre Constanța și Budapesta.</w:t>
      </w:r>
    </w:p>
    <w:p w14:paraId="37CFC0A3" w14:textId="77777777" w:rsidR="00670FD4" w:rsidRDefault="00670FD4" w:rsidP="00670FD4">
      <w:pPr>
        <w:spacing w:before="0"/>
        <w:rPr>
          <w:rFonts w:eastAsia="Times New Roman" w:cs="Times New Roman"/>
        </w:rPr>
      </w:pPr>
      <w:r>
        <w:rPr>
          <w:rFonts w:eastAsia="Times New Roman" w:cs="Times New Roman"/>
          <w:color w:val="000000"/>
          <w:u w:val="single"/>
        </w:rPr>
        <w:t>Rutier</w:t>
      </w:r>
    </w:p>
    <w:p w14:paraId="381E075B" w14:textId="77777777" w:rsidR="00670FD4" w:rsidRDefault="00670FD4" w:rsidP="00670FD4">
      <w:pPr>
        <w:spacing w:before="0"/>
        <w:ind w:firstLine="567"/>
        <w:rPr>
          <w:rFonts w:eastAsia="Times New Roman" w:cs="Times New Roman"/>
        </w:rPr>
      </w:pPr>
      <w:r>
        <w:rPr>
          <w:rFonts w:eastAsia="Times New Roman" w:cs="Times New Roman"/>
          <w:color w:val="000000"/>
        </w:rPr>
        <w:t>Toate porțile de intrare/ieșire în/din Portul Constanța sunt conectate la rețeaua națională și europeană de șosele, conexiunea rutieră având o importanță strategică, realizându-se astfel legătura între Portul Constanța și țările fără acces la mare din Europa Centrală și de Est. Lungimea totală a șoselelor în Portul Constanța este de aprox. 100 km. Autostrada A2 leagă Bucureștiul de orașul port Constanța (</w:t>
      </w:r>
      <w:r>
        <w:rPr>
          <w:rFonts w:eastAsia="Times New Roman" w:cs="Times New Roman"/>
          <w:i/>
          <w:color w:val="000000"/>
        </w:rPr>
        <w:t xml:space="preserve">via </w:t>
      </w:r>
      <w:r>
        <w:rPr>
          <w:rFonts w:eastAsia="Times New Roman" w:cs="Times New Roman"/>
          <w:color w:val="000000"/>
        </w:rPr>
        <w:t>autostrada A4).</w:t>
      </w:r>
    </w:p>
    <w:p w14:paraId="730CF53D" w14:textId="77777777" w:rsidR="00670FD4" w:rsidRDefault="00670FD4" w:rsidP="00670FD4">
      <w:pPr>
        <w:spacing w:before="0"/>
        <w:ind w:firstLine="567"/>
        <w:rPr>
          <w:rFonts w:eastAsia="Times New Roman" w:cs="Times New Roman"/>
          <w:color w:val="000000"/>
        </w:rPr>
      </w:pPr>
      <w:r>
        <w:rPr>
          <w:rFonts w:eastAsia="Times New Roman" w:cs="Times New Roman"/>
          <w:color w:val="000000"/>
        </w:rPr>
        <w:t xml:space="preserve">Traficul de mărfuri în porturile maritime a cunoscut în ultima perioadă o creștere semnificativă datorită preluării a unei mari părți din traficul porturilor ucrainiene, situație generată de conflictul militar din zonă. Astfel, traficul total de mărfuri în 2021 a fost de 67.483.435 tone, iar în 2022 se observă o creștere cu mai mult de 10%, până la 75.537.687. Analiza datelor furnizate de CN APM referitoare la perioada 2015-2022, confirmă creșterea aproape continuă a traficului portuar în porturile maritime, cu excepția anului 2020, când s-a observat o scădere cu circa 10% în datorată pandemiei de </w:t>
      </w:r>
      <w:r>
        <w:rPr>
          <w:rFonts w:eastAsia="Times New Roman" w:cs="Times New Roman"/>
        </w:rPr>
        <w:t>coronavirus</w:t>
      </w:r>
      <w:r>
        <w:rPr>
          <w:rFonts w:eastAsia="Times New Roman" w:cs="Times New Roman"/>
          <w:color w:val="000000"/>
        </w:rPr>
        <w:t>.</w:t>
      </w:r>
    </w:p>
    <w:p w14:paraId="5329146E" w14:textId="77777777" w:rsidR="00670FD4" w:rsidRDefault="00670FD4" w:rsidP="00670FD4">
      <w:pPr>
        <w:spacing w:before="0"/>
        <w:ind w:firstLine="567"/>
        <w:rPr>
          <w:rFonts w:eastAsia="Times New Roman" w:cs="Times New Roman"/>
        </w:rPr>
      </w:pPr>
      <w:r>
        <w:rPr>
          <w:rFonts w:eastAsia="Times New Roman" w:cs="Times New Roman"/>
        </w:rPr>
        <w:t>În prezent, Master Planul Portului Constanţa, aflat în curs de actualizare, prevede o serie de proiecte menite a-i spori capacitatea de acomodare a navelor de tonaj mare şi de dezvoltare a transportului multimodal, în paralel cu modernizarea infrastructurii şi suprastructurii. Îmbunătățirea infrastructurii feroviare din port și a conexiunilor feroviare cu acesta este unul dintre proiectele importante de care depinde dezvoltarea transportului naval în zonă. De asemenea, portul trebuie să asigure în timp relativ scurt capacitatea de aprovizionare cu LNG a navelor și să ia în considerare în dezvoltările sale schimbările din sectorul energetic din regiune.</w:t>
      </w:r>
    </w:p>
    <w:p w14:paraId="6A018FC2" w14:textId="77777777" w:rsidR="00670FD4" w:rsidRDefault="00670FD4" w:rsidP="00670FD4">
      <w:pPr>
        <w:spacing w:before="0"/>
        <w:ind w:firstLine="567"/>
        <w:rPr>
          <w:rFonts w:eastAsia="Times New Roman" w:cs="Times New Roman"/>
          <w:color w:val="000000"/>
        </w:rPr>
      </w:pPr>
      <w:r>
        <w:rPr>
          <w:rFonts w:eastAsia="Times New Roman" w:cs="Times New Roman"/>
          <w:color w:val="000000"/>
        </w:rPr>
        <w:t xml:space="preserve">În ceea ce privește traficul naval pe brațele Dunării, se observă o creștere semnificativă în 2022 a numărului de nave ce au tranzitat Canalul Sulina (Fig. 2.4.8.3.5), în special pentru nave cu tonaj peste 3000 tdw. Evident, această creștere semnificativă este în strânsă legătură cu conflictul armat generat de agresiunea Rusiei asupra Ucrainei. </w:t>
      </w:r>
    </w:p>
    <w:p w14:paraId="58F4F079" w14:textId="77777777" w:rsidR="00670FD4" w:rsidRDefault="00670FD4" w:rsidP="00670FD4">
      <w:pPr>
        <w:spacing w:before="240" w:after="240"/>
        <w:jc w:val="center"/>
      </w:pPr>
      <w:r>
        <w:rPr>
          <w:noProof/>
          <w:color w:val="000000"/>
        </w:rPr>
        <w:lastRenderedPageBreak/>
        <w:drawing>
          <wp:inline distT="0" distB="0" distL="0" distR="0" wp14:anchorId="5F0451BE" wp14:editId="43C0E15B">
            <wp:extent cx="5424043" cy="3162793"/>
            <wp:effectExtent l="0" t="0" r="0" b="0"/>
            <wp:docPr id="214140195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3"/>
                    <a:srcRect/>
                    <a:stretch>
                      <a:fillRect/>
                    </a:stretch>
                  </pic:blipFill>
                  <pic:spPr>
                    <a:xfrm>
                      <a:off x="0" y="0"/>
                      <a:ext cx="5424043" cy="3162793"/>
                    </a:xfrm>
                    <a:prstGeom prst="rect">
                      <a:avLst/>
                    </a:prstGeom>
                    <a:ln/>
                  </pic:spPr>
                </pic:pic>
              </a:graphicData>
            </a:graphic>
          </wp:inline>
        </w:drawing>
      </w:r>
    </w:p>
    <w:p w14:paraId="47BA3A7B" w14:textId="77777777" w:rsidR="00670FD4" w:rsidRDefault="00670FD4" w:rsidP="00670FD4">
      <w:pPr>
        <w:spacing w:before="240" w:after="240"/>
        <w:jc w:val="center"/>
        <w:rPr>
          <w:rFonts w:eastAsia="Times New Roman" w:cs="Times New Roman"/>
          <w:b/>
          <w:color w:val="000000"/>
        </w:rPr>
      </w:pPr>
      <w:bookmarkStart w:id="96" w:name="_heading=h.1hmsyys" w:colFirst="0" w:colLast="0"/>
      <w:bookmarkEnd w:id="96"/>
      <w:r>
        <w:rPr>
          <w:rFonts w:eastAsia="Times New Roman" w:cs="Times New Roman"/>
          <w:b/>
          <w:color w:val="000000"/>
        </w:rPr>
        <w:t>Fig. 2.4.8.3.5 Număr de nave care au tranzitat Canalul Sulina (</w:t>
      </w:r>
      <w:r>
        <w:rPr>
          <w:rFonts w:eastAsia="Times New Roman" w:cs="Times New Roman"/>
          <w:b/>
          <w:i/>
          <w:color w:val="000000"/>
        </w:rPr>
        <w:t xml:space="preserve">sursa: </w:t>
      </w:r>
      <w:hyperlink r:id="rId54">
        <w:r>
          <w:rPr>
            <w:rFonts w:eastAsia="Times New Roman" w:cs="Times New Roman"/>
            <w:b/>
            <w:i/>
            <w:color w:val="0000FF"/>
            <w:u w:val="single"/>
          </w:rPr>
          <w:t>www.afdj.ro</w:t>
        </w:r>
      </w:hyperlink>
      <w:r>
        <w:rPr>
          <w:rFonts w:eastAsia="Times New Roman" w:cs="Times New Roman"/>
          <w:b/>
          <w:color w:val="000000"/>
        </w:rPr>
        <w:t>)</w:t>
      </w:r>
    </w:p>
    <w:p w14:paraId="4E62696F" w14:textId="77777777" w:rsidR="00670FD4" w:rsidRDefault="00670FD4" w:rsidP="00670FD4">
      <w:pPr>
        <w:spacing w:before="0"/>
        <w:jc w:val="center"/>
        <w:rPr>
          <w:rFonts w:eastAsia="Times New Roman" w:cs="Times New Roman"/>
        </w:rPr>
      </w:pPr>
    </w:p>
    <w:p w14:paraId="30739E9E" w14:textId="77777777" w:rsidR="00670FD4" w:rsidRDefault="00670FD4" w:rsidP="00670FD4">
      <w:pPr>
        <w:spacing w:before="0"/>
        <w:ind w:firstLine="567"/>
        <w:rPr>
          <w:rFonts w:eastAsia="Times New Roman" w:cs="Times New Roman"/>
        </w:rPr>
      </w:pPr>
      <w:r>
        <w:rPr>
          <w:rFonts w:eastAsia="Times New Roman" w:cs="Times New Roman"/>
          <w:color w:val="000000"/>
        </w:rPr>
        <w:t>Canalul Sulina, parte a rețelei TEN-T fluviale centrale, este cel mai scurt și cel mai drept braț al Dunării și cea mai rapidă legătură între fluviu și Marea Neagră, mai ales în condițiile în care acesta este regularizat și canalizat, permițând accesul navelor maritime şi fluvio-maritime, cu un pescaj în apă dulce de maximum 7 m până în porturile Tulcea, Galați, Brăila, Reni, Ismail, Vâlcov, Giurgiulești. Anual, Canalul Sulina este tranzitat de peste 1.500 de nave de mărfuri, care transportă peste 2.5 milioane tone pe an, la care se adaugă cursele zilnice ale navelor de pasageri, care leagă municipiul Tulcea de localitățile riverane (Partizani, Maliuc, Gorgova, Crișan, Sulina), navele serviciilor de urgență (ambulanță, ISU). Practic, Canalul Sulina reprezintă singura cale de acces pentru cei peste 5.500 de locuitori ai Deltei de pe malurile acestuia și pentru furnizorii de mărfuri și servicii adresate acestora. </w:t>
      </w:r>
    </w:p>
    <w:p w14:paraId="5E98DE53" w14:textId="77777777" w:rsidR="00670FD4" w:rsidRDefault="00670FD4" w:rsidP="00670FD4">
      <w:pPr>
        <w:spacing w:before="0"/>
        <w:ind w:firstLine="567"/>
        <w:rPr>
          <w:rFonts w:eastAsia="Times New Roman" w:cs="Times New Roman"/>
          <w:color w:val="000000"/>
        </w:rPr>
      </w:pPr>
      <w:r>
        <w:rPr>
          <w:rFonts w:eastAsia="Times New Roman" w:cs="Times New Roman"/>
          <w:color w:val="000000"/>
        </w:rPr>
        <w:t>În Tabelul 2.4.8.3.1 este prezentată dinamica numărului de pasageri pe cele trei brațe ale Dunării (sursa SC NAVROM DELTA Tulcea), către localitățile Sulina, Periprava și Sfântu Gheorghe, pentru anii de referință 2013, 2018 si 2022. Analizând datele, remarcăm o scădere continuă a numărului de pasageri în ultimii 10 ani, iar cauzele sunt multiple: numărul în creștere a celor care aleg să meargă cu ambarcațiuni private, contextul pandemic, etc.</w:t>
      </w:r>
    </w:p>
    <w:p w14:paraId="29960892" w14:textId="77777777" w:rsidR="00670FD4" w:rsidRDefault="00670FD4" w:rsidP="00670FD4">
      <w:pPr>
        <w:ind w:firstLine="567"/>
        <w:jc w:val="center"/>
        <w:rPr>
          <w:rFonts w:eastAsia="Times New Roman" w:cs="Times New Roman"/>
          <w:b/>
          <w:color w:val="000000"/>
          <w:sz w:val="28"/>
          <w:szCs w:val="28"/>
        </w:rPr>
      </w:pPr>
    </w:p>
    <w:p w14:paraId="7BD38A86" w14:textId="77777777" w:rsidR="00670FD4" w:rsidRDefault="00670FD4" w:rsidP="00670FD4">
      <w:pPr>
        <w:spacing w:after="0"/>
        <w:jc w:val="center"/>
      </w:pPr>
      <w:bookmarkStart w:id="97" w:name="_heading=h.41mghml" w:colFirst="0" w:colLast="0"/>
      <w:bookmarkEnd w:id="97"/>
      <w:r>
        <w:rPr>
          <w:rFonts w:eastAsia="Times New Roman" w:cs="Times New Roman"/>
          <w:b/>
          <w:color w:val="000000"/>
        </w:rPr>
        <w:t>Tabel 2.4.8.3.1 Numărul de pasageri către localitățile Sulina, Periprava și Sfântu Gheorghe</w:t>
      </w:r>
    </w:p>
    <w:tbl>
      <w:tblPr>
        <w:tblW w:w="9006" w:type="dxa"/>
        <w:tblLayout w:type="fixed"/>
        <w:tblLook w:val="0400" w:firstRow="0" w:lastRow="0" w:firstColumn="0" w:lastColumn="0" w:noHBand="0" w:noVBand="1"/>
      </w:tblPr>
      <w:tblGrid>
        <w:gridCol w:w="699"/>
        <w:gridCol w:w="946"/>
        <w:gridCol w:w="1196"/>
        <w:gridCol w:w="1037"/>
        <w:gridCol w:w="1196"/>
        <w:gridCol w:w="1037"/>
        <w:gridCol w:w="1196"/>
        <w:gridCol w:w="763"/>
        <w:gridCol w:w="936"/>
      </w:tblGrid>
      <w:tr w:rsidR="00670FD4" w14:paraId="145652C6" w14:textId="77777777" w:rsidTr="001925BA">
        <w:trPr>
          <w:trHeight w:val="440"/>
        </w:trPr>
        <w:tc>
          <w:tcPr>
            <w:tcW w:w="699"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762D7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Anul</w:t>
            </w:r>
          </w:p>
        </w:tc>
        <w:tc>
          <w:tcPr>
            <w:tcW w:w="2142"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BA1E2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Tulcea-Sulina</w:t>
            </w:r>
          </w:p>
        </w:tc>
        <w:tc>
          <w:tcPr>
            <w:tcW w:w="223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23400B"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Tulcea-Periprava</w:t>
            </w:r>
          </w:p>
        </w:tc>
        <w:tc>
          <w:tcPr>
            <w:tcW w:w="223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5CAE3A" w14:textId="77777777" w:rsidR="00670FD4" w:rsidRDefault="00670FD4" w:rsidP="001925BA">
            <w:pPr>
              <w:spacing w:after="0" w:line="240" w:lineRule="auto"/>
              <w:rPr>
                <w:rFonts w:eastAsia="Times New Roman" w:cs="Times New Roman"/>
                <w:sz w:val="20"/>
                <w:szCs w:val="20"/>
              </w:rPr>
            </w:pPr>
            <w:r>
              <w:rPr>
                <w:rFonts w:eastAsia="Times New Roman" w:cs="Times New Roman"/>
                <w:color w:val="000000"/>
                <w:sz w:val="20"/>
                <w:szCs w:val="20"/>
              </w:rPr>
              <w:t>Tulcea-Sf. Gheorghe</w:t>
            </w:r>
          </w:p>
        </w:tc>
        <w:tc>
          <w:tcPr>
            <w:tcW w:w="76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94C4CE" w14:textId="77777777" w:rsidR="00670FD4" w:rsidRDefault="00670FD4" w:rsidP="001925BA">
            <w:pPr>
              <w:spacing w:after="0" w:line="240" w:lineRule="auto"/>
              <w:rPr>
                <w:rFonts w:eastAsia="Times New Roman" w:cs="Times New Roman"/>
                <w:sz w:val="20"/>
                <w:szCs w:val="20"/>
              </w:rPr>
            </w:pPr>
          </w:p>
          <w:p w14:paraId="6B4EF59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lastRenderedPageBreak/>
              <w:t>Alte categorii </w:t>
            </w:r>
          </w:p>
        </w:tc>
        <w:tc>
          <w:tcPr>
            <w:tcW w:w="936"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308B2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lastRenderedPageBreak/>
              <w:t>Total </w:t>
            </w:r>
          </w:p>
        </w:tc>
      </w:tr>
      <w:tr w:rsidR="00670FD4" w14:paraId="52321271" w14:textId="77777777" w:rsidTr="001925BA">
        <w:trPr>
          <w:trHeight w:val="440"/>
        </w:trPr>
        <w:tc>
          <w:tcPr>
            <w:tcW w:w="699"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B22AFA" w14:textId="77777777" w:rsidR="00670FD4" w:rsidRDefault="00670FD4" w:rsidP="001925BA">
            <w:pPr>
              <w:widowControl w:val="0"/>
              <w:pBdr>
                <w:top w:val="nil"/>
                <w:left w:val="nil"/>
                <w:bottom w:val="nil"/>
                <w:right w:val="nil"/>
                <w:between w:val="nil"/>
              </w:pBdr>
              <w:spacing w:after="0"/>
              <w:rPr>
                <w:rFonts w:eastAsia="Times New Roman" w:cs="Times New Roman"/>
                <w:sz w:val="20"/>
                <w:szCs w:val="20"/>
              </w:rPr>
            </w:pPr>
          </w:p>
        </w:tc>
        <w:tc>
          <w:tcPr>
            <w:tcW w:w="9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27A9BD" w14:textId="77777777" w:rsidR="00670FD4" w:rsidRDefault="00670FD4" w:rsidP="001925BA">
            <w:pPr>
              <w:spacing w:after="0" w:line="240" w:lineRule="auto"/>
              <w:rPr>
                <w:rFonts w:eastAsia="Times New Roman" w:cs="Times New Roman"/>
                <w:sz w:val="20"/>
                <w:szCs w:val="20"/>
              </w:rPr>
            </w:pPr>
            <w:r>
              <w:rPr>
                <w:rFonts w:eastAsia="Times New Roman" w:cs="Times New Roman"/>
                <w:color w:val="000000"/>
                <w:sz w:val="20"/>
                <w:szCs w:val="20"/>
              </w:rPr>
              <w:t>Subvenționat</w:t>
            </w:r>
          </w:p>
        </w:tc>
        <w:tc>
          <w:tcPr>
            <w:tcW w:w="11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A7873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Nesubvenționat</w:t>
            </w:r>
          </w:p>
        </w:tc>
        <w:tc>
          <w:tcPr>
            <w:tcW w:w="10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FBDEE3"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Subvenționat</w:t>
            </w:r>
          </w:p>
        </w:tc>
        <w:tc>
          <w:tcPr>
            <w:tcW w:w="11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A29F5B"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Nesubvenționat</w:t>
            </w:r>
          </w:p>
        </w:tc>
        <w:tc>
          <w:tcPr>
            <w:tcW w:w="10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C82753"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Subvenționat</w:t>
            </w:r>
          </w:p>
        </w:tc>
        <w:tc>
          <w:tcPr>
            <w:tcW w:w="11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9956A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Nesubvenționat</w:t>
            </w:r>
          </w:p>
        </w:tc>
        <w:tc>
          <w:tcPr>
            <w:tcW w:w="76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9DDA52" w14:textId="77777777" w:rsidR="00670FD4" w:rsidRDefault="00670FD4" w:rsidP="001925BA">
            <w:pPr>
              <w:widowControl w:val="0"/>
              <w:pBdr>
                <w:top w:val="nil"/>
                <w:left w:val="nil"/>
                <w:bottom w:val="nil"/>
                <w:right w:val="nil"/>
                <w:between w:val="nil"/>
              </w:pBdr>
              <w:spacing w:after="0"/>
              <w:rPr>
                <w:rFonts w:eastAsia="Times New Roman" w:cs="Times New Roman"/>
                <w:sz w:val="20"/>
                <w:szCs w:val="20"/>
              </w:rPr>
            </w:pPr>
          </w:p>
        </w:tc>
        <w:tc>
          <w:tcPr>
            <w:tcW w:w="936"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CD6896" w14:textId="77777777" w:rsidR="00670FD4" w:rsidRDefault="00670FD4" w:rsidP="001925BA">
            <w:pPr>
              <w:widowControl w:val="0"/>
              <w:pBdr>
                <w:top w:val="nil"/>
                <w:left w:val="nil"/>
                <w:bottom w:val="nil"/>
                <w:right w:val="nil"/>
                <w:between w:val="nil"/>
              </w:pBdr>
              <w:spacing w:after="0"/>
              <w:rPr>
                <w:rFonts w:eastAsia="Times New Roman" w:cs="Times New Roman"/>
                <w:sz w:val="20"/>
                <w:szCs w:val="20"/>
              </w:rPr>
            </w:pPr>
          </w:p>
        </w:tc>
      </w:tr>
      <w:tr w:rsidR="00670FD4" w14:paraId="0313B40B" w14:textId="77777777" w:rsidTr="001925BA">
        <w:tc>
          <w:tcPr>
            <w:tcW w:w="6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FA4B9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2013</w:t>
            </w:r>
          </w:p>
        </w:tc>
        <w:tc>
          <w:tcPr>
            <w:tcW w:w="9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33F30B"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77827</w:t>
            </w:r>
          </w:p>
        </w:tc>
        <w:tc>
          <w:tcPr>
            <w:tcW w:w="11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FFD67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33349</w:t>
            </w:r>
          </w:p>
        </w:tc>
        <w:tc>
          <w:tcPr>
            <w:tcW w:w="10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D49663"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25601</w:t>
            </w:r>
          </w:p>
        </w:tc>
        <w:tc>
          <w:tcPr>
            <w:tcW w:w="11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9A1C0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1577</w:t>
            </w:r>
          </w:p>
        </w:tc>
        <w:tc>
          <w:tcPr>
            <w:tcW w:w="10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32C82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11615</w:t>
            </w:r>
          </w:p>
        </w:tc>
        <w:tc>
          <w:tcPr>
            <w:tcW w:w="11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35918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17759</w:t>
            </w:r>
          </w:p>
        </w:tc>
        <w:tc>
          <w:tcPr>
            <w:tcW w:w="7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1CD09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5220</w:t>
            </w:r>
          </w:p>
        </w:tc>
        <w:tc>
          <w:tcPr>
            <w:tcW w:w="9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7A336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172948</w:t>
            </w:r>
          </w:p>
        </w:tc>
      </w:tr>
      <w:tr w:rsidR="00670FD4" w14:paraId="4208BD5A" w14:textId="77777777" w:rsidTr="001925BA">
        <w:tc>
          <w:tcPr>
            <w:tcW w:w="6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EEBC93"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2018</w:t>
            </w:r>
          </w:p>
        </w:tc>
        <w:tc>
          <w:tcPr>
            <w:tcW w:w="9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C51E2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49810</w:t>
            </w:r>
          </w:p>
        </w:tc>
        <w:tc>
          <w:tcPr>
            <w:tcW w:w="11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23C63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108</w:t>
            </w:r>
          </w:p>
        </w:tc>
        <w:tc>
          <w:tcPr>
            <w:tcW w:w="10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772CD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15600</w:t>
            </w:r>
          </w:p>
        </w:tc>
        <w:tc>
          <w:tcPr>
            <w:tcW w:w="11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FF919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1047</w:t>
            </w:r>
          </w:p>
        </w:tc>
        <w:tc>
          <w:tcPr>
            <w:tcW w:w="10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80254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10765</w:t>
            </w:r>
          </w:p>
        </w:tc>
        <w:tc>
          <w:tcPr>
            <w:tcW w:w="11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22876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11087</w:t>
            </w:r>
          </w:p>
        </w:tc>
        <w:tc>
          <w:tcPr>
            <w:tcW w:w="7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B080B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6461</w:t>
            </w:r>
          </w:p>
        </w:tc>
        <w:tc>
          <w:tcPr>
            <w:tcW w:w="9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4786B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119419</w:t>
            </w:r>
          </w:p>
        </w:tc>
      </w:tr>
      <w:tr w:rsidR="00670FD4" w14:paraId="04A629F4" w14:textId="77777777" w:rsidTr="001925BA">
        <w:tc>
          <w:tcPr>
            <w:tcW w:w="6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55047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2022</w:t>
            </w:r>
          </w:p>
        </w:tc>
        <w:tc>
          <w:tcPr>
            <w:tcW w:w="9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99B3E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41355</w:t>
            </w:r>
          </w:p>
        </w:tc>
        <w:tc>
          <w:tcPr>
            <w:tcW w:w="11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97A13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15759</w:t>
            </w:r>
          </w:p>
        </w:tc>
        <w:tc>
          <w:tcPr>
            <w:tcW w:w="10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10EEA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6621</w:t>
            </w:r>
          </w:p>
        </w:tc>
        <w:tc>
          <w:tcPr>
            <w:tcW w:w="11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A092E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625</w:t>
            </w:r>
          </w:p>
        </w:tc>
        <w:tc>
          <w:tcPr>
            <w:tcW w:w="10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3062A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8529</w:t>
            </w:r>
          </w:p>
        </w:tc>
        <w:tc>
          <w:tcPr>
            <w:tcW w:w="11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45D6D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4159</w:t>
            </w:r>
          </w:p>
        </w:tc>
        <w:tc>
          <w:tcPr>
            <w:tcW w:w="7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4EFF9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20041</w:t>
            </w:r>
          </w:p>
        </w:tc>
        <w:tc>
          <w:tcPr>
            <w:tcW w:w="9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AF503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97089</w:t>
            </w:r>
          </w:p>
        </w:tc>
      </w:tr>
    </w:tbl>
    <w:p w14:paraId="75A4176E" w14:textId="77777777" w:rsidR="00670FD4" w:rsidRDefault="00670FD4" w:rsidP="00670FD4"/>
    <w:p w14:paraId="3323D418" w14:textId="77777777" w:rsidR="00670FD4" w:rsidRDefault="00670FD4" w:rsidP="00670FD4">
      <w:pPr>
        <w:pStyle w:val="Heading4"/>
      </w:pPr>
      <w:bookmarkStart w:id="98" w:name="_Toc171084850"/>
      <w:r>
        <w:t>2.4.8.4 Agricultura</w:t>
      </w:r>
      <w:bookmarkEnd w:id="98"/>
    </w:p>
    <w:p w14:paraId="008C5D63" w14:textId="77777777" w:rsidR="00670FD4" w:rsidRDefault="00670FD4" w:rsidP="00670FD4">
      <w:pPr>
        <w:spacing w:after="0"/>
        <w:ind w:firstLine="567"/>
        <w:rPr>
          <w:rFonts w:eastAsia="Times New Roman" w:cs="Times New Roman"/>
        </w:rPr>
      </w:pPr>
      <w:r>
        <w:rPr>
          <w:rFonts w:eastAsia="Times New Roman" w:cs="Times New Roman"/>
        </w:rPr>
        <w:t>Agricultura este unul dintre cele mai importante sectoare economice din zona costieră, terenurile cultivate cu culturi agricole însumând o suprafață totală de 134.000 ha (37,55% din terenurile zonei costiere) conform datelor furnizate de JRC pentru anul 2018 (D`Andrimont și colab., 2021). Dintre acestea, suprafața cea mai mare o ocupă terenurilor ocupate cu culturi cerealiere, 42,8% din totalul terenurilor agricole, după care urmează terenurile acoperite cu vegetație ierboasă (24,6%), culturile oleaginoase (16,9 %) și plantațiile multianuale de pomi și arbuști fructiferi (13,8 %).</w:t>
      </w:r>
    </w:p>
    <w:p w14:paraId="23E74914" w14:textId="77777777" w:rsidR="00670FD4" w:rsidRDefault="00670FD4" w:rsidP="00670FD4">
      <w:pPr>
        <w:pBdr>
          <w:top w:val="nil"/>
          <w:left w:val="nil"/>
          <w:bottom w:val="nil"/>
          <w:right w:val="nil"/>
          <w:between w:val="nil"/>
        </w:pBdr>
        <w:spacing w:after="0"/>
        <w:ind w:firstLine="567"/>
        <w:rPr>
          <w:rFonts w:eastAsia="Times New Roman" w:cs="Times New Roman"/>
          <w:color w:val="000000"/>
        </w:rPr>
      </w:pPr>
      <w:r>
        <w:rPr>
          <w:rFonts w:eastAsia="Times New Roman" w:cs="Times New Roman"/>
          <w:color w:val="000000"/>
        </w:rPr>
        <w:t>Repartiția geografică a terenurilor cultivate nu este uniformă, cea mai mare parte a terenurilor cultivate fiind concentrate în partea sudică și centrală a zonei de studiu (peste 60 %). Suprafețele totale agricole la nivelul celor două județe din zona costieră au rămas relativ constante în ultimii ani. Totuși, referitor la categoriile de folosință, dacă în județul Constanța suprafețele au rămas constante pe categoriile de folosință cu destinație agricolă, respectiv arabil, pășuni, fânețe, vii și livezi, pentru județul Tulcea este observată o ușoară tendință de creștere la arabil, creștere realizată în detrimentul suprafețelor cu vii și livezi.</w:t>
      </w:r>
    </w:p>
    <w:p w14:paraId="7AEB3AE3" w14:textId="77777777" w:rsidR="00670FD4" w:rsidRDefault="00670FD4" w:rsidP="00670FD4">
      <w:pPr>
        <w:pBdr>
          <w:top w:val="nil"/>
          <w:left w:val="nil"/>
          <w:bottom w:val="nil"/>
          <w:right w:val="nil"/>
          <w:between w:val="nil"/>
        </w:pBdr>
        <w:spacing w:after="0"/>
        <w:ind w:firstLine="540"/>
        <w:rPr>
          <w:rFonts w:eastAsia="Times New Roman" w:cs="Times New Roman"/>
          <w:color w:val="000000"/>
        </w:rPr>
      </w:pPr>
      <w:r>
        <w:rPr>
          <w:rFonts w:eastAsia="Times New Roman" w:cs="Times New Roman"/>
          <w:color w:val="000000"/>
        </w:rPr>
        <w:t>Jumătatea sudică a litoralului se remarcă prin ponderi ridicate ale suprafețelor cultivate, valorile pot să ajungă la un maxim rural de 94,5 % (comuna 23 August), în timp ce valorile pentru mediul urban se încadrează în intervalul 45 % - 78 %. În același timp, cinci din șase orașe prezente în zona costieră se află aici. Chiar și în orașul Eforie, cea mai mică UAT din zonă, localizată, în cea mai mare parte, pe un grind care separă lacul Techirghiol de Marea Neagră, terenurile cultivate ocupă 45 % din suprafața administrativă.</w:t>
      </w:r>
    </w:p>
    <w:p w14:paraId="2D3F0BC4" w14:textId="77777777" w:rsidR="00670FD4" w:rsidRDefault="00670FD4" w:rsidP="00670FD4">
      <w:pPr>
        <w:pBdr>
          <w:top w:val="nil"/>
          <w:left w:val="nil"/>
          <w:bottom w:val="nil"/>
          <w:right w:val="nil"/>
          <w:between w:val="nil"/>
        </w:pBdr>
        <w:spacing w:after="0"/>
        <w:ind w:firstLine="540"/>
        <w:rPr>
          <w:rFonts w:eastAsia="Times New Roman" w:cs="Times New Roman"/>
          <w:color w:val="000000"/>
        </w:rPr>
      </w:pPr>
      <w:r>
        <w:rPr>
          <w:rFonts w:eastAsia="Times New Roman" w:cs="Times New Roman"/>
          <w:color w:val="000000"/>
        </w:rPr>
        <w:t>Jumătatea nordică cuprinde localități extinse, dar cu o pondere redusă a suprafețelor cultivate din cauza umidității excesive a Deltei Dunării. La nivelul județului Tulcea, în zona costieră sunt cinci comune și doar un oraș, iar valorile ponderii nu depășesc 46% pentru mediul rural și 6% pentru mediul urban (Sulina), peisajul specific Deltei Dunării limitând mult practicarea agriculturii în zonele înmlăștinite și acoperite cu ape (Fig. 2.4.8.4.1).</w:t>
      </w:r>
    </w:p>
    <w:p w14:paraId="66B332A5" w14:textId="77777777" w:rsidR="00670FD4" w:rsidRDefault="00670FD4" w:rsidP="00670FD4">
      <w:pPr>
        <w:spacing w:after="200"/>
        <w:ind w:firstLine="567"/>
        <w:jc w:val="center"/>
        <w:rPr>
          <w:rFonts w:eastAsia="Times New Roman" w:cs="Times New Roman"/>
        </w:rPr>
      </w:pPr>
      <w:r>
        <w:rPr>
          <w:rFonts w:eastAsia="Times New Roman" w:cs="Times New Roman"/>
          <w:noProof/>
        </w:rPr>
        <w:lastRenderedPageBreak/>
        <w:drawing>
          <wp:inline distT="0" distB="0" distL="0" distR="0" wp14:anchorId="59923926" wp14:editId="59A73F85">
            <wp:extent cx="4114800" cy="7860665"/>
            <wp:effectExtent l="0" t="0" r="0" b="6985"/>
            <wp:docPr id="214140193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5"/>
                    <a:srcRect/>
                    <a:stretch>
                      <a:fillRect/>
                    </a:stretch>
                  </pic:blipFill>
                  <pic:spPr>
                    <a:xfrm>
                      <a:off x="0" y="0"/>
                      <a:ext cx="4114800" cy="7860665"/>
                    </a:xfrm>
                    <a:prstGeom prst="rect">
                      <a:avLst/>
                    </a:prstGeom>
                    <a:ln/>
                  </pic:spPr>
                </pic:pic>
              </a:graphicData>
            </a:graphic>
          </wp:inline>
        </w:drawing>
      </w:r>
    </w:p>
    <w:p w14:paraId="03AAD8FC" w14:textId="77777777" w:rsidR="00670FD4" w:rsidRDefault="00670FD4" w:rsidP="00670FD4">
      <w:pPr>
        <w:spacing w:after="200"/>
        <w:ind w:firstLine="567"/>
        <w:jc w:val="center"/>
        <w:rPr>
          <w:rFonts w:eastAsia="Times New Roman" w:cs="Times New Roman"/>
          <w:b/>
        </w:rPr>
      </w:pPr>
      <w:r>
        <w:rPr>
          <w:rFonts w:eastAsia="Times New Roman" w:cs="Times New Roman"/>
          <w:b/>
        </w:rPr>
        <w:t>Fig. 2.4.8.4.1. Principalele culturi agricole în zona costieră (sursă: D`Andrimont și colab., 2021)</w:t>
      </w:r>
    </w:p>
    <w:p w14:paraId="4C52E462" w14:textId="77777777" w:rsidR="00670FD4" w:rsidRDefault="00670FD4" w:rsidP="00670FD4">
      <w:pPr>
        <w:pBdr>
          <w:top w:val="nil"/>
          <w:left w:val="nil"/>
          <w:bottom w:val="nil"/>
          <w:right w:val="nil"/>
          <w:between w:val="nil"/>
        </w:pBdr>
        <w:spacing w:before="0"/>
        <w:rPr>
          <w:rFonts w:eastAsia="Times New Roman" w:cs="Times New Roman"/>
          <w:color w:val="000000"/>
        </w:rPr>
      </w:pPr>
      <w:r>
        <w:rPr>
          <w:rFonts w:eastAsia="Times New Roman" w:cs="Times New Roman"/>
          <w:i/>
          <w:color w:val="000000"/>
        </w:rPr>
        <w:t>Culturi cerealiere</w:t>
      </w:r>
    </w:p>
    <w:p w14:paraId="23105D38" w14:textId="77777777" w:rsidR="00670FD4" w:rsidRDefault="00670FD4" w:rsidP="00670FD4">
      <w:pPr>
        <w:pBdr>
          <w:top w:val="nil"/>
          <w:left w:val="nil"/>
          <w:bottom w:val="nil"/>
          <w:right w:val="nil"/>
          <w:between w:val="nil"/>
        </w:pBdr>
        <w:spacing w:before="0"/>
        <w:ind w:firstLine="700"/>
        <w:rPr>
          <w:rFonts w:eastAsia="Times New Roman" w:cs="Times New Roman"/>
          <w:color w:val="000000"/>
        </w:rPr>
      </w:pPr>
      <w:r>
        <w:rPr>
          <w:rFonts w:eastAsia="Times New Roman" w:cs="Times New Roman"/>
          <w:color w:val="000000"/>
        </w:rPr>
        <w:lastRenderedPageBreak/>
        <w:t>Culturile cerealiere se află pe primul loc dintre grupurile majore de plante cultivate în zonă, ocupând aproape 43 % din suprafața cultivată (57,3 mii ha) și 16 % din suprafața totală a zonei de studiu. Principalele culturi cultivate sunt grâul, porumbul și orzul.</w:t>
      </w:r>
    </w:p>
    <w:p w14:paraId="45D4EA1C" w14:textId="77777777" w:rsidR="00670FD4" w:rsidRDefault="00670FD4" w:rsidP="00670FD4">
      <w:pPr>
        <w:pBdr>
          <w:top w:val="nil"/>
          <w:left w:val="nil"/>
          <w:bottom w:val="nil"/>
          <w:right w:val="nil"/>
          <w:between w:val="nil"/>
        </w:pBdr>
        <w:spacing w:before="0"/>
        <w:ind w:firstLine="540"/>
        <w:rPr>
          <w:rFonts w:eastAsia="Times New Roman" w:cs="Times New Roman"/>
          <w:color w:val="000000"/>
        </w:rPr>
      </w:pPr>
      <w:r>
        <w:rPr>
          <w:rFonts w:eastAsia="Times New Roman" w:cs="Times New Roman"/>
          <w:color w:val="000000"/>
        </w:rPr>
        <w:t xml:space="preserve">Grâul, cu 39,5 mii ha, este o cultură cu dominație absolută: 69 % din suprafața terenurilor cultivate cu cereale și 29,5 % din suprafața totală cultivată. Comunele Corbu, Săcele și Murighiol dețin cele mai mare suprafețe cultivate cu grâu, de circa 4 mii ha. Cu ponderi ridicate în suprafața cultivată se remarcă orașul Techirghiol (peste 50 % din terenuri agricole sunt ocupate cu grâu), chiar dacă suprafața absolută nu este atât de mare (doar 1,2 mii ha). Tot cu un rol important în cultivarea grâului (cu ponderi peste 40 %) se remarcă comunele 23 August, Tuzla, Agigea, </w:t>
      </w:r>
      <w:sdt>
        <w:sdtPr>
          <w:tag w:val="goog_rdk_42"/>
          <w:id w:val="-1339692570"/>
        </w:sdtPr>
        <w:sdtContent>
          <w:r>
            <w:rPr>
              <w:rFonts w:eastAsia="Times New Roman" w:cs="Times New Roman"/>
              <w:color w:val="000000"/>
            </w:rPr>
            <w:t>Costinești</w:t>
          </w:r>
        </w:sdtContent>
      </w:sdt>
      <w:r>
        <w:rPr>
          <w:rFonts w:eastAsia="Times New Roman" w:cs="Times New Roman"/>
          <w:color w:val="000000"/>
        </w:rPr>
        <w:t xml:space="preserve"> și Istria. În celelalte localități suprafața terenurilor ocupate cu grâu variază între 12 și 770 ha, în timp ce ponderile acestei culturi în totalul terenurilor cultivate oscilează între 0,8 % și 8,4 %.</w:t>
      </w:r>
    </w:p>
    <w:p w14:paraId="142619ED" w14:textId="77777777" w:rsidR="00670FD4" w:rsidRDefault="00670FD4" w:rsidP="00670FD4">
      <w:pPr>
        <w:pBdr>
          <w:top w:val="nil"/>
          <w:left w:val="nil"/>
          <w:bottom w:val="nil"/>
          <w:right w:val="nil"/>
          <w:between w:val="nil"/>
        </w:pBdr>
        <w:spacing w:before="0"/>
        <w:ind w:firstLine="700"/>
        <w:rPr>
          <w:rFonts w:eastAsia="Times New Roman" w:cs="Times New Roman"/>
          <w:color w:val="000000"/>
        </w:rPr>
      </w:pPr>
      <w:r>
        <w:rPr>
          <w:rFonts w:eastAsia="Times New Roman" w:cs="Times New Roman"/>
          <w:color w:val="000000"/>
        </w:rPr>
        <w:t>Porumbul, a două cereală ca importanță, ocupă 13,8 mii ha, ceea ce reprezintă aproximativ un sfert din suprafața cultivată cu cereale. Ca și în cazul grâului, comuna Murighiol se remarcă prin suprafețe și ponderi ridicate: 3,9 mii ha, respectiv 19,4 % din suprafața cultivată. La mare distanță urmează comunele Sf. Gheorghe, Jurilovca și C.A. Rosetti, cu suprafețe de 1,2-1,3 mii ha și cu ponderi de 10-13 %. Prin ponderi la fel de ridicate, dar cu suprafețe mult mai mici ies în evidență comuna Tuzla, orașul Năvodari și mun. Constanța. În celelalte localități suprafața terenurilor ocupate cu porumb variază între 22 ha și 3,3 mii ha, în timp ce ponderile acestei culturi în totalul terenurilor cultivate oscilează între 3,6 % și 36 %.</w:t>
      </w:r>
    </w:p>
    <w:p w14:paraId="14BD6634" w14:textId="77777777" w:rsidR="00670FD4" w:rsidRDefault="00670FD4" w:rsidP="00670FD4">
      <w:pPr>
        <w:pBdr>
          <w:top w:val="nil"/>
          <w:left w:val="nil"/>
          <w:bottom w:val="nil"/>
          <w:right w:val="nil"/>
          <w:between w:val="nil"/>
        </w:pBdr>
        <w:spacing w:before="0"/>
        <w:ind w:firstLine="540"/>
        <w:rPr>
          <w:rFonts w:eastAsia="Times New Roman" w:cs="Times New Roman"/>
          <w:color w:val="000000"/>
        </w:rPr>
      </w:pPr>
      <w:r>
        <w:rPr>
          <w:rFonts w:eastAsia="Times New Roman" w:cs="Times New Roman"/>
          <w:color w:val="000000"/>
        </w:rPr>
        <w:t>A treia cultură cerealieră majoră a zonei este orzul, care, însă, deține doar 7 % din suprafața cultivată cu cereale (circa 4 mii ha). Este o cultură importantă pentru partea nordică a zonei de studiu, comuna Mihai Viteazu deținând cele mai mari suprafețe (678 ha) și ponderi (7 %). Relativ aproape se situează comunele Corbu, Săcele, Jurilovca cu suprafețe de peste 450 ha și ponderi de peste 4,5 % din suprafața cultivată, fiecare. Tot aici poate fi încadrată și comuna Murighiol, care are o suprafață ocupată cu orz de peste 500 ha, cu toate că ponderea acestei culturi în totalul terenurilor cultivate este de 2 ori mai mică.</w:t>
      </w:r>
    </w:p>
    <w:p w14:paraId="410688D8" w14:textId="77777777" w:rsidR="00670FD4" w:rsidRDefault="00670FD4" w:rsidP="00670FD4">
      <w:pPr>
        <w:pBdr>
          <w:top w:val="nil"/>
          <w:left w:val="nil"/>
          <w:bottom w:val="nil"/>
          <w:right w:val="nil"/>
          <w:between w:val="nil"/>
        </w:pBdr>
        <w:spacing w:before="0"/>
        <w:rPr>
          <w:rFonts w:eastAsia="Times New Roman" w:cs="Times New Roman"/>
          <w:color w:val="000000"/>
        </w:rPr>
      </w:pPr>
      <w:r>
        <w:rPr>
          <w:rFonts w:eastAsia="Times New Roman" w:cs="Times New Roman"/>
          <w:i/>
          <w:color w:val="000000"/>
        </w:rPr>
        <w:t>Plante oleaginoase</w:t>
      </w:r>
    </w:p>
    <w:p w14:paraId="32BCA9E6" w14:textId="77777777" w:rsidR="00670FD4" w:rsidRDefault="00670FD4" w:rsidP="00670FD4">
      <w:pPr>
        <w:pBdr>
          <w:top w:val="nil"/>
          <w:left w:val="nil"/>
          <w:bottom w:val="nil"/>
          <w:right w:val="nil"/>
          <w:between w:val="nil"/>
        </w:pBdr>
        <w:spacing w:before="0"/>
        <w:ind w:firstLine="540"/>
        <w:rPr>
          <w:rFonts w:eastAsia="Times New Roman" w:cs="Times New Roman"/>
          <w:color w:val="000000"/>
        </w:rPr>
      </w:pPr>
      <w:r>
        <w:rPr>
          <w:rFonts w:eastAsia="Times New Roman" w:cs="Times New Roman"/>
          <w:color w:val="000000"/>
        </w:rPr>
        <w:t>Plantele oleaginoase ocupă locul trei printre plantele cultivate în zona de studiu, având o suprafață totală de 22,6 mii ha, ceea ce reprezintă 16,9 % din totalul terenurilor cultivate. Terenurile cultivate cu plante oleaginoase sunt împărțite între floarea soarelui și rapiță în proporție de 60% la 40%; a treia cultură oleaginoasă, soia, având o prezență nesemnificativă.</w:t>
      </w:r>
    </w:p>
    <w:p w14:paraId="0ACEB7D2" w14:textId="77777777" w:rsidR="00670FD4" w:rsidRDefault="00670FD4" w:rsidP="00670FD4">
      <w:pPr>
        <w:pBdr>
          <w:top w:val="nil"/>
          <w:left w:val="nil"/>
          <w:bottom w:val="nil"/>
          <w:right w:val="nil"/>
          <w:between w:val="nil"/>
        </w:pBdr>
        <w:spacing w:before="0"/>
        <w:ind w:firstLine="540"/>
        <w:rPr>
          <w:rFonts w:eastAsia="Times New Roman" w:cs="Times New Roman"/>
          <w:color w:val="000000"/>
        </w:rPr>
      </w:pPr>
      <w:r>
        <w:rPr>
          <w:rFonts w:eastAsia="Times New Roman" w:cs="Times New Roman"/>
          <w:color w:val="000000"/>
        </w:rPr>
        <w:t>Floarea soarelui este cultivată pe 13,5 mii ha, cele mai extinse suprafețe ocupate cu floarea soarelui aflându-se în două zone: în jumătatea nordică (Murighiol, Corbu și Mihai Viteazu) cu suprafețe de la 1,1 la 2,4 mii ha și ponderi de 11 % din totalul cultivat al comunelor respective și în extremitatea sudică, la Limanu și 23 August (între 1,2 și 2,1 mii ha), prima comună având și ponderea cea mai mare, de 26 %. </w:t>
      </w:r>
    </w:p>
    <w:p w14:paraId="376EAFE8" w14:textId="77777777" w:rsidR="00670FD4" w:rsidRDefault="00670FD4" w:rsidP="00670FD4">
      <w:pPr>
        <w:pBdr>
          <w:top w:val="nil"/>
          <w:left w:val="nil"/>
          <w:bottom w:val="nil"/>
          <w:right w:val="nil"/>
          <w:between w:val="nil"/>
        </w:pBdr>
        <w:spacing w:before="0"/>
        <w:ind w:firstLine="540"/>
        <w:rPr>
          <w:rFonts w:eastAsia="Times New Roman" w:cs="Times New Roman"/>
          <w:color w:val="000000"/>
        </w:rPr>
      </w:pPr>
      <w:r>
        <w:rPr>
          <w:rFonts w:eastAsia="Times New Roman" w:cs="Times New Roman"/>
          <w:color w:val="000000"/>
        </w:rPr>
        <w:t xml:space="preserve">Rapița este cultura care câștigă tot mai mult teren, deținând o pondere de circa 7 % din totalul terenurilor cultivate, cu 9,1 mii ha. Această plantă este prezentă în toate cele 19 UAT-uri care fac parte din zona de studiu, însă concentrarea cea mai mare se remarcă într-o zonă </w:t>
      </w:r>
      <w:r>
        <w:rPr>
          <w:rFonts w:eastAsia="Times New Roman" w:cs="Times New Roman"/>
          <w:color w:val="000000"/>
        </w:rPr>
        <w:lastRenderedPageBreak/>
        <w:t>compactă în partea central-nordică a zonei, în comunele Săcele, Corbu, Mihai Viteazu și Istria (fiecare unitate având între 1,3 și 1,9 mii ha cultivate cu rapiță și ponderi de la 16 % la 19 % din suprafața cultivată).</w:t>
      </w:r>
    </w:p>
    <w:p w14:paraId="2C5F2F19" w14:textId="77777777" w:rsidR="00670FD4" w:rsidRDefault="00670FD4" w:rsidP="00670FD4">
      <w:pPr>
        <w:pBdr>
          <w:top w:val="nil"/>
          <w:left w:val="nil"/>
          <w:bottom w:val="nil"/>
          <w:right w:val="nil"/>
          <w:between w:val="nil"/>
        </w:pBdr>
        <w:spacing w:before="0"/>
        <w:ind w:firstLine="540"/>
        <w:rPr>
          <w:rFonts w:eastAsia="Times New Roman" w:cs="Times New Roman"/>
          <w:color w:val="000000"/>
        </w:rPr>
      </w:pPr>
      <w:r>
        <w:rPr>
          <w:rFonts w:eastAsia="Times New Roman" w:cs="Times New Roman"/>
          <w:color w:val="000000"/>
        </w:rPr>
        <w:t>Soia nu ocupă nici măcar 3 ha în total, dar este prezentă în mai toate localitățile din zona de studiu. Circa 40% din toată soia cultivată în zonă îi revine comunei Murighiol.</w:t>
      </w:r>
    </w:p>
    <w:p w14:paraId="5A9EA76D" w14:textId="77777777" w:rsidR="00670FD4" w:rsidRDefault="00670FD4" w:rsidP="00670FD4">
      <w:pPr>
        <w:pBdr>
          <w:top w:val="nil"/>
          <w:left w:val="nil"/>
          <w:bottom w:val="nil"/>
          <w:right w:val="nil"/>
          <w:between w:val="nil"/>
        </w:pBdr>
        <w:spacing w:before="0"/>
        <w:ind w:firstLine="540"/>
        <w:rPr>
          <w:rFonts w:eastAsia="Times New Roman" w:cs="Times New Roman"/>
          <w:color w:val="000000"/>
        </w:rPr>
      </w:pPr>
      <w:r>
        <w:rPr>
          <w:rFonts w:eastAsia="Times New Roman" w:cs="Times New Roman"/>
          <w:i/>
          <w:color w:val="000000"/>
        </w:rPr>
        <w:t>Terenuri cultivate cu alte culturi</w:t>
      </w:r>
    </w:p>
    <w:p w14:paraId="1389D62B" w14:textId="77777777" w:rsidR="00670FD4" w:rsidRDefault="00670FD4" w:rsidP="00670FD4">
      <w:pPr>
        <w:pBdr>
          <w:top w:val="nil"/>
          <w:left w:val="nil"/>
          <w:bottom w:val="nil"/>
          <w:right w:val="nil"/>
          <w:between w:val="nil"/>
        </w:pBdr>
        <w:spacing w:before="0"/>
        <w:ind w:firstLine="540"/>
        <w:rPr>
          <w:rFonts w:eastAsia="Times New Roman" w:cs="Times New Roman"/>
          <w:color w:val="000000"/>
        </w:rPr>
      </w:pPr>
      <w:r>
        <w:rPr>
          <w:rFonts w:eastAsia="Times New Roman" w:cs="Times New Roman"/>
          <w:color w:val="000000"/>
        </w:rPr>
        <w:t>Celelalte plante de cultură prezente în zonă (leguminoase boabe, plante tuberculifere, culturi industriale nepermanente și plante furajere) dețin cumulat o pondere de sub 2% din totalul suprafețelor cultivate. Ele sunt prezente în toate localitățile din zona de studiu, cu mici excepții.</w:t>
      </w:r>
    </w:p>
    <w:p w14:paraId="29E9F3BC" w14:textId="77777777" w:rsidR="00670FD4" w:rsidRDefault="00670FD4" w:rsidP="00670FD4">
      <w:pPr>
        <w:pBdr>
          <w:top w:val="nil"/>
          <w:left w:val="nil"/>
          <w:bottom w:val="nil"/>
          <w:right w:val="nil"/>
          <w:between w:val="nil"/>
        </w:pBdr>
        <w:spacing w:before="0"/>
        <w:ind w:firstLine="540"/>
        <w:rPr>
          <w:rFonts w:eastAsia="Times New Roman" w:cs="Times New Roman"/>
          <w:color w:val="000000"/>
        </w:rPr>
      </w:pPr>
      <w:r>
        <w:rPr>
          <w:rFonts w:eastAsia="Times New Roman" w:cs="Times New Roman"/>
          <w:color w:val="000000"/>
        </w:rPr>
        <w:t xml:space="preserve">Terenurile acoperite cu </w:t>
      </w:r>
      <w:r>
        <w:rPr>
          <w:rFonts w:eastAsia="Times New Roman" w:cs="Times New Roman"/>
          <w:i/>
          <w:color w:val="000000"/>
        </w:rPr>
        <w:t>vegetație ierboasă</w:t>
      </w:r>
      <w:r>
        <w:rPr>
          <w:rFonts w:eastAsia="Times New Roman" w:cs="Times New Roman"/>
          <w:color w:val="000000"/>
        </w:rPr>
        <w:t xml:space="preserve">, cu 33 mii ha și un sfert din suprafețele de cultură, reprezintă a doua mare categorie de terenuri cultivate, după cereale. Delta Dunării furnizează cele mai extinse suprafețe din această categorie și cele mai mari ponderi. Mai mult de jumătate din terenurile cultivate se află în Sulina și în comunele C.A. Rosetti și Sf. Gheorghe. Aceste comune, la care se adaugă și Murighiol, se remarcă și prin valori absolute mari, de la 4,9 la 7,1 mii ha. Și celelalte localități din partea nordică a zonei de studiu (Jurilovca, Mihai Viteazu, Istria, </w:t>
      </w:r>
      <w:sdt>
        <w:sdtPr>
          <w:tag w:val="goog_rdk_43"/>
          <w:id w:val="-1916232516"/>
        </w:sdtPr>
        <w:sdtContent>
          <w:r>
            <w:rPr>
              <w:rFonts w:eastAsia="Times New Roman" w:cs="Times New Roman"/>
              <w:color w:val="000000"/>
            </w:rPr>
            <w:t>Săcele</w:t>
          </w:r>
        </w:sdtContent>
      </w:sdt>
      <w:r>
        <w:rPr>
          <w:rFonts w:eastAsia="Times New Roman" w:cs="Times New Roman"/>
          <w:color w:val="000000"/>
        </w:rPr>
        <w:t>, Corbu) înregistrează valorile superioare ale acestei categorii de terenuri, deși, procentul relativ poate să varieze destul de mult, de la 35% la Jurilovca la 12% la Corbu. În jumătatea sudică a zonei aceste suprafețe sunt mai mici atât ca suprafață, cât și ca pondere. De remarcat că în municipiul Constanța vegetația ierboasă joacă un rol destul de semnificativ, ocupând 1,2 mii ha și deținând o pondere de 16,7% din totalul terenurilor cultivate.</w:t>
      </w:r>
    </w:p>
    <w:p w14:paraId="0F382B0C" w14:textId="77777777" w:rsidR="00670FD4" w:rsidRDefault="00670FD4" w:rsidP="00670FD4">
      <w:pPr>
        <w:pBdr>
          <w:top w:val="nil"/>
          <w:left w:val="nil"/>
          <w:bottom w:val="nil"/>
          <w:right w:val="nil"/>
          <w:between w:val="nil"/>
        </w:pBdr>
        <w:spacing w:before="0"/>
        <w:ind w:firstLine="540"/>
        <w:rPr>
          <w:rFonts w:eastAsia="Times New Roman" w:cs="Times New Roman"/>
          <w:color w:val="000000"/>
        </w:rPr>
      </w:pPr>
      <w:r>
        <w:rPr>
          <w:rFonts w:eastAsia="Times New Roman" w:cs="Times New Roman"/>
          <w:i/>
          <w:color w:val="000000"/>
        </w:rPr>
        <w:t xml:space="preserve">Plantațiile multianuale de pomi și arbuști fructiferi </w:t>
      </w:r>
      <w:r>
        <w:rPr>
          <w:rFonts w:eastAsia="Times New Roman" w:cs="Times New Roman"/>
          <w:color w:val="000000"/>
        </w:rPr>
        <w:t>ocupă un loc important în peisajul agricol al zonei de studiu, cu o suprafață de 18,5 mii ha și o pondere de 13,8% din suprafața cultivată. Repartizarea geografică scoate în evidență concentrarea acestor plantații în partea de nord a zonei, comunele din zona Deltei Dunării deținând suprafețe semnificative, care pot să depășească 3 mii ha (C.A. Rosetti și Murighiol) sau cu ponderi de peste 20 % (Sf. Gheorghe și Sulina). De remarcat că ambele municipii (Constanța și Mangalia) dețin atât suprafețe (1,9 și 1,2 mii ha), cât și ponderi semnificative de plantații multianuale (26-28 %).</w:t>
      </w:r>
    </w:p>
    <w:p w14:paraId="78D8243A" w14:textId="77777777" w:rsidR="00670FD4" w:rsidRDefault="00670FD4" w:rsidP="00670FD4">
      <w:pPr>
        <w:spacing w:before="0"/>
        <w:ind w:firstLine="567"/>
        <w:rPr>
          <w:rFonts w:eastAsia="Times New Roman" w:cs="Times New Roman"/>
        </w:rPr>
      </w:pPr>
      <w:r>
        <w:rPr>
          <w:rFonts w:eastAsia="Times New Roman" w:cs="Times New Roman"/>
        </w:rPr>
        <w:t xml:space="preserve">Având în vedere, ponderea mare a acestui sector în economia UAT-urilor din zona costieră, agricultura şi zootehnia reprezintă unele dintre cele mai importante surse difuze de introducere a materiei organice, compușilor cu azot și fosfor, contaminanți în sol, subsol şi ape, în special în partea sudică a zonei de studiu. Practicile agricole defectuoase, monocultura fiind pe primul loc, influențează negativ atât calitatea solurilor, cât și calitatea apelor de suprafața și subterane prin utilizarea excesivă de substanțe chimice (fertilizanți și pesticide). Suprafețele de pajiști naturale acoperite cu vegetație ierboasă, caracteristică zonei de stepă, cu valoare furajeră mediocră și ponderea redusă a culturilor furajere trădează predominanța sistemelor de creștere extensivă a animalelor, practică ce poate avea un impact major asupra solului prin distrugerea covorului vegetal și declanșarea proceselor erozionale. </w:t>
      </w:r>
    </w:p>
    <w:p w14:paraId="16F2C01B" w14:textId="77777777" w:rsidR="00670FD4" w:rsidRDefault="00670FD4" w:rsidP="00670FD4">
      <w:pPr>
        <w:spacing w:before="0"/>
        <w:ind w:firstLine="567"/>
        <w:rPr>
          <w:rFonts w:eastAsia="Times New Roman" w:cs="Times New Roman"/>
        </w:rPr>
      </w:pPr>
      <w:r>
        <w:rPr>
          <w:rFonts w:eastAsia="Times New Roman" w:cs="Times New Roman"/>
        </w:rPr>
        <w:t xml:space="preserve">Principalele amenințări pentru agricultură în Dobrogea, deci și în zona de studiu, sunt seceta și aridizarea. Prin urmare, obținerea unor producții satisfăcătoare este dependentă în </w:t>
      </w:r>
      <w:r>
        <w:rPr>
          <w:rFonts w:eastAsia="Times New Roman" w:cs="Times New Roman"/>
        </w:rPr>
        <w:lastRenderedPageBreak/>
        <w:t>primul rând de irigaţii. Statistic, peste 70 % din suprafaţa agricolă este amenajată pentru irigaţii, dar numai 10 % din aceasta se poate iriga efectiv, astfel încât se ajunge la o suprafață mare de terenurii agricole calamitată din cauza secetei. Așadar, este imperios necesară extinderea urgentă a irigațiilor, asigurarea necesarului de apă fiind una dintre măsurile de primă importanță pentru atingerea potențialului productiv maxim pentru majoritatea culturilor. Totuși, în condițiile secetei tot mai accentuate și sursele de apă pentru irigații se reduc, astfel încât extinderea și îmbunătățirea sistemului de irigații reprezintă o soluție parțială și destul de costisitoare.</w:t>
      </w:r>
    </w:p>
    <w:p w14:paraId="79C0892C" w14:textId="77777777" w:rsidR="00670FD4" w:rsidRDefault="00670FD4" w:rsidP="00670FD4">
      <w:pPr>
        <w:spacing w:before="0"/>
        <w:ind w:firstLine="567"/>
        <w:rPr>
          <w:rFonts w:eastAsia="Times New Roman" w:cs="Times New Roman"/>
        </w:rPr>
      </w:pPr>
      <w:r>
        <w:rPr>
          <w:rFonts w:eastAsia="Times New Roman" w:cs="Times New Roman"/>
        </w:rPr>
        <w:t>Dezvoltarea unei “agriculturi inteligente” este o necesitate pentru dezvoltarea în continuare a acestui sector. Aplicarea pe scară mai largă a diversificării producției agricole este de asemenea necesară pentru a combate efectele secetei, permițând anumitor culturi să evite perioadele de vreme caldă sau uscată în fazele lor cele mai sensibile. Un astfel de exemplu ar fi înlocuirea porumbului cu sorgul, ale cărui cerințe totale de apă sunt mai puțin constrângătoare. De asemenea, creșterea utilizării științei și tehnologiei sunt esențiale. Creșterea capacității de monitorizare a condițiilor meteo la o scară cât mai redusă (local) și integrarea datelor în diverse sisteme de modelare, prognoză poate oferi fermierilor recomandări de irigare și fertilizare până la recoltare.</w:t>
      </w:r>
    </w:p>
    <w:p w14:paraId="6A5B541E" w14:textId="77777777" w:rsidR="00670FD4" w:rsidRDefault="00670FD4" w:rsidP="00670FD4">
      <w:pPr>
        <w:spacing w:before="0"/>
        <w:ind w:firstLine="567"/>
        <w:rPr>
          <w:rFonts w:eastAsia="Times New Roman" w:cs="Times New Roman"/>
        </w:rPr>
      </w:pPr>
      <w:r>
        <w:rPr>
          <w:rFonts w:eastAsia="Times New Roman" w:cs="Times New Roman"/>
        </w:rPr>
        <w:t>O altă problemă, de data aceasta referitoare la calitatea producției agricole, este dezvoltarea insuficientă a agriculturii ecologice în zona costieră, în special în sectorul sudic al zonei costiere. Dezvoltarea acestora ar putea contribui și la dezvoltarea turismului (prin integrarea produselor eco/agricultură ecologică în dezvoltarea sustenabilă a turismului).</w:t>
      </w:r>
    </w:p>
    <w:p w14:paraId="4CB6FBE8" w14:textId="77777777" w:rsidR="00670FD4" w:rsidRDefault="00670FD4" w:rsidP="00670FD4">
      <w:pPr>
        <w:pStyle w:val="Heading4"/>
      </w:pPr>
      <w:bookmarkStart w:id="99" w:name="_Toc171084851"/>
      <w:r>
        <w:t>2.4.8.5 Industrie</w:t>
      </w:r>
      <w:bookmarkEnd w:id="99"/>
    </w:p>
    <w:p w14:paraId="22EADA89" w14:textId="77777777" w:rsidR="00670FD4" w:rsidRDefault="00670FD4" w:rsidP="00670FD4">
      <w:pPr>
        <w:spacing w:before="0"/>
        <w:ind w:firstLine="567"/>
        <w:rPr>
          <w:rFonts w:eastAsia="Times New Roman" w:cs="Times New Roman"/>
        </w:rPr>
      </w:pPr>
      <w:r>
        <w:rPr>
          <w:rFonts w:eastAsia="Times New Roman" w:cs="Times New Roman"/>
        </w:rPr>
        <w:t xml:space="preserve">Activitatea industrială în zone costieră se focalizează în partea sa sudică, în partea nordică, aferentă județului Tulcea, fiind nesemnificativă. </w:t>
      </w:r>
    </w:p>
    <w:p w14:paraId="26CE78C9" w14:textId="77777777" w:rsidR="00670FD4" w:rsidRDefault="00670FD4" w:rsidP="00670FD4">
      <w:pPr>
        <w:spacing w:before="0"/>
        <w:ind w:firstLine="567"/>
        <w:rPr>
          <w:rFonts w:eastAsia="Times New Roman" w:cs="Times New Roman"/>
        </w:rPr>
      </w:pPr>
      <w:r>
        <w:rPr>
          <w:rFonts w:eastAsia="Times New Roman" w:cs="Times New Roman"/>
        </w:rPr>
        <w:t>Principalele ramuri industriale, potențial generatoare de impact asupra componentelor mediului și bunăstării comunității costiere sunt industria petrochimică, industria extractivă, construcții și întreținere de nave, industria materialelor de construcții și industria alimentară.</w:t>
      </w:r>
    </w:p>
    <w:p w14:paraId="59FC87A4" w14:textId="77777777" w:rsidR="00670FD4" w:rsidRDefault="00670FD4" w:rsidP="00670FD4">
      <w:pPr>
        <w:spacing w:before="0"/>
        <w:ind w:firstLine="567"/>
        <w:rPr>
          <w:rFonts w:eastAsia="Times New Roman" w:cs="Times New Roman"/>
        </w:rPr>
      </w:pPr>
      <w:r>
        <w:rPr>
          <w:rFonts w:eastAsia="Times New Roman" w:cs="Times New Roman"/>
        </w:rPr>
        <w:t xml:space="preserve">Activitatea industrială în zone costieră se focalizează în partea sa sudică, în partea nordică, aferentă județului Tulcea, fiind nesemnificativă. Principalele ramuri industriale, potențial generatoare de impact asupra componentelor mediului și bunăstării comunității costiere sunt industria petrochimică, industria extractivă și cea de construcții și întreținere de nave. </w:t>
      </w:r>
    </w:p>
    <w:p w14:paraId="47EC8980" w14:textId="77777777" w:rsidR="00670FD4" w:rsidRDefault="00670FD4" w:rsidP="00670FD4">
      <w:pPr>
        <w:spacing w:before="0"/>
        <w:rPr>
          <w:rFonts w:eastAsia="Times New Roman" w:cs="Times New Roman"/>
          <w:i/>
        </w:rPr>
      </w:pPr>
      <w:r>
        <w:rPr>
          <w:rFonts w:eastAsia="Times New Roman" w:cs="Times New Roman"/>
          <w:i/>
        </w:rPr>
        <w:t>Industria petrochimică</w:t>
      </w:r>
    </w:p>
    <w:p w14:paraId="5863D50E" w14:textId="77777777" w:rsidR="00670FD4" w:rsidRDefault="00670FD4" w:rsidP="00670FD4">
      <w:pPr>
        <w:spacing w:before="0"/>
        <w:ind w:firstLine="567"/>
        <w:rPr>
          <w:rFonts w:eastAsia="Times New Roman" w:cs="Times New Roman"/>
        </w:rPr>
      </w:pPr>
      <w:r>
        <w:rPr>
          <w:rFonts w:eastAsia="Times New Roman" w:cs="Times New Roman"/>
        </w:rPr>
        <w:t xml:space="preserve">Rompetrol Rafinare SA, companie membră a Grupului KMG International, realizează operațiuni de producție produse petroliere și petrochimice, în zona costieră, în următoarele unități: Rafinăria Petromidia (benzină, motorină, combustibil pentru avioane) și Uzina Petrochimică (HDPE, LDPE, PP). </w:t>
      </w:r>
    </w:p>
    <w:p w14:paraId="08F166F6" w14:textId="77777777" w:rsidR="00670FD4" w:rsidRDefault="00670FD4" w:rsidP="00670FD4">
      <w:pPr>
        <w:spacing w:before="0"/>
        <w:ind w:firstLine="567"/>
        <w:rPr>
          <w:rFonts w:eastAsia="Times New Roman" w:cs="Times New Roman"/>
        </w:rPr>
      </w:pPr>
      <w:r>
        <w:rPr>
          <w:rFonts w:eastAsia="Times New Roman" w:cs="Times New Roman"/>
        </w:rPr>
        <w:t xml:space="preserve">Rafinăria Petromidia, cea mai mare rafinărie din România și una dintre cele mai moderne rafinării din sud-estul Europei, este poziționată strategic pe malul Mării Negre în Năvodari, la 20 km spre nord de Portul Constanța și prezintă o serie de avantaje logistice, precum, propriul </w:t>
      </w:r>
      <w:r>
        <w:rPr>
          <w:rFonts w:eastAsia="Times New Roman" w:cs="Times New Roman"/>
        </w:rPr>
        <w:lastRenderedPageBreak/>
        <w:t xml:space="preserve">terminal marin, facilități în Portul Midia, propriul sistem logistic pe cale ferată și acces la Canalul Dunăre-Marea Neagră. Producția realizată de Rafinăria Petromidia în 2021, deși afectată serios de incendiul major din iulie 2021, s-a ridicat la 1,13 milioane de tone de benzină și aproape 2,5 milioane de tone de motorină și combustibil special pentru aviație. </w:t>
      </w:r>
    </w:p>
    <w:p w14:paraId="30079BEC" w14:textId="77777777" w:rsidR="00670FD4" w:rsidRDefault="00670FD4" w:rsidP="00670FD4">
      <w:pPr>
        <w:spacing w:before="0"/>
        <w:ind w:firstLine="567"/>
        <w:rPr>
          <w:rFonts w:eastAsia="Times New Roman" w:cs="Times New Roman"/>
        </w:rPr>
      </w:pPr>
      <w:r>
        <w:rPr>
          <w:rFonts w:eastAsia="Times New Roman" w:cs="Times New Roman"/>
        </w:rPr>
        <w:t xml:space="preserve">Uzina Petrochimică este singurul producător român de poliolefine și a crescut în mod constant cota de piață pe aceste segmente de produse. În cadrul acestei divizii funcționează instalația de polipropilenă (capacitate de 90 ktone/an), instalația de polietilenă de înaltă densitate (capacitate de 70 ktone/an) și instalația de polietilenă de joasă densitate (capacitate de 60 ktone/an). </w:t>
      </w:r>
    </w:p>
    <w:p w14:paraId="2EF57B30" w14:textId="77777777" w:rsidR="00670FD4" w:rsidRDefault="00670FD4" w:rsidP="00670FD4">
      <w:pPr>
        <w:spacing w:before="0"/>
        <w:ind w:firstLine="567"/>
        <w:rPr>
          <w:rFonts w:eastAsia="Times New Roman" w:cs="Times New Roman"/>
        </w:rPr>
      </w:pPr>
      <w:r>
        <w:rPr>
          <w:rFonts w:eastAsia="Times New Roman" w:cs="Times New Roman"/>
        </w:rPr>
        <w:t>În ceea ce privește producția Uzinei Petrochimice, producția totală de polimeri a fost de 106 mii tone în 2021, în scădere cu 26% față de 2020, din cauza nefuncționării instalațiilor de polimeri în perioada iulie-septembrie 2021 (lipsa materiei prime necesare). Cu toate acestea, compania a reușit să proceseze un total de 110 mii tone de propilenă, un nivel similar cu cel din 2020. Din producția totală de polimeri, 70.173 de tone au fost polipropilenă (PP), iar 35.994 de tone au fost polietilenă de joasă densitate (LDPE) (KMG International NV, 2021).</w:t>
      </w:r>
    </w:p>
    <w:p w14:paraId="1A839ABC" w14:textId="77777777" w:rsidR="00670FD4" w:rsidRDefault="00670FD4" w:rsidP="00670FD4">
      <w:pPr>
        <w:spacing w:before="0"/>
        <w:ind w:firstLine="567"/>
        <w:rPr>
          <w:rFonts w:eastAsia="Times New Roman" w:cs="Times New Roman"/>
          <w:i/>
        </w:rPr>
      </w:pPr>
      <w:r>
        <w:rPr>
          <w:rFonts w:eastAsia="Times New Roman" w:cs="Times New Roman"/>
          <w:i/>
        </w:rPr>
        <w:t>Construcții și reparații nave</w:t>
      </w:r>
    </w:p>
    <w:p w14:paraId="45D3DDE9" w14:textId="77777777" w:rsidR="00670FD4" w:rsidRDefault="00670FD4" w:rsidP="00670FD4">
      <w:pPr>
        <w:spacing w:before="0"/>
        <w:ind w:firstLine="567"/>
        <w:rPr>
          <w:rFonts w:eastAsia="Times New Roman" w:cs="Times New Roman"/>
        </w:rPr>
      </w:pPr>
      <w:r>
        <w:rPr>
          <w:rFonts w:eastAsia="Times New Roman" w:cs="Times New Roman"/>
        </w:rPr>
        <w:t>Șantierul Naval Constanța (SNC) este unul dintre cele mai mari șantiere de construcții, reparații și conversii nave din Europa și prezintă avantajul accesibilității atât pe cale maritimă prin Strâmtoarea Bosfor, cât și pe apele interioare prin Canalul Dunăre–Marea Neagră. SNC este principalul șantier de reparații și proiecte conversie din Marea Mediterană si Marea Neagră, fiind singura alternativă pentru andocarea navelor de tip Suezmax și Capesize din zona Mării Negre. Având facilități de andocare pentru orice tip de navă de capacitate maximă 200.000 tdw, SNC a efectuat reparații la peste 5.000 nave, cu o medie anuala de 80-100 proiecte. Principalii indicatori economici ai SNC, pentru perioada 2018-2022, arată o creștere atât a profitului net, cât și a cifrei de afaceri, în timp ce numărul angajaților prezintă o tendință de scădere.</w:t>
      </w:r>
    </w:p>
    <w:p w14:paraId="6BF515A6" w14:textId="77777777" w:rsidR="00670FD4" w:rsidRDefault="00670FD4" w:rsidP="00670FD4">
      <w:pPr>
        <w:spacing w:before="0"/>
        <w:ind w:firstLine="567"/>
        <w:rPr>
          <w:rFonts w:eastAsia="Times New Roman" w:cs="Times New Roman"/>
        </w:rPr>
      </w:pPr>
      <w:r>
        <w:rPr>
          <w:rFonts w:eastAsia="Times New Roman" w:cs="Times New Roman"/>
        </w:rPr>
        <w:t xml:space="preserve">Șantierul Naval Damen Mangalia este o societate în participație între Damen și Guvernul României, cu Damen responsabil de managementul operațional al șantierului. Mangalia este cel mai mare șantier naval din portofoliul Damen, ocupând o suprafață totală de circa 1.000.000 m2 și are 1590 de metri de cheuri. Dispune de trei docuri uscate cu dimensiuni de 302 m/48 m (adâncime de 9m), 322 m / 48 m (adâncime de 9m), 360 m / 60 m (adâncime de 13m) și de o linie de dană lungă, circa 1,6 km lungime totală și adâncime de 7,59 m. Toate acestea, împreună cu alte facilități, fac posibilă realizarea unei game largi de activități pentru toate tipurile de proiecte de reparații și conversie a navelor, de la întreținere de rutină la conversii majore pentru nave de până la 250.000 tdw. Principalii indicatori economici indică o creștere semnificativă atât a cifrei de afaceri, cât și a profitului în 2021, comparativ cu anii precedenți. </w:t>
      </w:r>
    </w:p>
    <w:p w14:paraId="344C71A0" w14:textId="77777777" w:rsidR="00670FD4" w:rsidRDefault="00670FD4" w:rsidP="00670FD4">
      <w:pPr>
        <w:spacing w:before="0"/>
        <w:ind w:firstLine="567"/>
        <w:rPr>
          <w:rFonts w:eastAsia="Times New Roman" w:cs="Times New Roman"/>
        </w:rPr>
      </w:pPr>
      <w:r>
        <w:rPr>
          <w:rFonts w:eastAsia="Times New Roman" w:cs="Times New Roman"/>
        </w:rPr>
        <w:t xml:space="preserve">Șantierul Naval Mangalia S.A a fost până în 2001 o sucursală a filialei S.C. “Arsenal” S.A., a Companiei Naţionale “Romarm” S.A., fără personalitate juridică. În anul 2001, se înființează S.C Șantierul Naval Mangalia S.A, persoană juridică română, sub autoritatea Ministerului Industriei și Resurselor. Analiza principalilor indicatori economici pentru perioada 2018-2021 arată o creșterea considerabilă a cifrei de afaceri și o scădere semnificativă a </w:t>
      </w:r>
      <w:r>
        <w:rPr>
          <w:rFonts w:eastAsia="Times New Roman" w:cs="Times New Roman"/>
        </w:rPr>
        <w:lastRenderedPageBreak/>
        <w:t>pierderilor în 2021. Principala explicație constă în faptul că societatea Șantierul Naval Mangalia S.A. a implementat în 2020 un amplu „Plan de reorganizare și restructurare în vederea restructurării obligațiilor bugetare restante ale societății către ANAF în conformitate cu prevederile Ordonanței Guvernului nr. 6/2019”, ce a inclus, pe lângă măsuri de restructurare a arieratelor societății, și măsuri de retehnologizare și reabilitare a unor capacități de producție existente.</w:t>
      </w:r>
    </w:p>
    <w:p w14:paraId="73AFC563" w14:textId="77777777" w:rsidR="00670FD4" w:rsidRDefault="00670FD4" w:rsidP="00670FD4">
      <w:pPr>
        <w:spacing w:before="0"/>
        <w:rPr>
          <w:rFonts w:eastAsia="Times New Roman" w:cs="Times New Roman"/>
          <w:i/>
        </w:rPr>
      </w:pPr>
      <w:r>
        <w:rPr>
          <w:rFonts w:eastAsia="Times New Roman" w:cs="Times New Roman"/>
          <w:i/>
        </w:rPr>
        <w:t>Industria extractivă</w:t>
      </w:r>
    </w:p>
    <w:p w14:paraId="393464FF" w14:textId="77777777" w:rsidR="00670FD4" w:rsidRDefault="00670FD4" w:rsidP="00670FD4">
      <w:pPr>
        <w:spacing w:before="0"/>
        <w:ind w:firstLine="567"/>
        <w:rPr>
          <w:rFonts w:eastAsia="Times New Roman" w:cs="Times New Roman"/>
        </w:rPr>
      </w:pPr>
      <w:r>
        <w:rPr>
          <w:rFonts w:eastAsia="Times New Roman" w:cs="Times New Roman"/>
        </w:rPr>
        <w:t xml:space="preserve">În prezent, în zona de studiu, există două licențe active de concesiune pentru </w:t>
      </w:r>
      <w:r>
        <w:rPr>
          <w:rFonts w:eastAsia="Times New Roman" w:cs="Times New Roman"/>
          <w:u w:val="single"/>
        </w:rPr>
        <w:t>exploatare a calcarului industrial și de construcți</w:t>
      </w:r>
      <w:r>
        <w:rPr>
          <w:rFonts w:eastAsia="Times New Roman" w:cs="Times New Roman"/>
        </w:rPr>
        <w:t>i, deținute de către CEMART INVEST SRL (Corbu) și ROMCIM SA (Tașaul-Luminița) (https://www.namr.ro/minning-law/working-licenses-permits/). Pe lângă acestea, în zona costieră este activ, în prezent, un singur permis de exploatare a calcarului industrial și pentru construcții, deținut de CELCO SA. Aceasta a investit, începând cu 2012, într-o carieră de piatră, situată în comuna Corbu, dotată cu utilaje performante, specializate în extracția, concasarea și sortarea pietrei de calcar. Capacitatea anuală de producție a carierei CELCO este de 55.000 tone/an. În prezent, societatea CELCO derulează un proiect de dezvoltarea a unei noi cariere de calcar (suprafață de 164.000 m</w:t>
      </w:r>
      <w:r>
        <w:rPr>
          <w:rFonts w:eastAsia="Times New Roman" w:cs="Times New Roman"/>
          <w:vertAlign w:val="superscript"/>
        </w:rPr>
        <w:t>2</w:t>
      </w:r>
      <w:r>
        <w:rPr>
          <w:rFonts w:eastAsia="Times New Roman" w:cs="Times New Roman"/>
        </w:rPr>
        <w:t xml:space="preserve">), pe un teren aflat în vecinătatea actualei cariere, în exploatare. </w:t>
      </w:r>
    </w:p>
    <w:p w14:paraId="2A135232" w14:textId="77777777" w:rsidR="00670FD4" w:rsidRDefault="00670FD4" w:rsidP="00670FD4">
      <w:pPr>
        <w:spacing w:before="0"/>
        <w:ind w:firstLine="567"/>
        <w:rPr>
          <w:rFonts w:eastAsia="Times New Roman" w:cs="Times New Roman"/>
        </w:rPr>
      </w:pPr>
      <w:r>
        <w:rPr>
          <w:rFonts w:eastAsia="Times New Roman" w:cs="Times New Roman"/>
          <w:u w:val="single"/>
        </w:rPr>
        <w:t>Extragerea de nisip din mare</w:t>
      </w:r>
      <w:r>
        <w:rPr>
          <w:rFonts w:eastAsia="Times New Roman" w:cs="Times New Roman"/>
        </w:rPr>
        <w:t xml:space="preserve"> nu este o activitate cu caracter permanent în zona costieră, această activitate fiind determinată de implementarea Master Planului “Protecția și Reabilitarea Zonei Costiere”. Companiile contractate pentru executarea lucrărilor de înnisipare pe sectoarele de plajă prevăzute în proiecte sunt diferite, pe parcursul ultimilor ani numărul și deținătoarii licențelor de exploatare a nisipului s-au schimbat. În prezent, sunt valabile trei permise de exploatare a nisipului din Marea Neagră, deținute de compania Van Oord Dredging and Marine Contractors BV Rotterdam, pentru perimetrele Van Oord 1, Van Oord 4 și Van Oord 5 (https://www.namr.ro/wp-content/uploads/2023/03/permise_exploatare_14_03_2023.pdf).</w:t>
      </w:r>
    </w:p>
    <w:p w14:paraId="42450D8C" w14:textId="77777777" w:rsidR="00670FD4" w:rsidRDefault="00670FD4" w:rsidP="00670FD4">
      <w:pPr>
        <w:spacing w:before="0"/>
        <w:ind w:firstLine="567"/>
        <w:rPr>
          <w:rFonts w:eastAsia="Times New Roman" w:cs="Times New Roman"/>
        </w:rPr>
      </w:pPr>
      <w:r>
        <w:rPr>
          <w:rFonts w:eastAsia="Times New Roman" w:cs="Times New Roman"/>
        </w:rPr>
        <w:t xml:space="preserve">În ceea ce privește </w:t>
      </w:r>
      <w:r>
        <w:rPr>
          <w:rFonts w:eastAsia="Times New Roman" w:cs="Times New Roman"/>
          <w:u w:val="single"/>
        </w:rPr>
        <w:t>extracția de petrol și gaze</w:t>
      </w:r>
      <w:r>
        <w:rPr>
          <w:rFonts w:eastAsia="Times New Roman" w:cs="Times New Roman"/>
        </w:rPr>
        <w:t xml:space="preserve">, în zona costieră, ce cuprinde doar o parte a perimetrului de exploatare XVIII ISTRIA, se află trei foraje, toate fiind, în prezent, inactive. De altfel, nici nu se întrevăd perspective viitoare de exploatare a acestui perimetru. Astfel, acest sector prezintă interes doar prin prisma prezenței conductelor de transport petrol și gaze, plus instalațiile onshore aferente, în zona costieră. Sistemul național român de transport de petrol și gaze pe malul Mării Negre cuprinde două terminale (primul deținut de Oil Terminal SA Constanța, în portul Constanța și al doilea administrat de KMG International - Midia Marine Terminal în Năvodari). </w:t>
      </w:r>
    </w:p>
    <w:p w14:paraId="6E259557" w14:textId="77777777" w:rsidR="00670FD4" w:rsidRDefault="00670FD4" w:rsidP="00670FD4">
      <w:pPr>
        <w:spacing w:before="0"/>
        <w:ind w:firstLine="567"/>
        <w:rPr>
          <w:rFonts w:eastAsia="Times New Roman" w:cs="Times New Roman"/>
        </w:rPr>
      </w:pPr>
      <w:r>
        <w:rPr>
          <w:rFonts w:eastAsia="Times New Roman" w:cs="Times New Roman"/>
        </w:rPr>
        <w:t>Conductele existente în sectorul românesc al Mării Negre sunt:</w:t>
      </w:r>
    </w:p>
    <w:p w14:paraId="32DF1082" w14:textId="77777777" w:rsidR="00670FD4" w:rsidRDefault="00670FD4" w:rsidP="00670FD4">
      <w:pPr>
        <w:spacing w:before="0"/>
        <w:ind w:firstLine="567"/>
        <w:rPr>
          <w:rFonts w:eastAsia="Times New Roman" w:cs="Times New Roman"/>
        </w:rPr>
      </w:pPr>
      <w:r>
        <w:rPr>
          <w:rFonts w:eastAsia="Times New Roman" w:cs="Times New Roman"/>
        </w:rPr>
        <w:t>- conducte din amonte pentru transport țiței și gaze/condensat, de la Platforma centrală de producție din cadrul Complexului offshore OMV la Terminalul Midia OMV (onshore);</w:t>
      </w:r>
    </w:p>
    <w:p w14:paraId="32892644" w14:textId="77777777" w:rsidR="00670FD4" w:rsidRDefault="00670FD4" w:rsidP="00670FD4">
      <w:pPr>
        <w:spacing w:before="0"/>
        <w:ind w:firstLine="567"/>
        <w:rPr>
          <w:rFonts w:eastAsia="Times New Roman" w:cs="Times New Roman"/>
        </w:rPr>
      </w:pPr>
      <w:r>
        <w:rPr>
          <w:rFonts w:eastAsia="Times New Roman" w:cs="Times New Roman"/>
        </w:rPr>
        <w:t xml:space="preserve">- conducte din amonte pentru transportul gazelor naturale de la instalațiile Proiectului de Dezvoltare Gaze Naturale Midia (operator Black Sea Oil &amp; Gas). Proiectul constă într-o conductă submarină de 121 km ce asigură livrarea gazului de la platforma de producție Ana, până la țărm unde se continuă cu o conductă subterană de 4,1 km către noua Stație de Tratare </w:t>
      </w:r>
      <w:r>
        <w:rPr>
          <w:rFonts w:eastAsia="Times New Roman" w:cs="Times New Roman"/>
        </w:rPr>
        <w:lastRenderedPageBreak/>
        <w:t>a Gazelor de la Vadu (comuna Corbu), de unde este livrat în Sistemul Național de Transport operat de Transgaz;</w:t>
      </w:r>
    </w:p>
    <w:p w14:paraId="528DCCC7" w14:textId="77777777" w:rsidR="00670FD4" w:rsidRDefault="00670FD4" w:rsidP="00670FD4">
      <w:pPr>
        <w:spacing w:before="0"/>
        <w:ind w:firstLine="567"/>
        <w:rPr>
          <w:rFonts w:eastAsia="Times New Roman" w:cs="Times New Roman"/>
        </w:rPr>
      </w:pPr>
      <w:r>
        <w:rPr>
          <w:rFonts w:eastAsia="Times New Roman" w:cs="Times New Roman"/>
        </w:rPr>
        <w:t xml:space="preserve">- conducta de transport țiței de la Terminalul tip Single Point Mooring Buoy, localizat în larg, la 8,6 km Est de Portul Midia, la Midia Marine Terminal aparținând KMG International. Acest sistem deservește navele tip tanc petrolier (capacitate 60.000-165.000 tdw). </w:t>
      </w:r>
    </w:p>
    <w:p w14:paraId="24F5D279" w14:textId="77777777" w:rsidR="00670FD4" w:rsidRDefault="00670FD4" w:rsidP="00670FD4">
      <w:pPr>
        <w:spacing w:before="0"/>
        <w:ind w:firstLine="567"/>
        <w:rPr>
          <w:rFonts w:eastAsia="Times New Roman" w:cs="Times New Roman"/>
        </w:rPr>
      </w:pPr>
      <w:r>
        <w:rPr>
          <w:rFonts w:eastAsia="Times New Roman" w:cs="Times New Roman"/>
        </w:rPr>
        <w:t>Pe lângă acestea, există în interiorul portului Constanța o rețea de conducte constituită din conducte subterane și supraterane cu o lungime totală de 50 km, care asigură conectarea portului la rețeaua națională.</w:t>
      </w:r>
    </w:p>
    <w:p w14:paraId="0598402E" w14:textId="77777777" w:rsidR="00670FD4" w:rsidRDefault="00670FD4" w:rsidP="00670FD4">
      <w:pPr>
        <w:pStyle w:val="Heading4"/>
      </w:pPr>
      <w:bookmarkStart w:id="100" w:name="_Toc171084852"/>
      <w:r>
        <w:t>2.4.8.6 Porturi și activități portuare</w:t>
      </w:r>
      <w:bookmarkEnd w:id="100"/>
    </w:p>
    <w:p w14:paraId="3CE2DE7B" w14:textId="77777777" w:rsidR="00670FD4" w:rsidRDefault="00670FD4" w:rsidP="00670FD4">
      <w:pPr>
        <w:spacing w:before="0"/>
        <w:ind w:firstLine="567"/>
        <w:rPr>
          <w:rFonts w:eastAsia="Times New Roman" w:cs="Times New Roman"/>
        </w:rPr>
      </w:pPr>
      <w:r>
        <w:rPr>
          <w:rFonts w:eastAsia="Times New Roman" w:cs="Times New Roman"/>
        </w:rPr>
        <w:t xml:space="preserve">Portul Constanța include zonele Constanța, Midia, Mangalia și Basarabi (aceasta situată în afara zonei costiere), împreună constituind complexul portuar maritim românesc aflat în administrarea CN APM S.A. Acesta este împărțit în trei subdiviziuni, respectiv portul maritim, portul fluvial și portul turistic. </w:t>
      </w:r>
    </w:p>
    <w:p w14:paraId="667DF03E" w14:textId="77777777" w:rsidR="00670FD4" w:rsidRDefault="00670FD4" w:rsidP="00670FD4">
      <w:pPr>
        <w:spacing w:before="0"/>
        <w:rPr>
          <w:rFonts w:eastAsia="Times New Roman" w:cs="Times New Roman"/>
          <w:i/>
        </w:rPr>
      </w:pPr>
      <w:r>
        <w:rPr>
          <w:rFonts w:eastAsia="Times New Roman" w:cs="Times New Roman"/>
          <w:i/>
        </w:rPr>
        <w:t xml:space="preserve">Portul Constanța – zona Constanța </w:t>
      </w:r>
    </w:p>
    <w:p w14:paraId="08767961" w14:textId="77777777" w:rsidR="00670FD4" w:rsidRDefault="00670FD4" w:rsidP="00670FD4">
      <w:pPr>
        <w:spacing w:before="0"/>
        <w:rPr>
          <w:rFonts w:eastAsia="Times New Roman" w:cs="Times New Roman"/>
          <w:u w:val="single"/>
        </w:rPr>
      </w:pPr>
      <w:r>
        <w:rPr>
          <w:rFonts w:eastAsia="Times New Roman" w:cs="Times New Roman"/>
          <w:u w:val="single"/>
        </w:rPr>
        <w:t>Port maritim</w:t>
      </w:r>
    </w:p>
    <w:p w14:paraId="441B4592" w14:textId="77777777" w:rsidR="00670FD4" w:rsidRDefault="00670FD4" w:rsidP="00670FD4">
      <w:pPr>
        <w:spacing w:before="0"/>
        <w:ind w:firstLine="567"/>
        <w:rPr>
          <w:rFonts w:eastAsia="Times New Roman" w:cs="Times New Roman"/>
        </w:rPr>
      </w:pPr>
      <w:r>
        <w:rPr>
          <w:rFonts w:eastAsia="Times New Roman" w:cs="Times New Roman"/>
        </w:rPr>
        <w:t xml:space="preserve">Portul Constanța este situat pe coasta vestică a Mării Negre și acoperă o suprafață totală de 3.926 ha, din care 1.313 ha uscat și 2.613 ha apă. Cele două diguri situate în părțile de nord (lungime totală de 9,4 km), respectiv de sud (lungime totală de 5,66 km), adăpostesc portul, creând condițiile de siguranță optimă pentru activitățile portuare. În portul Constanța există 140 dane operaționale, dintr-un total de 156. Lungimea totală a cheurilor este de 32 km, iar adâncimile variază între 7 și 19 m. Aceste caracteristici sunt comparabile cu cele oferite de către cele mai importante porturi europene și internaționale, permițând accesul navelor tanc cu capacitatea de 165.000 dwt și a vrachierelor cu capacitatea de 220.000 dwt. </w:t>
      </w:r>
    </w:p>
    <w:p w14:paraId="6548C8E1" w14:textId="77777777" w:rsidR="00670FD4" w:rsidRDefault="00670FD4" w:rsidP="00670FD4">
      <w:pPr>
        <w:spacing w:before="0"/>
        <w:rPr>
          <w:rFonts w:eastAsia="Times New Roman" w:cs="Times New Roman"/>
          <w:u w:val="single"/>
        </w:rPr>
      </w:pPr>
      <w:r>
        <w:rPr>
          <w:rFonts w:eastAsia="Times New Roman" w:cs="Times New Roman"/>
          <w:u w:val="single"/>
        </w:rPr>
        <w:t xml:space="preserve">Port fluvial </w:t>
      </w:r>
    </w:p>
    <w:p w14:paraId="344F4D96" w14:textId="77777777" w:rsidR="00670FD4" w:rsidRDefault="00670FD4" w:rsidP="00670FD4">
      <w:pPr>
        <w:spacing w:before="0"/>
        <w:ind w:firstLine="567"/>
        <w:rPr>
          <w:rFonts w:eastAsia="Times New Roman" w:cs="Times New Roman"/>
        </w:rPr>
      </w:pPr>
      <w:r>
        <w:rPr>
          <w:rFonts w:eastAsia="Times New Roman" w:cs="Times New Roman"/>
        </w:rPr>
        <w:t xml:space="preserve">Portul Constanța este atât port maritim, cât și port fluvial. Facilitățile oferite de Portul Constanța permit acostarea oricărui tip de navă fluvială. Legătura Portului Constanța cu Dunărea se realizează prin Canalul Dunăre - Marea Neagră și reprezintă unul dintre principalele avantaje ale Portului Constanța. </w:t>
      </w:r>
    </w:p>
    <w:p w14:paraId="616031E8" w14:textId="77777777" w:rsidR="00670FD4" w:rsidRDefault="00670FD4" w:rsidP="00670FD4">
      <w:pPr>
        <w:spacing w:before="0"/>
        <w:rPr>
          <w:rFonts w:eastAsia="Times New Roman" w:cs="Times New Roman"/>
          <w:u w:val="single"/>
        </w:rPr>
      </w:pPr>
      <w:r>
        <w:rPr>
          <w:rFonts w:eastAsia="Times New Roman" w:cs="Times New Roman"/>
          <w:u w:val="single"/>
        </w:rPr>
        <w:t xml:space="preserve">Port turistic </w:t>
      </w:r>
    </w:p>
    <w:p w14:paraId="426776E2" w14:textId="77777777" w:rsidR="00670FD4" w:rsidRDefault="00670FD4" w:rsidP="00670FD4">
      <w:pPr>
        <w:spacing w:before="0"/>
        <w:ind w:firstLine="567"/>
        <w:rPr>
          <w:rFonts w:eastAsia="Times New Roman" w:cs="Times New Roman"/>
        </w:rPr>
      </w:pPr>
      <w:r>
        <w:rPr>
          <w:rFonts w:eastAsia="Times New Roman" w:cs="Times New Roman"/>
        </w:rPr>
        <w:t>Portul Tomis, prin amplasament și infrastructură, oferă un potențial ridicat de valorificare a turismului nautic, activităților sportive și de agrement, constituind totodată și un adapost pentru ambarcatiunile sportive cu vele.</w:t>
      </w:r>
    </w:p>
    <w:p w14:paraId="1648A1A2" w14:textId="77777777" w:rsidR="00670FD4" w:rsidRDefault="00670FD4" w:rsidP="00670FD4">
      <w:pPr>
        <w:spacing w:before="0"/>
        <w:rPr>
          <w:rFonts w:eastAsia="Times New Roman" w:cs="Times New Roman"/>
          <w:i/>
        </w:rPr>
      </w:pPr>
      <w:r>
        <w:rPr>
          <w:rFonts w:eastAsia="Times New Roman" w:cs="Times New Roman"/>
          <w:i/>
        </w:rPr>
        <w:t>Portul Constanța - Zona Midia</w:t>
      </w:r>
    </w:p>
    <w:p w14:paraId="7B6D7C0B" w14:textId="77777777" w:rsidR="00670FD4" w:rsidRDefault="00670FD4" w:rsidP="00670FD4">
      <w:pPr>
        <w:spacing w:before="0"/>
        <w:ind w:firstLine="567"/>
        <w:rPr>
          <w:rFonts w:eastAsia="Times New Roman" w:cs="Times New Roman"/>
        </w:rPr>
      </w:pPr>
      <w:r>
        <w:rPr>
          <w:rFonts w:eastAsia="Times New Roman" w:cs="Times New Roman"/>
        </w:rPr>
        <w:t xml:space="preserve">Zona Midia a fost proiectată și construită pentru a pune la dispoziție facilitățile pentru centrul industrial și petrochimic adiacent. Portul, cu o suprafață totală de 834 ha (din care 234 ha reprezintă uscat și 600 ha - apă) este delimitat de digurile de nord și de sud, cu o lungime totală de 6,97 km, accesul în port realizându-se printr-un canal de legătură, cu lățime de 80 m și adâncime de 10 m. Portul dispune de 14 dane (11 sunt dane operaționale, iar 3 dane sunt destinate întreținerii și reparațiilor de nave), iar lungimea totală a cheului este de 2,24 km. </w:t>
      </w:r>
      <w:r>
        <w:rPr>
          <w:rFonts w:eastAsia="Times New Roman" w:cs="Times New Roman"/>
        </w:rPr>
        <w:lastRenderedPageBreak/>
        <w:t>Adâncimea apei în dane este de 9 m, în timp ce în zona de ancoraj adâncimea atinge 20 m. În urma lucrărilor de dragaj efectuate, adâncimile apei au crescut la 9 m la danele 1-4 de descărcare petrol brut, permițând accesul navelor tanc cu pescaj maxim de 8 m și 20.000 tdw (https://www.portofconstantza.com/pn/page/np_prezentare_port/infgen_port_midia_ro.html). În zona Midia se află și o bază de operațiuni pentru forările offshore care se realizează în sectorul românesc al Mării Negre.</w:t>
      </w:r>
    </w:p>
    <w:p w14:paraId="323CBB0B" w14:textId="77777777" w:rsidR="00670FD4" w:rsidRDefault="00670FD4" w:rsidP="00670FD4">
      <w:pPr>
        <w:spacing w:before="0"/>
        <w:ind w:firstLine="567"/>
        <w:rPr>
          <w:rFonts w:eastAsia="Times New Roman" w:cs="Times New Roman"/>
        </w:rPr>
      </w:pPr>
      <w:r>
        <w:rPr>
          <w:rFonts w:eastAsia="Times New Roman" w:cs="Times New Roman"/>
        </w:rPr>
        <w:t xml:space="preserve">Principalele categorii de mărfuri operate în zona Midia sunt: petrol brut și produse derivate, GPL, mărfuri generale și animale vii. </w:t>
      </w:r>
    </w:p>
    <w:p w14:paraId="5EE05103" w14:textId="77777777" w:rsidR="00670FD4" w:rsidRDefault="00670FD4" w:rsidP="00670FD4">
      <w:pPr>
        <w:spacing w:before="0"/>
        <w:rPr>
          <w:rFonts w:eastAsia="Times New Roman" w:cs="Times New Roman"/>
          <w:i/>
        </w:rPr>
      </w:pPr>
      <w:r>
        <w:rPr>
          <w:rFonts w:eastAsia="Times New Roman" w:cs="Times New Roman"/>
          <w:i/>
        </w:rPr>
        <w:t>Portul Constanța - Zona Mangalia</w:t>
      </w:r>
    </w:p>
    <w:p w14:paraId="5E90CCE2" w14:textId="77777777" w:rsidR="00670FD4" w:rsidRDefault="00670FD4" w:rsidP="00670FD4">
      <w:pPr>
        <w:spacing w:before="0"/>
        <w:ind w:firstLine="567"/>
        <w:rPr>
          <w:rFonts w:eastAsia="Times New Roman" w:cs="Times New Roman"/>
        </w:rPr>
      </w:pPr>
      <w:r>
        <w:rPr>
          <w:rFonts w:eastAsia="Times New Roman" w:cs="Times New Roman"/>
        </w:rPr>
        <w:t>Portul Mangalia are o suprafata de 142,19 ha (27,47 ha - uscat și 114,72 ha - apă) și este delimitat de digurile de nord și de sud ce au o lungime totala de 2,74 km. În portul Mangalia există 4 dane (2 fiind dane operaționale), cu o lungime totala de 540 m. Adâncimea maximă este de 9 m. Principalele categorii de mărfuri operate: bitum, mărfuri generale și GPL https://www.portofconstantza.com/pn/page/np_prezentare_port/infgen_port_mangalia_ro.html).</w:t>
      </w:r>
    </w:p>
    <w:p w14:paraId="7410F069" w14:textId="77777777" w:rsidR="00670FD4" w:rsidRDefault="00670FD4" w:rsidP="00670FD4">
      <w:pPr>
        <w:spacing w:before="0"/>
        <w:ind w:firstLine="567"/>
        <w:rPr>
          <w:rFonts w:eastAsia="Times New Roman" w:cs="Times New Roman"/>
        </w:rPr>
      </w:pPr>
      <w:r>
        <w:rPr>
          <w:rFonts w:eastAsia="Times New Roman" w:cs="Times New Roman"/>
          <w:color w:val="000000"/>
        </w:rPr>
        <w:t xml:space="preserve">În Portul Constanța există următoarele terminale specializate: </w:t>
      </w:r>
    </w:p>
    <w:p w14:paraId="48E3E514" w14:textId="77777777" w:rsidR="00670FD4" w:rsidRDefault="00670FD4" w:rsidP="00670FD4">
      <w:pPr>
        <w:spacing w:before="0"/>
        <w:rPr>
          <w:rFonts w:eastAsia="Times New Roman" w:cs="Times New Roman"/>
          <w:u w:val="single"/>
        </w:rPr>
      </w:pPr>
      <w:r>
        <w:rPr>
          <w:rFonts w:eastAsia="Times New Roman" w:cs="Times New Roman"/>
          <w:color w:val="000000"/>
          <w:u w:val="single"/>
        </w:rPr>
        <w:t>Terminale de mărfuri</w:t>
      </w:r>
    </w:p>
    <w:p w14:paraId="69D810B2" w14:textId="77777777" w:rsidR="00670FD4" w:rsidRDefault="00670FD4" w:rsidP="00670FD4">
      <w:pPr>
        <w:spacing w:before="0"/>
        <w:rPr>
          <w:rFonts w:eastAsia="Times New Roman" w:cs="Times New Roman"/>
        </w:rPr>
      </w:pPr>
      <w:r>
        <w:rPr>
          <w:rFonts w:eastAsia="Times New Roman" w:cs="Times New Roman"/>
          <w:color w:val="000000"/>
        </w:rPr>
        <w:t>a) Vrac lichid</w:t>
      </w:r>
    </w:p>
    <w:p w14:paraId="2105741A" w14:textId="77777777" w:rsidR="00670FD4" w:rsidRDefault="00670FD4" w:rsidP="00670FD4">
      <w:pPr>
        <w:spacing w:before="0"/>
        <w:ind w:firstLine="567"/>
        <w:rPr>
          <w:rFonts w:eastAsia="Times New Roman" w:cs="Times New Roman"/>
        </w:rPr>
      </w:pPr>
      <w:r>
        <w:rPr>
          <w:rFonts w:eastAsia="Times New Roman" w:cs="Times New Roman"/>
          <w:color w:val="000000"/>
        </w:rPr>
        <w:t xml:space="preserve">Principalele mărfuri vrac lichid sunt reprezentate de petrol brut și produse petroliere. Terminalul de produse petroliere poate opera tancuri cu capacități de până la 165.000 dwt, fiind echipat cu instalații specializate pentru încărcare și descărcare și având acces la rețeaua de conducte. Există un terminal specializat pentru importul petrolului brut și benzinei, precum și pentru exportul de produse petroliere rafinate, produse derivate din petrol și alte produse chimice lichide. Oil Terminal și Rompetrol Logistics Sucursala Transport </w:t>
      </w:r>
      <w:sdt>
        <w:sdtPr>
          <w:tag w:val="goog_rdk_44"/>
          <w:id w:val="999536100"/>
        </w:sdtPr>
        <w:sdtContent>
          <w:r>
            <w:rPr>
              <w:rFonts w:eastAsia="Times New Roman" w:cs="Times New Roman"/>
              <w:color w:val="000000"/>
            </w:rPr>
            <w:t>Constanța</w:t>
          </w:r>
        </w:sdtContent>
      </w:sdt>
      <w:r>
        <w:rPr>
          <w:rFonts w:eastAsia="Times New Roman" w:cs="Times New Roman"/>
          <w:color w:val="000000"/>
        </w:rPr>
        <w:t xml:space="preserve"> sunt cele mai importante companii de operare pentru acest tip de marfă. De asemenea, mărfurile vrac lichid pot fi transbordate pe barje către diferite destinații europene sau transportate prin conducte în hinterland. Rețeaua națională de conducte conectează portul cu principalele rafinării din țară, asigurând un transport rapid și sigur.</w:t>
      </w:r>
    </w:p>
    <w:p w14:paraId="6943D173" w14:textId="77777777" w:rsidR="00670FD4" w:rsidRDefault="00670FD4" w:rsidP="00670FD4">
      <w:pPr>
        <w:spacing w:before="0"/>
        <w:ind w:firstLine="567"/>
        <w:rPr>
          <w:rFonts w:eastAsia="Times New Roman" w:cs="Times New Roman"/>
        </w:rPr>
      </w:pPr>
      <w:r>
        <w:rPr>
          <w:rFonts w:eastAsia="Times New Roman" w:cs="Times New Roman"/>
          <w:color w:val="000000"/>
        </w:rPr>
        <w:t>Oil Terminal S.A operează un terminal pentru pentru petrol brut, combustibil, motorină, benzină și produse petrochimice și export de substanțe chimice lichide. Această facilitate are o capacitate de 24 milioane tone/an pentru descărcare și 10 tone/an pentru încărcare. Capacitatea minimă de stocare a produselor petroliere este de 1,7 milioane tone. Terminalul este prevăzut cu 7 dane cu adâncimi cuprinse între 11,3 și 17,1 m, care pot primi cisterne petroliere cu o capacitate maximă de până la 165.000 tdw pentru încărcare/descărcare.</w:t>
      </w:r>
    </w:p>
    <w:p w14:paraId="69C717F8" w14:textId="77777777" w:rsidR="00670FD4" w:rsidRDefault="00670FD4" w:rsidP="00670FD4">
      <w:pPr>
        <w:spacing w:before="0"/>
        <w:rPr>
          <w:rFonts w:eastAsia="Times New Roman" w:cs="Times New Roman"/>
        </w:rPr>
      </w:pPr>
      <w:r>
        <w:rPr>
          <w:rFonts w:eastAsia="Times New Roman" w:cs="Times New Roman"/>
          <w:color w:val="000000"/>
        </w:rPr>
        <w:t>b) Vrac solid</w:t>
      </w:r>
    </w:p>
    <w:p w14:paraId="15EF7437" w14:textId="77777777" w:rsidR="00670FD4" w:rsidRDefault="00670FD4" w:rsidP="00670FD4">
      <w:pPr>
        <w:spacing w:before="0"/>
        <w:ind w:firstLine="567"/>
        <w:rPr>
          <w:rFonts w:eastAsia="Times New Roman" w:cs="Times New Roman"/>
        </w:rPr>
      </w:pPr>
      <w:r>
        <w:rPr>
          <w:rFonts w:eastAsia="Times New Roman" w:cs="Times New Roman"/>
          <w:color w:val="000000"/>
        </w:rPr>
        <w:t>Vracul solid este reprezentat în Portul Constanța în principal de minereurile feroase și neferoase, cereale, cărbuni și cocs. Aceste mărfuri sunt operate în terminale specializate situate în vecinătatea bazinului fluvio-maritim, care pot opera atât nave maritime, cât și nave fluviale, cu transbord direct pe barje. Alte categorii de mărfuri vrac solid operate în Portul Constanța sunt: ciment, materiale de construcție, fosfat etc.</w:t>
      </w:r>
    </w:p>
    <w:p w14:paraId="1E4A23C5" w14:textId="77777777" w:rsidR="00670FD4" w:rsidRDefault="00670FD4" w:rsidP="00670FD4">
      <w:pPr>
        <w:numPr>
          <w:ilvl w:val="0"/>
          <w:numId w:val="28"/>
        </w:numPr>
        <w:spacing w:before="0"/>
        <w:ind w:left="714" w:hanging="357"/>
        <w:rPr>
          <w:rFonts w:eastAsia="Times New Roman" w:cs="Times New Roman"/>
          <w:i/>
          <w:color w:val="000000"/>
        </w:rPr>
      </w:pPr>
      <w:r>
        <w:rPr>
          <w:rFonts w:eastAsia="Times New Roman" w:cs="Times New Roman"/>
          <w:i/>
          <w:color w:val="000000"/>
        </w:rPr>
        <w:lastRenderedPageBreak/>
        <w:t xml:space="preserve">Minereu, Cărbune, Cocs. </w:t>
      </w:r>
      <w:r>
        <w:rPr>
          <w:rFonts w:eastAsia="Times New Roman" w:cs="Times New Roman"/>
          <w:color w:val="000000"/>
        </w:rPr>
        <w:t xml:space="preserve">Cele două terminale specializate care operează minereu, bauxită, cărbune și cocs cuprind 13 dane, cu adâncimi care ajung până la 19 m. Terminalele pot opera atât nave maritime, cât și fluviale, cu o rată de descărcare de peste 45.000 tone/24 ore (respectiv 2.000 tone/oră/fiecare pod) din nave maritime și o rată de încărcare în barje de 2.000 tone/oră. Capacitatea de depozitare este de 4,7 milioane tone simultan, iar capacitatea de operare anuală este de peste 27 milioane tone. </w:t>
      </w:r>
    </w:p>
    <w:p w14:paraId="1D4B027A" w14:textId="77777777" w:rsidR="00670FD4" w:rsidRDefault="00670FD4" w:rsidP="00670FD4">
      <w:pPr>
        <w:numPr>
          <w:ilvl w:val="0"/>
          <w:numId w:val="28"/>
        </w:numPr>
        <w:spacing w:before="0"/>
        <w:ind w:left="714" w:hanging="357"/>
        <w:rPr>
          <w:rFonts w:eastAsia="Times New Roman" w:cs="Times New Roman"/>
          <w:i/>
          <w:color w:val="000000"/>
        </w:rPr>
      </w:pPr>
      <w:r>
        <w:rPr>
          <w:rFonts w:eastAsia="Times New Roman" w:cs="Times New Roman"/>
          <w:i/>
          <w:color w:val="000000"/>
        </w:rPr>
        <w:t xml:space="preserve">Produse chimice și îngrășăminte. </w:t>
      </w:r>
      <w:r>
        <w:rPr>
          <w:rFonts w:eastAsia="Times New Roman" w:cs="Times New Roman"/>
          <w:color w:val="000000"/>
        </w:rPr>
        <w:t xml:space="preserve">Portul Constanța dispune de terminale specializate unde se operează: îngrășăminte, fosfat, uree, apatită și alte produse chimice. Terminalele au dane cu adâncimi de până la 13,5 m, capacități de depozitare peste 100.000 tone și capacități de operare de 4,2 milioane tone pe an. Terminalele pot opera nave de peste 30.000 tdw. </w:t>
      </w:r>
    </w:p>
    <w:p w14:paraId="61AAC7DA" w14:textId="77777777" w:rsidR="00670FD4" w:rsidRDefault="00670FD4" w:rsidP="00670FD4">
      <w:pPr>
        <w:numPr>
          <w:ilvl w:val="0"/>
          <w:numId w:val="28"/>
        </w:numPr>
        <w:spacing w:before="0"/>
        <w:ind w:left="714" w:hanging="357"/>
        <w:rPr>
          <w:rFonts w:eastAsia="Times New Roman" w:cs="Times New Roman"/>
          <w:i/>
          <w:color w:val="000000"/>
        </w:rPr>
      </w:pPr>
      <w:r>
        <w:rPr>
          <w:rFonts w:eastAsia="Times New Roman" w:cs="Times New Roman"/>
          <w:i/>
          <w:color w:val="000000"/>
        </w:rPr>
        <w:t xml:space="preserve">Cereale. </w:t>
      </w:r>
      <w:r>
        <w:rPr>
          <w:rFonts w:eastAsia="Times New Roman" w:cs="Times New Roman"/>
          <w:color w:val="000000"/>
        </w:rPr>
        <w:t xml:space="preserve">Portul Constanța dispune de facilități pentru operarea și depozitarea cerealelor, fiind deservit de dane specializate cu adâncimi între 7 și 19 m. Sunt operate atât nave fluviale, cât și nave maritime de tip Panamax. Facilitățile de depozitare cuprind silozuri și magazii, care asigură o capacitate totală de depozitare de peste 1.800.000 tone. Navele maritime de mare capacitate sunt operate la geamanduri specializate la o adâncime de 17 m, făcându-se transbord direct din nave fluviale. </w:t>
      </w:r>
    </w:p>
    <w:p w14:paraId="6FC1E59C" w14:textId="77777777" w:rsidR="00670FD4" w:rsidRDefault="00670FD4" w:rsidP="00670FD4">
      <w:pPr>
        <w:numPr>
          <w:ilvl w:val="0"/>
          <w:numId w:val="28"/>
        </w:numPr>
        <w:spacing w:before="0"/>
        <w:ind w:left="714" w:hanging="357"/>
        <w:rPr>
          <w:rFonts w:eastAsia="Times New Roman" w:cs="Times New Roman"/>
          <w:i/>
          <w:color w:val="000000"/>
        </w:rPr>
      </w:pPr>
      <w:r>
        <w:rPr>
          <w:rFonts w:eastAsia="Times New Roman" w:cs="Times New Roman"/>
          <w:i/>
          <w:color w:val="000000"/>
        </w:rPr>
        <w:t xml:space="preserve">Ciment vrac și materiale de construcții. </w:t>
      </w:r>
      <w:r>
        <w:rPr>
          <w:rFonts w:eastAsia="Times New Roman" w:cs="Times New Roman"/>
          <w:color w:val="000000"/>
        </w:rPr>
        <w:t xml:space="preserve">Există două terminale specializate care operează ciment vrac și în saci. Terminalele de ciment vrac sunt dotate cu instalații pentru însăcuire și depozite acoperite și pot fi operate 24 ore/zi. Transbordul cimentului vrac se poate realiza direct din barje în nave maritime cu ajutorul instalațiilor pneumatice plutitoare. </w:t>
      </w:r>
    </w:p>
    <w:p w14:paraId="7C9295B1" w14:textId="77777777" w:rsidR="00670FD4" w:rsidRDefault="00670FD4" w:rsidP="00670FD4">
      <w:pPr>
        <w:spacing w:before="0"/>
        <w:rPr>
          <w:rFonts w:eastAsia="Times New Roman" w:cs="Times New Roman"/>
        </w:rPr>
      </w:pPr>
      <w:r>
        <w:rPr>
          <w:rFonts w:eastAsia="Times New Roman" w:cs="Times New Roman"/>
          <w:color w:val="000000"/>
        </w:rPr>
        <w:t> c) Containere</w:t>
      </w:r>
    </w:p>
    <w:p w14:paraId="1E85A99A" w14:textId="77777777" w:rsidR="00670FD4" w:rsidRDefault="00670FD4" w:rsidP="00670FD4">
      <w:pPr>
        <w:spacing w:before="0"/>
        <w:ind w:firstLine="567"/>
        <w:rPr>
          <w:rFonts w:eastAsia="Times New Roman" w:cs="Times New Roman"/>
        </w:rPr>
      </w:pPr>
      <w:r>
        <w:rPr>
          <w:rFonts w:eastAsia="Times New Roman" w:cs="Times New Roman"/>
          <w:color w:val="000000"/>
        </w:rPr>
        <w:t>În Portul Constanța există două terminale de containere, care oferă condiții și facilități moderne pentru operarea navelor portcontainer. La finele anului 2003, în portul Constanța a fost inaugurat cel mai mare terminal specializat de containere din Marea Neagră, acesta fiind operat de compania Dubai Ports World. Cu o suprafață totală de peste 76 ha (52 ha operaționale), terminalul oferă o capacitate anuală de operare de aproximativ 1,5 milioane TEU. Datorită adâncimilor, care au un minim de 14,5 metri, terminalul permite operarea navelor portcontainer de tip Post-Panamax, iar facilitățile de operare asigură rata de operare eficientă a navelor acostate. Lungimea danei principale este 636 metri, iar a danei de alimentare de 411 metri, suprafața de depozitare acoperită fiind de 5.000 mp. Terminalul oferă servicii de coordonare feroviară prin cele 3 linii de cale ferată, fiecare având o lungime de 616 metri, fiind capabile să manipuleze 3 garnituri de trenuri cu câte 30 de vagoane fiecare.</w:t>
      </w:r>
    </w:p>
    <w:p w14:paraId="08C84DFE" w14:textId="77777777" w:rsidR="00670FD4" w:rsidRDefault="00670FD4" w:rsidP="00670FD4">
      <w:pPr>
        <w:spacing w:before="0"/>
        <w:ind w:firstLine="567"/>
        <w:rPr>
          <w:rFonts w:eastAsia="Times New Roman" w:cs="Times New Roman"/>
        </w:rPr>
      </w:pPr>
      <w:r>
        <w:rPr>
          <w:rFonts w:eastAsia="Times New Roman" w:cs="Times New Roman"/>
          <w:color w:val="000000"/>
        </w:rPr>
        <w:t>d) Mărfuri generale</w:t>
      </w:r>
    </w:p>
    <w:p w14:paraId="0764C2F9" w14:textId="77777777" w:rsidR="00670FD4" w:rsidRDefault="00670FD4" w:rsidP="00670FD4">
      <w:pPr>
        <w:spacing w:before="0"/>
        <w:ind w:firstLine="567"/>
        <w:rPr>
          <w:rFonts w:eastAsia="Times New Roman" w:cs="Times New Roman"/>
        </w:rPr>
      </w:pPr>
      <w:r>
        <w:rPr>
          <w:rFonts w:eastAsia="Times New Roman" w:cs="Times New Roman"/>
          <w:color w:val="000000"/>
        </w:rPr>
        <w:t>Orice categorie de marfă poate fi operată de către companiile specializate din Portul Constanța. Din categoria mărfurilor generale, în Portul Constanța sunt operate: produse alimentare, băuturi și tutun, celuloză și hârtie, laminate, piese de schimb, ciment, produse chimice și îngrășăminte în saci, produse metalice, precum și alte mărfuri.</w:t>
      </w:r>
    </w:p>
    <w:p w14:paraId="3F9878B0" w14:textId="77777777" w:rsidR="00670FD4" w:rsidRDefault="00670FD4" w:rsidP="00670FD4">
      <w:pPr>
        <w:spacing w:before="0"/>
        <w:rPr>
          <w:rFonts w:eastAsia="Times New Roman" w:cs="Times New Roman"/>
        </w:rPr>
      </w:pPr>
      <w:r>
        <w:rPr>
          <w:rFonts w:eastAsia="Times New Roman" w:cs="Times New Roman"/>
          <w:color w:val="000000"/>
        </w:rPr>
        <w:t>e) Ro-Ro / FERRY</w:t>
      </w:r>
    </w:p>
    <w:p w14:paraId="575AD48C" w14:textId="77777777" w:rsidR="00670FD4" w:rsidRDefault="00670FD4" w:rsidP="00670FD4">
      <w:pPr>
        <w:spacing w:before="0"/>
        <w:ind w:firstLine="567"/>
        <w:rPr>
          <w:rFonts w:eastAsia="Times New Roman" w:cs="Times New Roman"/>
        </w:rPr>
      </w:pPr>
      <w:r>
        <w:rPr>
          <w:rFonts w:eastAsia="Times New Roman" w:cs="Times New Roman"/>
          <w:color w:val="000000"/>
        </w:rPr>
        <w:lastRenderedPageBreak/>
        <w:t>În portul Constanța există două terminale Ro-Ro situate în partea de sud, iar în partea de nord există o dană ce poate găzdui acest tip de operare. Dana Ro-Ro aflată în partea de nord are o lungime de 364 m, 13 m adâncime și poate acomoda până la 4.800 de vehicule.</w:t>
      </w:r>
    </w:p>
    <w:p w14:paraId="5298EC2E" w14:textId="77777777" w:rsidR="00670FD4" w:rsidRDefault="00670FD4" w:rsidP="00670FD4">
      <w:pPr>
        <w:spacing w:before="0"/>
        <w:ind w:firstLine="567"/>
        <w:rPr>
          <w:rFonts w:eastAsia="Times New Roman" w:cs="Times New Roman"/>
        </w:rPr>
      </w:pPr>
      <w:r>
        <w:rPr>
          <w:rFonts w:eastAsia="Times New Roman" w:cs="Times New Roman"/>
          <w:color w:val="000000"/>
        </w:rPr>
        <w:t>Cele două terminale din partea de sud a portului sunt situate în dana 120 și dana PL6. Terminalul din dana 120 dispune de un cheu de 25 m, cu o adâncime de 14 m și o platformă de depozitare cu o suprafață de 17.000 mp. Capacitatea maximă de încărcare și descărcare pe sens este de 100 unități (import-export). Cel de-al doilea terminal, situat în dana PL6, are adâncimi la cheu de 7 m, pescajul maxim admis fiind de 6,5 m, ceea ce permite acostarea navelor Ro-Ro de dimensiuni medii (capacitate max. 1.500 autoturisme).</w:t>
      </w:r>
    </w:p>
    <w:p w14:paraId="4FA97B13" w14:textId="77777777" w:rsidR="00670FD4" w:rsidRDefault="00670FD4" w:rsidP="00670FD4">
      <w:pPr>
        <w:spacing w:before="0"/>
        <w:ind w:firstLine="567"/>
        <w:rPr>
          <w:rFonts w:eastAsia="Times New Roman" w:cs="Times New Roman"/>
        </w:rPr>
      </w:pPr>
      <w:r>
        <w:rPr>
          <w:rFonts w:eastAsia="Times New Roman" w:cs="Times New Roman"/>
          <w:color w:val="000000"/>
        </w:rPr>
        <w:t xml:space="preserve">Zona totală de stocare măsoară 71.000 mp, spațiu corespunzător primirii a 5.400 de vehicule, cu o lungime a danei de 200 m, divizată în mai multe zone, având funcții specifice operațiunilor - recepție, inspecție, stocare, încărcare/descărcare. Accesul în terminalul Ro-Ro se poate face atât cu camioane, cât și cu trenuri, existând o linie dublă și o linie simplă ce deservesc exclusiv dana. </w:t>
      </w:r>
    </w:p>
    <w:p w14:paraId="33E363FE" w14:textId="77777777" w:rsidR="00670FD4" w:rsidRDefault="00670FD4" w:rsidP="00670FD4">
      <w:pPr>
        <w:spacing w:before="0"/>
        <w:ind w:firstLine="567"/>
        <w:rPr>
          <w:rFonts w:eastAsia="Times New Roman" w:cs="Times New Roman"/>
        </w:rPr>
      </w:pPr>
      <w:r>
        <w:rPr>
          <w:rFonts w:eastAsia="Times New Roman" w:cs="Times New Roman"/>
          <w:color w:val="000000"/>
        </w:rPr>
        <w:t>Terminalul Ferry-Boat, situat în partea de sud a Portului, oferă clienților condiții adecvate de operare a navelor specializate, fiind dotat cu echipamente specializate pentru încărcarea și descărcarea trenurilor, folosind ecartamentul normal european de cale ferată, Terminalul dispune de: grupă de trei linii, fiecare cu o lungime de 750 ml de cale ferată pentru primirea și expedierea vagoanelor; o grupă de pregătire a vagoanelor formată din 10 linii fiecare, cu o lungime de 450-500 m linii de cale ferată pentru îmbarcare/debarcare pe și de pe navă; și cinci linii de cale ferată pentru accesul pe navă, vagoanele fiind operate prin utilizarea echipamentelor navelor.</w:t>
      </w:r>
    </w:p>
    <w:p w14:paraId="357FC3D1" w14:textId="77777777" w:rsidR="00670FD4" w:rsidRDefault="00670FD4" w:rsidP="00670FD4">
      <w:pPr>
        <w:spacing w:before="0"/>
        <w:rPr>
          <w:rFonts w:eastAsia="Times New Roman" w:cs="Times New Roman"/>
        </w:rPr>
      </w:pPr>
      <w:r>
        <w:rPr>
          <w:rFonts w:eastAsia="Times New Roman" w:cs="Times New Roman"/>
          <w:color w:val="000000"/>
        </w:rPr>
        <w:t>f) Barje nepropulsate și remorchere fluviale</w:t>
      </w:r>
    </w:p>
    <w:p w14:paraId="0187F9C7" w14:textId="77777777" w:rsidR="00670FD4" w:rsidRDefault="00670FD4" w:rsidP="00670FD4">
      <w:pPr>
        <w:spacing w:before="0"/>
        <w:ind w:firstLine="567"/>
        <w:rPr>
          <w:rFonts w:eastAsia="Times New Roman" w:cs="Times New Roman"/>
        </w:rPr>
      </w:pPr>
      <w:r>
        <w:rPr>
          <w:rFonts w:eastAsia="Times New Roman" w:cs="Times New Roman"/>
          <w:color w:val="000000"/>
        </w:rPr>
        <w:t>Terminalul permite punerea la dispoziția utilizatorilor a unei capacități de acostare pentru circa 10 milioane tone mărfuri. Terminalul de barje include 1.200 m de cheuri cu adâncimea de 7 m pentru acostarea barjelor, precum și a 300 m de cheuri cu adâncimea de 5 m pentru împingătoare și remorchere fluviale.</w:t>
      </w:r>
    </w:p>
    <w:p w14:paraId="5885FA65" w14:textId="77777777" w:rsidR="00670FD4" w:rsidRDefault="00670FD4" w:rsidP="00670FD4">
      <w:pPr>
        <w:spacing w:before="0"/>
        <w:rPr>
          <w:rFonts w:eastAsia="Times New Roman" w:cs="Times New Roman"/>
        </w:rPr>
      </w:pPr>
      <w:r>
        <w:rPr>
          <w:rFonts w:eastAsia="Times New Roman" w:cs="Times New Roman"/>
          <w:color w:val="000000"/>
        </w:rPr>
        <w:t>g) Gaz petrolier lichefiat</w:t>
      </w:r>
    </w:p>
    <w:p w14:paraId="26E3C9E3" w14:textId="77777777" w:rsidR="00670FD4" w:rsidRDefault="00670FD4" w:rsidP="00670FD4">
      <w:pPr>
        <w:spacing w:before="0"/>
        <w:ind w:firstLine="567"/>
        <w:rPr>
          <w:rFonts w:eastAsia="Times New Roman" w:cs="Times New Roman"/>
        </w:rPr>
      </w:pPr>
      <w:r>
        <w:rPr>
          <w:rFonts w:eastAsia="Times New Roman" w:cs="Times New Roman"/>
          <w:color w:val="000000"/>
        </w:rPr>
        <w:t>În anul 2010 a fost inaugurat în Portul Midia cel mai mare terminal maritim de gaz petrol lichefiat (LPG) din țară. Terminalul operează traficul de LPG destinat pieței interne, dar și exportul către alte țări. Terminalul are o suprafață de circa 24.000 de m</w:t>
      </w:r>
      <w:r>
        <w:rPr>
          <w:rFonts w:eastAsia="Times New Roman" w:cs="Times New Roman"/>
          <w:color w:val="000000"/>
          <w:vertAlign w:val="superscript"/>
        </w:rPr>
        <w:t>2</w:t>
      </w:r>
      <w:r>
        <w:rPr>
          <w:rFonts w:eastAsia="Times New Roman" w:cs="Times New Roman"/>
          <w:color w:val="000000"/>
        </w:rPr>
        <w:t xml:space="preserve"> și o capacitate de stocare de 4.000 m</w:t>
      </w:r>
      <w:r>
        <w:rPr>
          <w:rFonts w:eastAsia="Times New Roman" w:cs="Times New Roman"/>
          <w:color w:val="000000"/>
          <w:vertAlign w:val="superscript"/>
        </w:rPr>
        <w:t>3</w:t>
      </w:r>
      <w:r>
        <w:rPr>
          <w:rFonts w:eastAsia="Times New Roman" w:cs="Times New Roman"/>
          <w:color w:val="000000"/>
        </w:rPr>
        <w:t>. Instalațiile cuprind 10 rezervoare a câte 400 m</w:t>
      </w:r>
      <w:r>
        <w:rPr>
          <w:rFonts w:eastAsia="Times New Roman" w:cs="Times New Roman"/>
          <w:color w:val="000000"/>
          <w:vertAlign w:val="superscript"/>
        </w:rPr>
        <w:t>3</w:t>
      </w:r>
      <w:r>
        <w:rPr>
          <w:rFonts w:eastAsia="Times New Roman" w:cs="Times New Roman"/>
          <w:color w:val="000000"/>
        </w:rPr>
        <w:t>, rampe de descărcare, pompe de mare productivitate și automatizări. Terminalul este conectat la calea ferată, rețeaua rutieră și transportul pe apă. Poate încărca 8 vagoane cisternă și 2 autocisterne simultan. Dana de acostare are o adâncime de 9,5 metri și un cheu cu o lungime de 120 m. Descărcarea este asigurată cu pompe de mare randament, cu un debit de 200-250 m</w:t>
      </w:r>
      <w:r>
        <w:rPr>
          <w:rFonts w:eastAsia="Times New Roman" w:cs="Times New Roman"/>
          <w:color w:val="000000"/>
          <w:vertAlign w:val="superscript"/>
        </w:rPr>
        <w:t>3</w:t>
      </w:r>
      <w:r>
        <w:rPr>
          <w:rFonts w:eastAsia="Times New Roman" w:cs="Times New Roman"/>
          <w:color w:val="000000"/>
        </w:rPr>
        <w:t>/oră. Instalația este dotată cu recuperatoare de gaze din tancuri, care elimină pierderile de marfă.</w:t>
      </w:r>
    </w:p>
    <w:p w14:paraId="0BC4DC90" w14:textId="77777777" w:rsidR="00670FD4" w:rsidRDefault="00670FD4" w:rsidP="00670FD4">
      <w:pPr>
        <w:spacing w:before="0"/>
        <w:rPr>
          <w:rFonts w:eastAsia="Times New Roman" w:cs="Times New Roman"/>
        </w:rPr>
      </w:pPr>
      <w:r>
        <w:rPr>
          <w:rFonts w:eastAsia="Times New Roman" w:cs="Times New Roman"/>
          <w:color w:val="000000"/>
        </w:rPr>
        <w:t>h) Terminalul de pasageri</w:t>
      </w:r>
    </w:p>
    <w:p w14:paraId="1A4E44A6" w14:textId="77777777" w:rsidR="00670FD4" w:rsidRDefault="00670FD4" w:rsidP="00670FD4">
      <w:pPr>
        <w:spacing w:before="0"/>
        <w:rPr>
          <w:rFonts w:eastAsia="Times New Roman" w:cs="Times New Roman"/>
        </w:rPr>
      </w:pPr>
      <w:r>
        <w:rPr>
          <w:rFonts w:eastAsia="Times New Roman" w:cs="Times New Roman"/>
          <w:color w:val="000000"/>
        </w:rPr>
        <w:t xml:space="preserve">Terminalul de pasageri este situat în partea de nord a portului, primind nave de croazieră care sosesc fie pe Dunăre, fie pe Marea Neagră. Terminalul are o capacitate de operare de </w:t>
      </w:r>
      <w:r>
        <w:rPr>
          <w:rFonts w:eastAsia="Times New Roman" w:cs="Times New Roman"/>
          <w:color w:val="000000"/>
        </w:rPr>
        <w:lastRenderedPageBreak/>
        <w:t>100.000 pasageri/an. Dana terminalului de pasageri are o lungime de 293 metri cu o adâncime de 13,5 metri, iar dana secundară (RoRo4) are o lungime de 400 metri și o adâncime de 13 metri, conexiunile disponibile fiind centrul orașului (la 1 km), aeroportul (la 25 km) și gara (la 3 km).</w:t>
      </w:r>
    </w:p>
    <w:p w14:paraId="47AC60F5" w14:textId="77777777" w:rsidR="00670FD4" w:rsidRDefault="00670FD4" w:rsidP="00670FD4">
      <w:pPr>
        <w:spacing w:before="0"/>
        <w:rPr>
          <w:rFonts w:eastAsia="Times New Roman" w:cs="Times New Roman"/>
        </w:rPr>
      </w:pPr>
      <w:r>
        <w:rPr>
          <w:rFonts w:eastAsia="Times New Roman" w:cs="Times New Roman"/>
          <w:color w:val="000000"/>
          <w:u w:val="single"/>
        </w:rPr>
        <w:t>Capacități de operare portuară în porturile maritime</w:t>
      </w:r>
    </w:p>
    <w:p w14:paraId="3B1069E0" w14:textId="77777777" w:rsidR="00670FD4" w:rsidRDefault="00670FD4" w:rsidP="00670FD4">
      <w:pPr>
        <w:spacing w:before="0"/>
        <w:ind w:firstLine="567"/>
        <w:rPr>
          <w:rFonts w:eastAsia="Times New Roman" w:cs="Times New Roman"/>
          <w:color w:val="000000"/>
        </w:rPr>
      </w:pPr>
      <w:r>
        <w:rPr>
          <w:rFonts w:eastAsia="Times New Roman" w:cs="Times New Roman"/>
          <w:color w:val="000000"/>
        </w:rPr>
        <w:t>Traficul de mărfuri în porturile maritime a cunoscut în ultima perioadă o creștere semnificativă datorită preluării a unei mari părți din traficul porturilor ucrainiene, situație generate de conflictul militar din zonă. Astfel, traficul total de mărfuri în 2021 a fost de 67.483.435 tone, iar în 2022 se observă o creștere cu mai mult de 10 %, până la 75.537.687. Analiza datelor furnizate de CN APM referitoare la perioada 2015-2022 (Tabel 2.4.8.6.1), confirmă creșterea aproape continua a traficului portuar în porturile maritime, cu excepția anului 2020, când s-a observat o scădere cu circa 10% în 2020 datorată pandemiei.</w:t>
      </w:r>
    </w:p>
    <w:p w14:paraId="7FBA8C2A" w14:textId="77777777" w:rsidR="00670FD4" w:rsidRDefault="00670FD4" w:rsidP="00670FD4">
      <w:pPr>
        <w:ind w:firstLine="567"/>
        <w:rPr>
          <w:rFonts w:eastAsia="Times New Roman" w:cs="Times New Roman"/>
          <w:color w:val="000000"/>
        </w:rPr>
      </w:pPr>
    </w:p>
    <w:p w14:paraId="32A026A3" w14:textId="77777777" w:rsidR="00670FD4" w:rsidRDefault="00670FD4" w:rsidP="00670FD4">
      <w:pPr>
        <w:spacing w:before="0" w:after="0"/>
        <w:ind w:firstLine="567"/>
        <w:jc w:val="center"/>
        <w:rPr>
          <w:rFonts w:eastAsia="Times New Roman" w:cs="Times New Roman"/>
          <w:b/>
          <w:color w:val="000000"/>
        </w:rPr>
      </w:pPr>
      <w:r>
        <w:rPr>
          <w:rFonts w:eastAsia="Times New Roman" w:cs="Times New Roman"/>
          <w:b/>
          <w:color w:val="000000"/>
        </w:rPr>
        <w:t>Tabel 2.4.8.6.1 Traficul portuar în perioada 2018 - 2022 (porturile maritime românești)</w:t>
      </w:r>
    </w:p>
    <w:tbl>
      <w:tblPr>
        <w:tblW w:w="87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1418"/>
        <w:gridCol w:w="1417"/>
        <w:gridCol w:w="1418"/>
        <w:gridCol w:w="1417"/>
        <w:gridCol w:w="1418"/>
      </w:tblGrid>
      <w:tr w:rsidR="00670FD4" w14:paraId="549465EE" w14:textId="77777777" w:rsidTr="001925BA">
        <w:trPr>
          <w:jc w:val="center"/>
        </w:trPr>
        <w:tc>
          <w:tcPr>
            <w:tcW w:w="1696" w:type="dxa"/>
            <w:tcMar>
              <w:top w:w="100" w:type="dxa"/>
              <w:left w:w="100" w:type="dxa"/>
              <w:bottom w:w="100" w:type="dxa"/>
              <w:right w:w="100" w:type="dxa"/>
            </w:tcMar>
          </w:tcPr>
          <w:p w14:paraId="44F70CF6"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b/>
                <w:color w:val="000000"/>
                <w:sz w:val="22"/>
              </w:rPr>
              <w:t>Date trafic</w:t>
            </w:r>
          </w:p>
        </w:tc>
        <w:tc>
          <w:tcPr>
            <w:tcW w:w="1418" w:type="dxa"/>
            <w:tcMar>
              <w:top w:w="100" w:type="dxa"/>
              <w:left w:w="100" w:type="dxa"/>
              <w:bottom w:w="100" w:type="dxa"/>
              <w:right w:w="100" w:type="dxa"/>
            </w:tcMar>
          </w:tcPr>
          <w:p w14:paraId="54B919B9"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b/>
                <w:color w:val="000000"/>
                <w:sz w:val="22"/>
              </w:rPr>
              <w:t>2018</w:t>
            </w:r>
          </w:p>
        </w:tc>
        <w:tc>
          <w:tcPr>
            <w:tcW w:w="1417" w:type="dxa"/>
            <w:tcMar>
              <w:top w:w="100" w:type="dxa"/>
              <w:left w:w="100" w:type="dxa"/>
              <w:bottom w:w="100" w:type="dxa"/>
              <w:right w:w="100" w:type="dxa"/>
            </w:tcMar>
          </w:tcPr>
          <w:p w14:paraId="5C1CBEAC"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b/>
                <w:color w:val="000000"/>
                <w:sz w:val="22"/>
              </w:rPr>
              <w:t>2019</w:t>
            </w:r>
          </w:p>
        </w:tc>
        <w:tc>
          <w:tcPr>
            <w:tcW w:w="1418" w:type="dxa"/>
            <w:tcMar>
              <w:top w:w="100" w:type="dxa"/>
              <w:left w:w="100" w:type="dxa"/>
              <w:bottom w:w="100" w:type="dxa"/>
              <w:right w:w="100" w:type="dxa"/>
            </w:tcMar>
          </w:tcPr>
          <w:p w14:paraId="55CBBEF9"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b/>
                <w:color w:val="000000"/>
                <w:sz w:val="22"/>
              </w:rPr>
              <w:t>2020</w:t>
            </w:r>
          </w:p>
        </w:tc>
        <w:tc>
          <w:tcPr>
            <w:tcW w:w="1417" w:type="dxa"/>
            <w:tcMar>
              <w:top w:w="100" w:type="dxa"/>
              <w:left w:w="100" w:type="dxa"/>
              <w:bottom w:w="100" w:type="dxa"/>
              <w:right w:w="100" w:type="dxa"/>
            </w:tcMar>
          </w:tcPr>
          <w:p w14:paraId="046A4548"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b/>
                <w:color w:val="000000"/>
                <w:sz w:val="22"/>
              </w:rPr>
              <w:t>2021</w:t>
            </w:r>
          </w:p>
        </w:tc>
        <w:tc>
          <w:tcPr>
            <w:tcW w:w="1418" w:type="dxa"/>
            <w:tcMar>
              <w:top w:w="100" w:type="dxa"/>
              <w:left w:w="100" w:type="dxa"/>
              <w:bottom w:w="100" w:type="dxa"/>
              <w:right w:w="100" w:type="dxa"/>
            </w:tcMar>
          </w:tcPr>
          <w:p w14:paraId="7BF08111"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b/>
                <w:color w:val="000000"/>
                <w:sz w:val="22"/>
              </w:rPr>
              <w:t>2022</w:t>
            </w:r>
          </w:p>
        </w:tc>
      </w:tr>
      <w:tr w:rsidR="00670FD4" w14:paraId="4E656F0E" w14:textId="77777777" w:rsidTr="001925BA">
        <w:trPr>
          <w:jc w:val="center"/>
        </w:trPr>
        <w:tc>
          <w:tcPr>
            <w:tcW w:w="1696" w:type="dxa"/>
            <w:tcMar>
              <w:top w:w="100" w:type="dxa"/>
              <w:left w:w="100" w:type="dxa"/>
              <w:bottom w:w="100" w:type="dxa"/>
              <w:right w:w="100" w:type="dxa"/>
            </w:tcMar>
          </w:tcPr>
          <w:p w14:paraId="5C1745EF"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000000"/>
                <w:sz w:val="22"/>
              </w:rPr>
              <w:t>Trafic total, t</w:t>
            </w:r>
          </w:p>
        </w:tc>
        <w:tc>
          <w:tcPr>
            <w:tcW w:w="1418" w:type="dxa"/>
            <w:shd w:val="clear" w:color="auto" w:fill="FFFFFF"/>
            <w:tcMar>
              <w:top w:w="100" w:type="dxa"/>
              <w:left w:w="100" w:type="dxa"/>
              <w:bottom w:w="100" w:type="dxa"/>
              <w:right w:w="100" w:type="dxa"/>
            </w:tcMar>
          </w:tcPr>
          <w:p w14:paraId="03E2BFF0"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61.303.774</w:t>
            </w:r>
          </w:p>
        </w:tc>
        <w:tc>
          <w:tcPr>
            <w:tcW w:w="1417" w:type="dxa"/>
            <w:shd w:val="clear" w:color="auto" w:fill="FFFFFF"/>
            <w:tcMar>
              <w:top w:w="100" w:type="dxa"/>
              <w:left w:w="100" w:type="dxa"/>
              <w:bottom w:w="100" w:type="dxa"/>
              <w:right w:w="100" w:type="dxa"/>
            </w:tcMar>
          </w:tcPr>
          <w:p w14:paraId="2CEA130F"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66.603.292</w:t>
            </w:r>
          </w:p>
        </w:tc>
        <w:tc>
          <w:tcPr>
            <w:tcW w:w="1418" w:type="dxa"/>
            <w:shd w:val="clear" w:color="auto" w:fill="FFFFFF"/>
            <w:tcMar>
              <w:top w:w="100" w:type="dxa"/>
              <w:left w:w="100" w:type="dxa"/>
              <w:bottom w:w="100" w:type="dxa"/>
              <w:right w:w="100" w:type="dxa"/>
            </w:tcMar>
          </w:tcPr>
          <w:p w14:paraId="2AE9FB1F"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60.375.799</w:t>
            </w:r>
          </w:p>
        </w:tc>
        <w:tc>
          <w:tcPr>
            <w:tcW w:w="1417" w:type="dxa"/>
            <w:shd w:val="clear" w:color="auto" w:fill="FFFFFF"/>
            <w:tcMar>
              <w:top w:w="100" w:type="dxa"/>
              <w:left w:w="100" w:type="dxa"/>
              <w:bottom w:w="100" w:type="dxa"/>
              <w:right w:w="100" w:type="dxa"/>
            </w:tcMar>
          </w:tcPr>
          <w:p w14:paraId="6D53917A"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67.483.435</w:t>
            </w:r>
          </w:p>
        </w:tc>
        <w:tc>
          <w:tcPr>
            <w:tcW w:w="1418" w:type="dxa"/>
            <w:shd w:val="clear" w:color="auto" w:fill="FFFFFF"/>
            <w:tcMar>
              <w:top w:w="100" w:type="dxa"/>
              <w:left w:w="100" w:type="dxa"/>
              <w:bottom w:w="100" w:type="dxa"/>
              <w:right w:w="100" w:type="dxa"/>
            </w:tcMar>
          </w:tcPr>
          <w:p w14:paraId="3A00DE85"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75.537.687</w:t>
            </w:r>
          </w:p>
        </w:tc>
      </w:tr>
      <w:tr w:rsidR="00670FD4" w14:paraId="044313A9" w14:textId="77777777" w:rsidTr="001925BA">
        <w:trPr>
          <w:jc w:val="center"/>
        </w:trPr>
        <w:tc>
          <w:tcPr>
            <w:tcW w:w="1696" w:type="dxa"/>
            <w:tcMar>
              <w:top w:w="100" w:type="dxa"/>
              <w:left w:w="100" w:type="dxa"/>
              <w:bottom w:w="100" w:type="dxa"/>
              <w:right w:w="100" w:type="dxa"/>
            </w:tcMar>
          </w:tcPr>
          <w:p w14:paraId="246244A7"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000000"/>
                <w:sz w:val="22"/>
              </w:rPr>
              <w:t>Vrac lichid, t</w:t>
            </w:r>
          </w:p>
        </w:tc>
        <w:tc>
          <w:tcPr>
            <w:tcW w:w="1418" w:type="dxa"/>
            <w:shd w:val="clear" w:color="auto" w:fill="FFFFFF"/>
            <w:tcMar>
              <w:top w:w="100" w:type="dxa"/>
              <w:left w:w="100" w:type="dxa"/>
              <w:bottom w:w="100" w:type="dxa"/>
              <w:right w:w="100" w:type="dxa"/>
            </w:tcMar>
          </w:tcPr>
          <w:p w14:paraId="68F088F7"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14.022.558</w:t>
            </w:r>
          </w:p>
        </w:tc>
        <w:tc>
          <w:tcPr>
            <w:tcW w:w="1417" w:type="dxa"/>
            <w:shd w:val="clear" w:color="auto" w:fill="FFFFFF"/>
            <w:tcMar>
              <w:top w:w="100" w:type="dxa"/>
              <w:left w:w="100" w:type="dxa"/>
              <w:bottom w:w="100" w:type="dxa"/>
              <w:right w:w="100" w:type="dxa"/>
            </w:tcMar>
          </w:tcPr>
          <w:p w14:paraId="6EC364D0"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14.920.635</w:t>
            </w:r>
          </w:p>
        </w:tc>
        <w:tc>
          <w:tcPr>
            <w:tcW w:w="1418" w:type="dxa"/>
            <w:shd w:val="clear" w:color="auto" w:fill="FFFFFF"/>
            <w:tcMar>
              <w:top w:w="100" w:type="dxa"/>
              <w:left w:w="100" w:type="dxa"/>
              <w:bottom w:w="100" w:type="dxa"/>
              <w:right w:w="100" w:type="dxa"/>
            </w:tcMar>
          </w:tcPr>
          <w:p w14:paraId="58FF6DC8"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12.425.658</w:t>
            </w:r>
          </w:p>
        </w:tc>
        <w:tc>
          <w:tcPr>
            <w:tcW w:w="1417" w:type="dxa"/>
            <w:shd w:val="clear" w:color="auto" w:fill="FFFFFF"/>
            <w:tcMar>
              <w:top w:w="100" w:type="dxa"/>
              <w:left w:w="100" w:type="dxa"/>
              <w:bottom w:w="100" w:type="dxa"/>
              <w:right w:w="100" w:type="dxa"/>
            </w:tcMar>
          </w:tcPr>
          <w:p w14:paraId="5A2372FD"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12.821.712</w:t>
            </w:r>
          </w:p>
        </w:tc>
        <w:tc>
          <w:tcPr>
            <w:tcW w:w="1418" w:type="dxa"/>
            <w:shd w:val="clear" w:color="auto" w:fill="FFFFFF"/>
            <w:tcMar>
              <w:top w:w="100" w:type="dxa"/>
              <w:left w:w="100" w:type="dxa"/>
              <w:bottom w:w="100" w:type="dxa"/>
              <w:right w:w="100" w:type="dxa"/>
            </w:tcMar>
          </w:tcPr>
          <w:p w14:paraId="1CFF2BE1"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18.001.109</w:t>
            </w:r>
          </w:p>
        </w:tc>
      </w:tr>
      <w:tr w:rsidR="00670FD4" w14:paraId="3FCE193B" w14:textId="77777777" w:rsidTr="001925BA">
        <w:trPr>
          <w:jc w:val="center"/>
        </w:trPr>
        <w:tc>
          <w:tcPr>
            <w:tcW w:w="1696" w:type="dxa"/>
            <w:tcMar>
              <w:top w:w="100" w:type="dxa"/>
              <w:left w:w="100" w:type="dxa"/>
              <w:bottom w:w="100" w:type="dxa"/>
              <w:right w:w="100" w:type="dxa"/>
            </w:tcMar>
          </w:tcPr>
          <w:p w14:paraId="1C55E15C"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000000"/>
                <w:sz w:val="22"/>
              </w:rPr>
              <w:t>Vrac solid, t</w:t>
            </w:r>
          </w:p>
        </w:tc>
        <w:tc>
          <w:tcPr>
            <w:tcW w:w="1418" w:type="dxa"/>
            <w:shd w:val="clear" w:color="auto" w:fill="FFFFFF"/>
            <w:tcMar>
              <w:top w:w="100" w:type="dxa"/>
              <w:left w:w="100" w:type="dxa"/>
              <w:bottom w:w="100" w:type="dxa"/>
              <w:right w:w="100" w:type="dxa"/>
            </w:tcMar>
          </w:tcPr>
          <w:p w14:paraId="25B34B48"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37.192.770</w:t>
            </w:r>
          </w:p>
        </w:tc>
        <w:tc>
          <w:tcPr>
            <w:tcW w:w="1417" w:type="dxa"/>
            <w:shd w:val="clear" w:color="auto" w:fill="FFFFFF"/>
            <w:tcMar>
              <w:top w:w="100" w:type="dxa"/>
              <w:left w:w="100" w:type="dxa"/>
              <w:bottom w:w="100" w:type="dxa"/>
              <w:right w:w="100" w:type="dxa"/>
            </w:tcMar>
          </w:tcPr>
          <w:p w14:paraId="6A5BE038"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41.583.345</w:t>
            </w:r>
          </w:p>
        </w:tc>
        <w:tc>
          <w:tcPr>
            <w:tcW w:w="1418" w:type="dxa"/>
            <w:shd w:val="clear" w:color="auto" w:fill="FFFFFF"/>
            <w:tcMar>
              <w:top w:w="100" w:type="dxa"/>
              <w:left w:w="100" w:type="dxa"/>
              <w:bottom w:w="100" w:type="dxa"/>
              <w:right w:w="100" w:type="dxa"/>
            </w:tcMar>
          </w:tcPr>
          <w:p w14:paraId="61B5C718"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38.580.780</w:t>
            </w:r>
          </w:p>
        </w:tc>
        <w:tc>
          <w:tcPr>
            <w:tcW w:w="1417" w:type="dxa"/>
            <w:shd w:val="clear" w:color="auto" w:fill="FFFFFF"/>
            <w:tcMar>
              <w:top w:w="100" w:type="dxa"/>
              <w:left w:w="100" w:type="dxa"/>
              <w:bottom w:w="100" w:type="dxa"/>
              <w:right w:w="100" w:type="dxa"/>
            </w:tcMar>
          </w:tcPr>
          <w:p w14:paraId="15A3BC23"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44.562.451</w:t>
            </w:r>
          </w:p>
        </w:tc>
        <w:tc>
          <w:tcPr>
            <w:tcW w:w="1418" w:type="dxa"/>
            <w:shd w:val="clear" w:color="auto" w:fill="FFFFFF"/>
            <w:tcMar>
              <w:top w:w="100" w:type="dxa"/>
              <w:left w:w="100" w:type="dxa"/>
              <w:bottom w:w="100" w:type="dxa"/>
              <w:right w:w="100" w:type="dxa"/>
            </w:tcMar>
          </w:tcPr>
          <w:p w14:paraId="45754B14"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44.831.522</w:t>
            </w:r>
          </w:p>
        </w:tc>
      </w:tr>
      <w:tr w:rsidR="00670FD4" w14:paraId="5240723F" w14:textId="77777777" w:rsidTr="001925BA">
        <w:trPr>
          <w:jc w:val="center"/>
        </w:trPr>
        <w:tc>
          <w:tcPr>
            <w:tcW w:w="1696" w:type="dxa"/>
            <w:tcMar>
              <w:top w:w="100" w:type="dxa"/>
              <w:left w:w="100" w:type="dxa"/>
              <w:bottom w:w="100" w:type="dxa"/>
              <w:right w:w="100" w:type="dxa"/>
            </w:tcMar>
          </w:tcPr>
          <w:p w14:paraId="60AAB38A"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000000"/>
                <w:sz w:val="22"/>
              </w:rPr>
              <w:t>Mărfuri generale, t</w:t>
            </w:r>
          </w:p>
        </w:tc>
        <w:tc>
          <w:tcPr>
            <w:tcW w:w="1418" w:type="dxa"/>
            <w:shd w:val="clear" w:color="auto" w:fill="FFFFFF"/>
            <w:tcMar>
              <w:top w:w="100" w:type="dxa"/>
              <w:left w:w="100" w:type="dxa"/>
              <w:bottom w:w="100" w:type="dxa"/>
              <w:right w:w="100" w:type="dxa"/>
            </w:tcMar>
          </w:tcPr>
          <w:p w14:paraId="0FB69D70"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3.524.788</w:t>
            </w:r>
          </w:p>
        </w:tc>
        <w:tc>
          <w:tcPr>
            <w:tcW w:w="1417" w:type="dxa"/>
            <w:shd w:val="clear" w:color="auto" w:fill="FFFFFF"/>
            <w:tcMar>
              <w:top w:w="100" w:type="dxa"/>
              <w:left w:w="100" w:type="dxa"/>
              <w:bottom w:w="100" w:type="dxa"/>
              <w:right w:w="100" w:type="dxa"/>
            </w:tcMar>
          </w:tcPr>
          <w:p w14:paraId="6BC27F2B"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3.546.879</w:t>
            </w:r>
          </w:p>
        </w:tc>
        <w:tc>
          <w:tcPr>
            <w:tcW w:w="1418" w:type="dxa"/>
            <w:shd w:val="clear" w:color="auto" w:fill="FFFFFF"/>
            <w:tcMar>
              <w:top w:w="100" w:type="dxa"/>
              <w:left w:w="100" w:type="dxa"/>
              <w:bottom w:w="100" w:type="dxa"/>
              <w:right w:w="100" w:type="dxa"/>
            </w:tcMar>
          </w:tcPr>
          <w:p w14:paraId="1F957847"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3.023.669</w:t>
            </w:r>
          </w:p>
        </w:tc>
        <w:tc>
          <w:tcPr>
            <w:tcW w:w="1417" w:type="dxa"/>
            <w:shd w:val="clear" w:color="auto" w:fill="FFFFFF"/>
            <w:tcMar>
              <w:top w:w="100" w:type="dxa"/>
              <w:left w:w="100" w:type="dxa"/>
              <w:bottom w:w="100" w:type="dxa"/>
              <w:right w:w="100" w:type="dxa"/>
            </w:tcMar>
          </w:tcPr>
          <w:p w14:paraId="443405BF"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3.915.944</w:t>
            </w:r>
          </w:p>
        </w:tc>
        <w:tc>
          <w:tcPr>
            <w:tcW w:w="1418" w:type="dxa"/>
            <w:shd w:val="clear" w:color="auto" w:fill="FFFFFF"/>
            <w:tcMar>
              <w:top w:w="100" w:type="dxa"/>
              <w:left w:w="100" w:type="dxa"/>
              <w:bottom w:w="100" w:type="dxa"/>
              <w:right w:w="100" w:type="dxa"/>
            </w:tcMar>
          </w:tcPr>
          <w:p w14:paraId="1ACD54F1"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4.783.304</w:t>
            </w:r>
          </w:p>
        </w:tc>
      </w:tr>
      <w:tr w:rsidR="00670FD4" w14:paraId="766E6065" w14:textId="77777777" w:rsidTr="001925BA">
        <w:trPr>
          <w:jc w:val="center"/>
        </w:trPr>
        <w:tc>
          <w:tcPr>
            <w:tcW w:w="1696" w:type="dxa"/>
            <w:tcMar>
              <w:top w:w="100" w:type="dxa"/>
              <w:left w:w="100" w:type="dxa"/>
              <w:bottom w:w="100" w:type="dxa"/>
              <w:right w:w="100" w:type="dxa"/>
            </w:tcMar>
          </w:tcPr>
          <w:p w14:paraId="0D6BCCC8"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000000"/>
                <w:sz w:val="22"/>
              </w:rPr>
              <w:t>Container, t</w:t>
            </w:r>
          </w:p>
        </w:tc>
        <w:tc>
          <w:tcPr>
            <w:tcW w:w="1418" w:type="dxa"/>
            <w:shd w:val="clear" w:color="auto" w:fill="FFFFFF"/>
            <w:tcMar>
              <w:top w:w="100" w:type="dxa"/>
              <w:left w:w="100" w:type="dxa"/>
              <w:bottom w:w="100" w:type="dxa"/>
              <w:right w:w="100" w:type="dxa"/>
            </w:tcMar>
          </w:tcPr>
          <w:p w14:paraId="7B9BCBBA"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6.563.658</w:t>
            </w:r>
          </w:p>
        </w:tc>
        <w:tc>
          <w:tcPr>
            <w:tcW w:w="1417" w:type="dxa"/>
            <w:shd w:val="clear" w:color="auto" w:fill="FFFFFF"/>
            <w:tcMar>
              <w:top w:w="100" w:type="dxa"/>
              <w:left w:w="100" w:type="dxa"/>
              <w:bottom w:w="100" w:type="dxa"/>
              <w:right w:w="100" w:type="dxa"/>
            </w:tcMar>
          </w:tcPr>
          <w:p w14:paraId="22E38BD1"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6.552.433</w:t>
            </w:r>
          </w:p>
        </w:tc>
        <w:tc>
          <w:tcPr>
            <w:tcW w:w="1418" w:type="dxa"/>
            <w:shd w:val="clear" w:color="auto" w:fill="FFFFFF"/>
            <w:tcMar>
              <w:top w:w="100" w:type="dxa"/>
              <w:left w:w="100" w:type="dxa"/>
              <w:bottom w:w="100" w:type="dxa"/>
              <w:right w:w="100" w:type="dxa"/>
            </w:tcMar>
          </w:tcPr>
          <w:p w14:paraId="0E77A479"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6.345.692</w:t>
            </w:r>
          </w:p>
        </w:tc>
        <w:tc>
          <w:tcPr>
            <w:tcW w:w="1417" w:type="dxa"/>
            <w:shd w:val="clear" w:color="auto" w:fill="FFFFFF"/>
            <w:tcMar>
              <w:top w:w="100" w:type="dxa"/>
              <w:left w:w="100" w:type="dxa"/>
              <w:bottom w:w="100" w:type="dxa"/>
              <w:right w:w="100" w:type="dxa"/>
            </w:tcMar>
          </w:tcPr>
          <w:p w14:paraId="1EED7DBE"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6.183.913</w:t>
            </w:r>
          </w:p>
        </w:tc>
        <w:tc>
          <w:tcPr>
            <w:tcW w:w="1418" w:type="dxa"/>
            <w:shd w:val="clear" w:color="auto" w:fill="FFFFFF"/>
            <w:tcMar>
              <w:top w:w="100" w:type="dxa"/>
              <w:left w:w="100" w:type="dxa"/>
              <w:bottom w:w="100" w:type="dxa"/>
              <w:right w:w="100" w:type="dxa"/>
            </w:tcMar>
          </w:tcPr>
          <w:p w14:paraId="17FD95F4"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7.921.752</w:t>
            </w:r>
          </w:p>
        </w:tc>
      </w:tr>
      <w:tr w:rsidR="00670FD4" w14:paraId="4EBD6F9E" w14:textId="77777777" w:rsidTr="001925BA">
        <w:trPr>
          <w:jc w:val="center"/>
        </w:trPr>
        <w:tc>
          <w:tcPr>
            <w:tcW w:w="1696" w:type="dxa"/>
            <w:tcMar>
              <w:top w:w="100" w:type="dxa"/>
              <w:left w:w="100" w:type="dxa"/>
              <w:bottom w:w="100" w:type="dxa"/>
              <w:right w:w="100" w:type="dxa"/>
            </w:tcMar>
          </w:tcPr>
          <w:p w14:paraId="0374E9B9"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000000"/>
                <w:sz w:val="22"/>
              </w:rPr>
              <w:t>Nr. containere</w:t>
            </w:r>
          </w:p>
        </w:tc>
        <w:tc>
          <w:tcPr>
            <w:tcW w:w="1418" w:type="dxa"/>
            <w:shd w:val="clear" w:color="auto" w:fill="FFFFFF"/>
            <w:tcMar>
              <w:top w:w="100" w:type="dxa"/>
              <w:left w:w="100" w:type="dxa"/>
              <w:bottom w:w="100" w:type="dxa"/>
              <w:right w:w="100" w:type="dxa"/>
            </w:tcMar>
          </w:tcPr>
          <w:p w14:paraId="37370864"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400.832</w:t>
            </w:r>
          </w:p>
        </w:tc>
        <w:tc>
          <w:tcPr>
            <w:tcW w:w="1417" w:type="dxa"/>
            <w:shd w:val="clear" w:color="auto" w:fill="FFFFFF"/>
            <w:tcMar>
              <w:top w:w="100" w:type="dxa"/>
              <w:left w:w="100" w:type="dxa"/>
              <w:bottom w:w="100" w:type="dxa"/>
              <w:right w:w="100" w:type="dxa"/>
            </w:tcMar>
          </w:tcPr>
          <w:p w14:paraId="5549C848"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400.945</w:t>
            </w:r>
          </w:p>
        </w:tc>
        <w:tc>
          <w:tcPr>
            <w:tcW w:w="1418" w:type="dxa"/>
            <w:shd w:val="clear" w:color="auto" w:fill="FFFFFF"/>
            <w:tcMar>
              <w:top w:w="100" w:type="dxa"/>
              <w:left w:w="100" w:type="dxa"/>
              <w:bottom w:w="100" w:type="dxa"/>
              <w:right w:w="100" w:type="dxa"/>
            </w:tcMar>
          </w:tcPr>
          <w:p w14:paraId="0A9557D6"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389.061</w:t>
            </w:r>
          </w:p>
        </w:tc>
        <w:tc>
          <w:tcPr>
            <w:tcW w:w="1417" w:type="dxa"/>
            <w:shd w:val="clear" w:color="auto" w:fill="FFFFFF"/>
            <w:tcMar>
              <w:top w:w="100" w:type="dxa"/>
              <w:left w:w="100" w:type="dxa"/>
              <w:bottom w:w="100" w:type="dxa"/>
              <w:right w:w="100" w:type="dxa"/>
            </w:tcMar>
          </w:tcPr>
          <w:p w14:paraId="1E5772E1"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379.139</w:t>
            </w:r>
          </w:p>
        </w:tc>
        <w:tc>
          <w:tcPr>
            <w:tcW w:w="1418" w:type="dxa"/>
            <w:shd w:val="clear" w:color="auto" w:fill="FFFFFF"/>
            <w:tcMar>
              <w:top w:w="100" w:type="dxa"/>
              <w:left w:w="100" w:type="dxa"/>
              <w:bottom w:w="100" w:type="dxa"/>
              <w:right w:w="100" w:type="dxa"/>
            </w:tcMar>
          </w:tcPr>
          <w:p w14:paraId="1BDED5D1"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460.506</w:t>
            </w:r>
          </w:p>
        </w:tc>
      </w:tr>
      <w:tr w:rsidR="00670FD4" w14:paraId="051E5245" w14:textId="77777777" w:rsidTr="001925BA">
        <w:trPr>
          <w:jc w:val="center"/>
        </w:trPr>
        <w:tc>
          <w:tcPr>
            <w:tcW w:w="1696" w:type="dxa"/>
            <w:tcMar>
              <w:top w:w="100" w:type="dxa"/>
              <w:left w:w="100" w:type="dxa"/>
              <w:bottom w:w="100" w:type="dxa"/>
              <w:right w:w="100" w:type="dxa"/>
            </w:tcMar>
          </w:tcPr>
          <w:p w14:paraId="546FDF2F"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000000"/>
                <w:sz w:val="22"/>
              </w:rPr>
              <w:t>TEU (containere)</w:t>
            </w:r>
          </w:p>
        </w:tc>
        <w:tc>
          <w:tcPr>
            <w:tcW w:w="1418" w:type="dxa"/>
            <w:shd w:val="clear" w:color="auto" w:fill="FFFFFF"/>
            <w:tcMar>
              <w:top w:w="100" w:type="dxa"/>
              <w:left w:w="100" w:type="dxa"/>
              <w:bottom w:w="100" w:type="dxa"/>
              <w:right w:w="100" w:type="dxa"/>
            </w:tcMar>
          </w:tcPr>
          <w:p w14:paraId="62D1DF4B"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668.016</w:t>
            </w:r>
          </w:p>
        </w:tc>
        <w:tc>
          <w:tcPr>
            <w:tcW w:w="1417" w:type="dxa"/>
            <w:shd w:val="clear" w:color="auto" w:fill="FFFFFF"/>
            <w:tcMar>
              <w:top w:w="100" w:type="dxa"/>
              <w:left w:w="100" w:type="dxa"/>
              <w:bottom w:w="100" w:type="dxa"/>
              <w:right w:w="100" w:type="dxa"/>
            </w:tcMar>
          </w:tcPr>
          <w:p w14:paraId="28703C8E"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666.036</w:t>
            </w:r>
          </w:p>
        </w:tc>
        <w:tc>
          <w:tcPr>
            <w:tcW w:w="1418" w:type="dxa"/>
            <w:shd w:val="clear" w:color="auto" w:fill="FFFFFF"/>
            <w:tcMar>
              <w:top w:w="100" w:type="dxa"/>
              <w:left w:w="100" w:type="dxa"/>
              <w:bottom w:w="100" w:type="dxa"/>
              <w:right w:w="100" w:type="dxa"/>
            </w:tcMar>
          </w:tcPr>
          <w:p w14:paraId="74CFD42C"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643.725</w:t>
            </w:r>
          </w:p>
        </w:tc>
        <w:tc>
          <w:tcPr>
            <w:tcW w:w="1417" w:type="dxa"/>
            <w:shd w:val="clear" w:color="auto" w:fill="FFFFFF"/>
            <w:tcMar>
              <w:top w:w="100" w:type="dxa"/>
              <w:left w:w="100" w:type="dxa"/>
              <w:bottom w:w="100" w:type="dxa"/>
              <w:right w:w="100" w:type="dxa"/>
            </w:tcMar>
          </w:tcPr>
          <w:p w14:paraId="640B8BDA"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631.946</w:t>
            </w:r>
          </w:p>
        </w:tc>
        <w:tc>
          <w:tcPr>
            <w:tcW w:w="1418" w:type="dxa"/>
            <w:shd w:val="clear" w:color="auto" w:fill="FFFFFF"/>
            <w:tcMar>
              <w:top w:w="100" w:type="dxa"/>
              <w:left w:w="100" w:type="dxa"/>
              <w:bottom w:w="100" w:type="dxa"/>
              <w:right w:w="100" w:type="dxa"/>
            </w:tcMar>
          </w:tcPr>
          <w:p w14:paraId="2A010B61" w14:textId="77777777" w:rsidR="00670FD4" w:rsidRPr="00154C5C" w:rsidRDefault="00670FD4" w:rsidP="001925BA">
            <w:pPr>
              <w:spacing w:after="0" w:line="240" w:lineRule="auto"/>
              <w:ind w:firstLine="0"/>
              <w:rPr>
                <w:rFonts w:eastAsia="Times New Roman" w:cs="Times New Roman"/>
                <w:sz w:val="22"/>
              </w:rPr>
            </w:pPr>
            <w:r w:rsidRPr="00154C5C">
              <w:rPr>
                <w:rFonts w:eastAsia="Times New Roman" w:cs="Times New Roman"/>
                <w:color w:val="212529"/>
                <w:sz w:val="22"/>
              </w:rPr>
              <w:t>776.590</w:t>
            </w:r>
          </w:p>
        </w:tc>
      </w:tr>
    </w:tbl>
    <w:p w14:paraId="7746E639" w14:textId="77777777" w:rsidR="00670FD4" w:rsidRDefault="00670FD4" w:rsidP="00670FD4">
      <w:pPr>
        <w:spacing w:before="0"/>
        <w:ind w:firstLine="567"/>
        <w:rPr>
          <w:rFonts w:eastAsia="Times New Roman" w:cs="Times New Roman"/>
          <w:sz w:val="28"/>
          <w:szCs w:val="28"/>
        </w:rPr>
      </w:pPr>
    </w:p>
    <w:p w14:paraId="75FB0BA5" w14:textId="77777777" w:rsidR="00670FD4" w:rsidRDefault="00670FD4" w:rsidP="00670FD4">
      <w:pPr>
        <w:ind w:firstLine="567"/>
        <w:rPr>
          <w:rFonts w:eastAsia="Times New Roman" w:cs="Times New Roman"/>
        </w:rPr>
      </w:pPr>
      <w:r>
        <w:rPr>
          <w:rFonts w:eastAsia="Times New Roman" w:cs="Times New Roman"/>
        </w:rPr>
        <w:t>Structura mărfurilor operate acoperă toate categoriile de mărfuri având în vedere diversitatea terminalelor disponibile. Totuși, trebuie remarcată evoluția ascendentă clară din ultima perioadă a operării mărfurilor solide în vrac, cu predilecție a cerealelor, precum produselor vrac lichid, mai precis petrol brut și produse petroliere (Tabel 2.4.8.6.2). Această evoluție a fost accelerate de situația din Ucraina, însă ea se manifestase cu pregnanță și înainte.</w:t>
      </w:r>
    </w:p>
    <w:p w14:paraId="3AFAAB5C" w14:textId="77777777" w:rsidR="00670FD4" w:rsidRDefault="00670FD4" w:rsidP="00670FD4">
      <w:pPr>
        <w:spacing w:before="0"/>
        <w:ind w:firstLine="567"/>
        <w:rPr>
          <w:rFonts w:eastAsia="Times New Roman" w:cs="Times New Roman"/>
        </w:rPr>
      </w:pPr>
    </w:p>
    <w:p w14:paraId="3D8CA9FC" w14:textId="77777777" w:rsidR="00670FD4" w:rsidRDefault="00670FD4" w:rsidP="00670FD4">
      <w:pPr>
        <w:spacing w:before="0" w:after="0"/>
        <w:ind w:firstLine="567"/>
        <w:jc w:val="center"/>
        <w:rPr>
          <w:rFonts w:eastAsia="Times New Roman" w:cs="Times New Roman"/>
          <w:b/>
        </w:rPr>
      </w:pPr>
      <w:r>
        <w:rPr>
          <w:rFonts w:eastAsia="Times New Roman" w:cs="Times New Roman"/>
          <w:b/>
        </w:rPr>
        <w:t xml:space="preserve">Tabel 2.4.8.6.2 Trafic pe grupe de marfa 2018 - 2022 </w:t>
      </w:r>
    </w:p>
    <w:p w14:paraId="5861FFE9" w14:textId="77777777" w:rsidR="00670FD4" w:rsidRDefault="00670FD4" w:rsidP="00670FD4">
      <w:pPr>
        <w:spacing w:before="0" w:after="0"/>
        <w:ind w:firstLine="567"/>
        <w:jc w:val="center"/>
        <w:rPr>
          <w:rFonts w:eastAsia="Times New Roman" w:cs="Times New Roman"/>
          <w:b/>
        </w:rPr>
      </w:pPr>
      <w:r>
        <w:rPr>
          <w:rFonts w:eastAsia="Times New Roman" w:cs="Times New Roman"/>
          <w:b/>
        </w:rPr>
        <w:t>(www.portofconstantza.com)</w:t>
      </w:r>
    </w:p>
    <w:tbl>
      <w:tblPr>
        <w:tblW w:w="90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70"/>
        <w:gridCol w:w="1190"/>
        <w:gridCol w:w="1190"/>
        <w:gridCol w:w="1190"/>
        <w:gridCol w:w="1190"/>
        <w:gridCol w:w="1190"/>
      </w:tblGrid>
      <w:tr w:rsidR="00670FD4" w:rsidRPr="00D535CE" w14:paraId="3831A211" w14:textId="77777777" w:rsidTr="001925BA">
        <w:trPr>
          <w:trHeight w:val="20"/>
        </w:trPr>
        <w:tc>
          <w:tcPr>
            <w:tcW w:w="3070" w:type="dxa"/>
            <w:shd w:val="clear" w:color="auto" w:fill="C9C9C9"/>
            <w:tcMar>
              <w:top w:w="100" w:type="dxa"/>
              <w:left w:w="100" w:type="dxa"/>
              <w:bottom w:w="100" w:type="dxa"/>
              <w:right w:w="100" w:type="dxa"/>
            </w:tcMar>
          </w:tcPr>
          <w:p w14:paraId="42A385E8" w14:textId="77777777" w:rsidR="00670FD4" w:rsidRPr="00D535CE" w:rsidRDefault="00670FD4" w:rsidP="001925BA">
            <w:pPr>
              <w:spacing w:after="0" w:line="240" w:lineRule="auto"/>
              <w:rPr>
                <w:rFonts w:eastAsia="Times New Roman" w:cs="Times New Roman"/>
                <w:b/>
                <w:sz w:val="22"/>
              </w:rPr>
            </w:pPr>
            <w:r w:rsidRPr="00D535CE">
              <w:rPr>
                <w:rFonts w:eastAsia="Times New Roman" w:cs="Times New Roman"/>
                <w:b/>
                <w:color w:val="212529"/>
                <w:sz w:val="22"/>
              </w:rPr>
              <w:lastRenderedPageBreak/>
              <w:t>Tip marfă</w:t>
            </w:r>
          </w:p>
        </w:tc>
        <w:tc>
          <w:tcPr>
            <w:tcW w:w="1190" w:type="dxa"/>
            <w:shd w:val="clear" w:color="auto" w:fill="C9C9C9"/>
            <w:tcMar>
              <w:top w:w="100" w:type="dxa"/>
              <w:left w:w="100" w:type="dxa"/>
              <w:bottom w:w="100" w:type="dxa"/>
              <w:right w:w="100" w:type="dxa"/>
            </w:tcMar>
          </w:tcPr>
          <w:p w14:paraId="1654DD37" w14:textId="77777777" w:rsidR="00670FD4" w:rsidRPr="00D535CE" w:rsidRDefault="00670FD4" w:rsidP="001925BA">
            <w:pPr>
              <w:spacing w:after="0" w:line="240" w:lineRule="auto"/>
              <w:ind w:firstLine="0"/>
              <w:rPr>
                <w:rFonts w:eastAsia="Times New Roman" w:cs="Times New Roman"/>
                <w:b/>
                <w:sz w:val="22"/>
              </w:rPr>
            </w:pPr>
            <w:r w:rsidRPr="00D535CE">
              <w:rPr>
                <w:rFonts w:eastAsia="Times New Roman" w:cs="Times New Roman"/>
                <w:b/>
                <w:color w:val="212529"/>
                <w:sz w:val="22"/>
              </w:rPr>
              <w:t>2018, t</w:t>
            </w:r>
          </w:p>
        </w:tc>
        <w:tc>
          <w:tcPr>
            <w:tcW w:w="1190" w:type="dxa"/>
            <w:shd w:val="clear" w:color="auto" w:fill="C9C9C9"/>
            <w:tcMar>
              <w:top w:w="100" w:type="dxa"/>
              <w:left w:w="100" w:type="dxa"/>
              <w:bottom w:w="100" w:type="dxa"/>
              <w:right w:w="100" w:type="dxa"/>
            </w:tcMar>
          </w:tcPr>
          <w:p w14:paraId="50B748D7" w14:textId="77777777" w:rsidR="00670FD4" w:rsidRPr="00D535CE" w:rsidRDefault="00670FD4" w:rsidP="001925BA">
            <w:pPr>
              <w:spacing w:after="0" w:line="240" w:lineRule="auto"/>
              <w:ind w:firstLine="0"/>
              <w:rPr>
                <w:rFonts w:eastAsia="Times New Roman" w:cs="Times New Roman"/>
                <w:b/>
                <w:sz w:val="22"/>
              </w:rPr>
            </w:pPr>
            <w:r w:rsidRPr="00D535CE">
              <w:rPr>
                <w:rFonts w:eastAsia="Times New Roman" w:cs="Times New Roman"/>
                <w:b/>
                <w:color w:val="212529"/>
                <w:sz w:val="22"/>
              </w:rPr>
              <w:t>2019, t</w:t>
            </w:r>
          </w:p>
        </w:tc>
        <w:tc>
          <w:tcPr>
            <w:tcW w:w="1190" w:type="dxa"/>
            <w:shd w:val="clear" w:color="auto" w:fill="C9C9C9"/>
            <w:tcMar>
              <w:top w:w="100" w:type="dxa"/>
              <w:left w:w="100" w:type="dxa"/>
              <w:bottom w:w="100" w:type="dxa"/>
              <w:right w:w="100" w:type="dxa"/>
            </w:tcMar>
          </w:tcPr>
          <w:p w14:paraId="22725359" w14:textId="77777777" w:rsidR="00670FD4" w:rsidRPr="00D535CE" w:rsidRDefault="00670FD4" w:rsidP="001925BA">
            <w:pPr>
              <w:spacing w:after="0" w:line="240" w:lineRule="auto"/>
              <w:ind w:firstLine="0"/>
              <w:rPr>
                <w:rFonts w:eastAsia="Times New Roman" w:cs="Times New Roman"/>
                <w:b/>
                <w:sz w:val="22"/>
              </w:rPr>
            </w:pPr>
            <w:r w:rsidRPr="00D535CE">
              <w:rPr>
                <w:rFonts w:eastAsia="Times New Roman" w:cs="Times New Roman"/>
                <w:b/>
                <w:color w:val="212529"/>
                <w:sz w:val="22"/>
              </w:rPr>
              <w:t>2020, t</w:t>
            </w:r>
          </w:p>
        </w:tc>
        <w:tc>
          <w:tcPr>
            <w:tcW w:w="1190" w:type="dxa"/>
            <w:shd w:val="clear" w:color="auto" w:fill="C9C9C9"/>
            <w:tcMar>
              <w:top w:w="100" w:type="dxa"/>
              <w:left w:w="100" w:type="dxa"/>
              <w:bottom w:w="100" w:type="dxa"/>
              <w:right w:w="100" w:type="dxa"/>
            </w:tcMar>
          </w:tcPr>
          <w:p w14:paraId="16F43EBF" w14:textId="77777777" w:rsidR="00670FD4" w:rsidRPr="00D535CE" w:rsidRDefault="00670FD4" w:rsidP="001925BA">
            <w:pPr>
              <w:spacing w:after="0" w:line="240" w:lineRule="auto"/>
              <w:ind w:firstLine="0"/>
              <w:rPr>
                <w:rFonts w:eastAsia="Times New Roman" w:cs="Times New Roman"/>
                <w:b/>
                <w:sz w:val="22"/>
              </w:rPr>
            </w:pPr>
            <w:r w:rsidRPr="00D535CE">
              <w:rPr>
                <w:rFonts w:eastAsia="Times New Roman" w:cs="Times New Roman"/>
                <w:b/>
                <w:color w:val="212529"/>
                <w:sz w:val="22"/>
              </w:rPr>
              <w:t>2021, t</w:t>
            </w:r>
          </w:p>
        </w:tc>
        <w:tc>
          <w:tcPr>
            <w:tcW w:w="1190" w:type="dxa"/>
            <w:shd w:val="clear" w:color="auto" w:fill="C9C9C9"/>
            <w:tcMar>
              <w:top w:w="100" w:type="dxa"/>
              <w:left w:w="100" w:type="dxa"/>
              <w:bottom w:w="100" w:type="dxa"/>
              <w:right w:w="100" w:type="dxa"/>
            </w:tcMar>
          </w:tcPr>
          <w:p w14:paraId="3317EED1" w14:textId="77777777" w:rsidR="00670FD4" w:rsidRPr="00D535CE" w:rsidRDefault="00670FD4" w:rsidP="001925BA">
            <w:pPr>
              <w:spacing w:after="0" w:line="240" w:lineRule="auto"/>
              <w:ind w:firstLine="0"/>
              <w:rPr>
                <w:rFonts w:eastAsia="Times New Roman" w:cs="Times New Roman"/>
                <w:b/>
                <w:sz w:val="22"/>
              </w:rPr>
            </w:pPr>
            <w:r w:rsidRPr="00D535CE">
              <w:rPr>
                <w:rFonts w:eastAsia="Times New Roman" w:cs="Times New Roman"/>
                <w:b/>
                <w:color w:val="212529"/>
                <w:sz w:val="22"/>
              </w:rPr>
              <w:t>2022, t</w:t>
            </w:r>
          </w:p>
        </w:tc>
      </w:tr>
      <w:tr w:rsidR="00670FD4" w:rsidRPr="00D535CE" w14:paraId="392CA22D" w14:textId="77777777" w:rsidTr="001925BA">
        <w:trPr>
          <w:trHeight w:val="20"/>
        </w:trPr>
        <w:tc>
          <w:tcPr>
            <w:tcW w:w="3070" w:type="dxa"/>
            <w:shd w:val="clear" w:color="auto" w:fill="D9D9D9"/>
            <w:tcMar>
              <w:top w:w="100" w:type="dxa"/>
              <w:left w:w="100" w:type="dxa"/>
              <w:bottom w:w="100" w:type="dxa"/>
              <w:right w:w="100" w:type="dxa"/>
            </w:tcMar>
          </w:tcPr>
          <w:p w14:paraId="63232D5B"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Animale vii, sfeclă de zahăr</w:t>
            </w:r>
          </w:p>
        </w:tc>
        <w:tc>
          <w:tcPr>
            <w:tcW w:w="1190" w:type="dxa"/>
            <w:shd w:val="clear" w:color="auto" w:fill="FFFFFF"/>
            <w:tcMar>
              <w:top w:w="100" w:type="dxa"/>
              <w:left w:w="100" w:type="dxa"/>
              <w:bottom w:w="100" w:type="dxa"/>
              <w:right w:w="100" w:type="dxa"/>
            </w:tcMar>
          </w:tcPr>
          <w:p w14:paraId="578FEB53"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70.934</w:t>
            </w:r>
          </w:p>
        </w:tc>
        <w:tc>
          <w:tcPr>
            <w:tcW w:w="1190" w:type="dxa"/>
            <w:shd w:val="clear" w:color="auto" w:fill="FFFFFF"/>
            <w:tcMar>
              <w:top w:w="100" w:type="dxa"/>
              <w:left w:w="100" w:type="dxa"/>
              <w:bottom w:w="100" w:type="dxa"/>
              <w:right w:w="100" w:type="dxa"/>
            </w:tcMar>
          </w:tcPr>
          <w:p w14:paraId="4743C53D"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96.399</w:t>
            </w:r>
          </w:p>
        </w:tc>
        <w:tc>
          <w:tcPr>
            <w:tcW w:w="1190" w:type="dxa"/>
            <w:shd w:val="clear" w:color="auto" w:fill="FFFFFF"/>
            <w:tcMar>
              <w:top w:w="100" w:type="dxa"/>
              <w:left w:w="100" w:type="dxa"/>
              <w:bottom w:w="100" w:type="dxa"/>
              <w:right w:w="100" w:type="dxa"/>
            </w:tcMar>
          </w:tcPr>
          <w:p w14:paraId="0DF29931"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100.433</w:t>
            </w:r>
          </w:p>
        </w:tc>
        <w:tc>
          <w:tcPr>
            <w:tcW w:w="1190" w:type="dxa"/>
            <w:shd w:val="clear" w:color="auto" w:fill="FFFFFF"/>
            <w:tcMar>
              <w:top w:w="100" w:type="dxa"/>
              <w:left w:w="100" w:type="dxa"/>
              <w:bottom w:w="100" w:type="dxa"/>
              <w:right w:w="100" w:type="dxa"/>
            </w:tcMar>
          </w:tcPr>
          <w:p w14:paraId="2EEBB316"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113.527</w:t>
            </w:r>
          </w:p>
        </w:tc>
        <w:tc>
          <w:tcPr>
            <w:tcW w:w="1190" w:type="dxa"/>
            <w:shd w:val="clear" w:color="auto" w:fill="FFFFFF"/>
            <w:tcMar>
              <w:top w:w="100" w:type="dxa"/>
              <w:left w:w="100" w:type="dxa"/>
              <w:bottom w:w="100" w:type="dxa"/>
              <w:right w:w="100" w:type="dxa"/>
            </w:tcMar>
          </w:tcPr>
          <w:p w14:paraId="23421502"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93.085</w:t>
            </w:r>
          </w:p>
        </w:tc>
      </w:tr>
      <w:tr w:rsidR="00670FD4" w:rsidRPr="00D535CE" w14:paraId="021EE807" w14:textId="77777777" w:rsidTr="001925BA">
        <w:trPr>
          <w:trHeight w:val="20"/>
        </w:trPr>
        <w:tc>
          <w:tcPr>
            <w:tcW w:w="3070" w:type="dxa"/>
            <w:shd w:val="clear" w:color="auto" w:fill="D9D9D9"/>
            <w:tcMar>
              <w:top w:w="100" w:type="dxa"/>
              <w:left w:w="100" w:type="dxa"/>
              <w:bottom w:w="100" w:type="dxa"/>
              <w:right w:w="100" w:type="dxa"/>
            </w:tcMar>
          </w:tcPr>
          <w:p w14:paraId="005677E3"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Articole diverse</w:t>
            </w:r>
          </w:p>
        </w:tc>
        <w:tc>
          <w:tcPr>
            <w:tcW w:w="1190" w:type="dxa"/>
            <w:shd w:val="clear" w:color="auto" w:fill="FFFFFF"/>
            <w:tcMar>
              <w:top w:w="100" w:type="dxa"/>
              <w:left w:w="100" w:type="dxa"/>
              <w:bottom w:w="100" w:type="dxa"/>
              <w:right w:w="100" w:type="dxa"/>
            </w:tcMar>
          </w:tcPr>
          <w:p w14:paraId="1041E349"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6.567.347</w:t>
            </w:r>
          </w:p>
        </w:tc>
        <w:tc>
          <w:tcPr>
            <w:tcW w:w="1190" w:type="dxa"/>
            <w:shd w:val="clear" w:color="auto" w:fill="FFFFFF"/>
            <w:tcMar>
              <w:top w:w="100" w:type="dxa"/>
              <w:left w:w="100" w:type="dxa"/>
              <w:bottom w:w="100" w:type="dxa"/>
              <w:right w:w="100" w:type="dxa"/>
            </w:tcMar>
          </w:tcPr>
          <w:p w14:paraId="4AB91441"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6.561.433</w:t>
            </w:r>
          </w:p>
        </w:tc>
        <w:tc>
          <w:tcPr>
            <w:tcW w:w="1190" w:type="dxa"/>
            <w:shd w:val="clear" w:color="auto" w:fill="FFFFFF"/>
            <w:tcMar>
              <w:top w:w="100" w:type="dxa"/>
              <w:left w:w="100" w:type="dxa"/>
              <w:bottom w:w="100" w:type="dxa"/>
              <w:right w:w="100" w:type="dxa"/>
            </w:tcMar>
          </w:tcPr>
          <w:p w14:paraId="394AD451"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6.348.655</w:t>
            </w:r>
          </w:p>
        </w:tc>
        <w:tc>
          <w:tcPr>
            <w:tcW w:w="1190" w:type="dxa"/>
            <w:shd w:val="clear" w:color="auto" w:fill="FFFFFF"/>
            <w:tcMar>
              <w:top w:w="100" w:type="dxa"/>
              <w:left w:w="100" w:type="dxa"/>
              <w:bottom w:w="100" w:type="dxa"/>
              <w:right w:w="100" w:type="dxa"/>
            </w:tcMar>
          </w:tcPr>
          <w:p w14:paraId="06BFF727"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6.197.408</w:t>
            </w:r>
          </w:p>
        </w:tc>
        <w:tc>
          <w:tcPr>
            <w:tcW w:w="1190" w:type="dxa"/>
            <w:shd w:val="clear" w:color="auto" w:fill="FFFFFF"/>
            <w:tcMar>
              <w:top w:w="100" w:type="dxa"/>
              <w:left w:w="100" w:type="dxa"/>
              <w:bottom w:w="100" w:type="dxa"/>
              <w:right w:w="100" w:type="dxa"/>
            </w:tcMar>
          </w:tcPr>
          <w:p w14:paraId="0D7950D6"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7.940.143</w:t>
            </w:r>
          </w:p>
        </w:tc>
      </w:tr>
      <w:tr w:rsidR="00670FD4" w:rsidRPr="00D535CE" w14:paraId="30259C5A" w14:textId="77777777" w:rsidTr="001925BA">
        <w:trPr>
          <w:trHeight w:val="20"/>
        </w:trPr>
        <w:tc>
          <w:tcPr>
            <w:tcW w:w="3070" w:type="dxa"/>
            <w:shd w:val="clear" w:color="auto" w:fill="D9D9D9"/>
            <w:tcMar>
              <w:top w:w="100" w:type="dxa"/>
              <w:left w:w="100" w:type="dxa"/>
              <w:bottom w:w="100" w:type="dxa"/>
              <w:right w:w="100" w:type="dxa"/>
            </w:tcMar>
          </w:tcPr>
          <w:p w14:paraId="76B8168D"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Articole fabricate din metal</w:t>
            </w:r>
          </w:p>
        </w:tc>
        <w:tc>
          <w:tcPr>
            <w:tcW w:w="1190" w:type="dxa"/>
            <w:shd w:val="clear" w:color="auto" w:fill="FFFFFF"/>
            <w:tcMar>
              <w:top w:w="100" w:type="dxa"/>
              <w:left w:w="100" w:type="dxa"/>
              <w:bottom w:w="100" w:type="dxa"/>
              <w:right w:w="100" w:type="dxa"/>
            </w:tcMar>
          </w:tcPr>
          <w:p w14:paraId="0F462068"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8.019</w:t>
            </w:r>
          </w:p>
        </w:tc>
        <w:tc>
          <w:tcPr>
            <w:tcW w:w="1190" w:type="dxa"/>
            <w:shd w:val="clear" w:color="auto" w:fill="FFFFFF"/>
            <w:tcMar>
              <w:top w:w="100" w:type="dxa"/>
              <w:left w:w="100" w:type="dxa"/>
              <w:bottom w:w="100" w:type="dxa"/>
              <w:right w:w="100" w:type="dxa"/>
            </w:tcMar>
          </w:tcPr>
          <w:p w14:paraId="1055DFAB"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10.900</w:t>
            </w:r>
          </w:p>
        </w:tc>
        <w:tc>
          <w:tcPr>
            <w:tcW w:w="1190" w:type="dxa"/>
            <w:shd w:val="clear" w:color="auto" w:fill="FFFFFF"/>
            <w:tcMar>
              <w:top w:w="100" w:type="dxa"/>
              <w:left w:w="100" w:type="dxa"/>
              <w:bottom w:w="100" w:type="dxa"/>
              <w:right w:w="100" w:type="dxa"/>
            </w:tcMar>
          </w:tcPr>
          <w:p w14:paraId="49726B34"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1.898</w:t>
            </w:r>
          </w:p>
        </w:tc>
        <w:tc>
          <w:tcPr>
            <w:tcW w:w="1190" w:type="dxa"/>
            <w:shd w:val="clear" w:color="auto" w:fill="FFFFFF"/>
            <w:tcMar>
              <w:top w:w="100" w:type="dxa"/>
              <w:left w:w="100" w:type="dxa"/>
              <w:bottom w:w="100" w:type="dxa"/>
              <w:right w:w="100" w:type="dxa"/>
            </w:tcMar>
          </w:tcPr>
          <w:p w14:paraId="458779B0"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8.916</w:t>
            </w:r>
          </w:p>
        </w:tc>
        <w:tc>
          <w:tcPr>
            <w:tcW w:w="1190" w:type="dxa"/>
            <w:shd w:val="clear" w:color="auto" w:fill="FFFFFF"/>
            <w:tcMar>
              <w:top w:w="100" w:type="dxa"/>
              <w:left w:w="100" w:type="dxa"/>
              <w:bottom w:w="100" w:type="dxa"/>
              <w:right w:w="100" w:type="dxa"/>
            </w:tcMar>
          </w:tcPr>
          <w:p w14:paraId="79543FEF"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7.624</w:t>
            </w:r>
          </w:p>
        </w:tc>
      </w:tr>
      <w:tr w:rsidR="00670FD4" w:rsidRPr="00D535CE" w14:paraId="65D16795" w14:textId="77777777" w:rsidTr="001925BA">
        <w:trPr>
          <w:trHeight w:val="20"/>
        </w:trPr>
        <w:tc>
          <w:tcPr>
            <w:tcW w:w="3070" w:type="dxa"/>
            <w:shd w:val="clear" w:color="auto" w:fill="D9D9D9"/>
            <w:tcMar>
              <w:top w:w="100" w:type="dxa"/>
              <w:left w:w="100" w:type="dxa"/>
              <w:bottom w:w="100" w:type="dxa"/>
              <w:right w:w="100" w:type="dxa"/>
            </w:tcMar>
          </w:tcPr>
          <w:p w14:paraId="2DEBEB28"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Cartofi, legume și fructe proaspete sau congelate</w:t>
            </w:r>
          </w:p>
        </w:tc>
        <w:tc>
          <w:tcPr>
            <w:tcW w:w="1190" w:type="dxa"/>
            <w:shd w:val="clear" w:color="auto" w:fill="FFFFFF"/>
            <w:tcMar>
              <w:top w:w="100" w:type="dxa"/>
              <w:left w:w="100" w:type="dxa"/>
              <w:bottom w:w="100" w:type="dxa"/>
              <w:right w:w="100" w:type="dxa"/>
            </w:tcMar>
          </w:tcPr>
          <w:p w14:paraId="4EA93BCA"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7.289</w:t>
            </w:r>
          </w:p>
        </w:tc>
        <w:tc>
          <w:tcPr>
            <w:tcW w:w="1190" w:type="dxa"/>
            <w:shd w:val="clear" w:color="auto" w:fill="FFFFFF"/>
            <w:tcMar>
              <w:top w:w="100" w:type="dxa"/>
              <w:left w:w="100" w:type="dxa"/>
              <w:bottom w:w="100" w:type="dxa"/>
              <w:right w:w="100" w:type="dxa"/>
            </w:tcMar>
          </w:tcPr>
          <w:p w14:paraId="4D67A18E"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3.227</w:t>
            </w:r>
          </w:p>
        </w:tc>
        <w:tc>
          <w:tcPr>
            <w:tcW w:w="1190" w:type="dxa"/>
            <w:shd w:val="clear" w:color="auto" w:fill="FFFFFF"/>
            <w:tcMar>
              <w:top w:w="100" w:type="dxa"/>
              <w:left w:w="100" w:type="dxa"/>
              <w:bottom w:w="100" w:type="dxa"/>
              <w:right w:w="100" w:type="dxa"/>
            </w:tcMar>
          </w:tcPr>
          <w:p w14:paraId="1BAD9104"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0</w:t>
            </w:r>
          </w:p>
        </w:tc>
        <w:tc>
          <w:tcPr>
            <w:tcW w:w="1190" w:type="dxa"/>
            <w:shd w:val="clear" w:color="auto" w:fill="FFFFFF"/>
            <w:tcMar>
              <w:top w:w="100" w:type="dxa"/>
              <w:left w:w="100" w:type="dxa"/>
              <w:bottom w:w="100" w:type="dxa"/>
              <w:right w:w="100" w:type="dxa"/>
            </w:tcMar>
          </w:tcPr>
          <w:p w14:paraId="6CA1046B"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0</w:t>
            </w:r>
          </w:p>
        </w:tc>
        <w:tc>
          <w:tcPr>
            <w:tcW w:w="1190" w:type="dxa"/>
            <w:shd w:val="clear" w:color="auto" w:fill="FFFFFF"/>
            <w:tcMar>
              <w:top w:w="100" w:type="dxa"/>
              <w:left w:w="100" w:type="dxa"/>
              <w:bottom w:w="100" w:type="dxa"/>
              <w:right w:w="100" w:type="dxa"/>
            </w:tcMar>
          </w:tcPr>
          <w:p w14:paraId="78335F06"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0</w:t>
            </w:r>
          </w:p>
        </w:tc>
      </w:tr>
      <w:tr w:rsidR="00670FD4" w:rsidRPr="00D535CE" w14:paraId="29FD2667" w14:textId="77777777" w:rsidTr="001925BA">
        <w:trPr>
          <w:trHeight w:val="20"/>
        </w:trPr>
        <w:tc>
          <w:tcPr>
            <w:tcW w:w="3070" w:type="dxa"/>
            <w:shd w:val="clear" w:color="auto" w:fill="D9D9D9"/>
            <w:tcMar>
              <w:top w:w="100" w:type="dxa"/>
              <w:left w:w="100" w:type="dxa"/>
              <w:bottom w:w="100" w:type="dxa"/>
              <w:right w:w="100" w:type="dxa"/>
            </w:tcMar>
          </w:tcPr>
          <w:p w14:paraId="2D7FA974"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Celuloza și deșeuri de hârtie</w:t>
            </w:r>
          </w:p>
        </w:tc>
        <w:tc>
          <w:tcPr>
            <w:tcW w:w="1190" w:type="dxa"/>
            <w:shd w:val="clear" w:color="auto" w:fill="FFFFFF"/>
            <w:tcMar>
              <w:top w:w="100" w:type="dxa"/>
              <w:left w:w="100" w:type="dxa"/>
              <w:bottom w:w="100" w:type="dxa"/>
              <w:right w:w="100" w:type="dxa"/>
            </w:tcMar>
          </w:tcPr>
          <w:p w14:paraId="15949751"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28.274</w:t>
            </w:r>
          </w:p>
        </w:tc>
        <w:tc>
          <w:tcPr>
            <w:tcW w:w="1190" w:type="dxa"/>
            <w:shd w:val="clear" w:color="auto" w:fill="FFFFFF"/>
            <w:tcMar>
              <w:top w:w="100" w:type="dxa"/>
              <w:left w:w="100" w:type="dxa"/>
              <w:bottom w:w="100" w:type="dxa"/>
              <w:right w:w="100" w:type="dxa"/>
            </w:tcMar>
          </w:tcPr>
          <w:p w14:paraId="007DBF8B"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48.801</w:t>
            </w:r>
          </w:p>
        </w:tc>
        <w:tc>
          <w:tcPr>
            <w:tcW w:w="1190" w:type="dxa"/>
            <w:shd w:val="clear" w:color="auto" w:fill="FFFFFF"/>
            <w:tcMar>
              <w:top w:w="100" w:type="dxa"/>
              <w:left w:w="100" w:type="dxa"/>
              <w:bottom w:w="100" w:type="dxa"/>
              <w:right w:w="100" w:type="dxa"/>
            </w:tcMar>
          </w:tcPr>
          <w:p w14:paraId="7329E50D"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73.340</w:t>
            </w:r>
          </w:p>
        </w:tc>
        <w:tc>
          <w:tcPr>
            <w:tcW w:w="1190" w:type="dxa"/>
            <w:shd w:val="clear" w:color="auto" w:fill="FFFFFF"/>
            <w:tcMar>
              <w:top w:w="100" w:type="dxa"/>
              <w:left w:w="100" w:type="dxa"/>
              <w:bottom w:w="100" w:type="dxa"/>
              <w:right w:w="100" w:type="dxa"/>
            </w:tcMar>
          </w:tcPr>
          <w:p w14:paraId="29450E59"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58.992</w:t>
            </w:r>
          </w:p>
        </w:tc>
        <w:tc>
          <w:tcPr>
            <w:tcW w:w="1190" w:type="dxa"/>
            <w:shd w:val="clear" w:color="auto" w:fill="FFFFFF"/>
            <w:tcMar>
              <w:top w:w="100" w:type="dxa"/>
              <w:left w:w="100" w:type="dxa"/>
              <w:bottom w:w="100" w:type="dxa"/>
              <w:right w:w="100" w:type="dxa"/>
            </w:tcMar>
          </w:tcPr>
          <w:p w14:paraId="59443DA1"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30.490</w:t>
            </w:r>
          </w:p>
        </w:tc>
      </w:tr>
      <w:tr w:rsidR="00670FD4" w:rsidRPr="00D535CE" w14:paraId="1C172C2C" w14:textId="77777777" w:rsidTr="001925BA">
        <w:trPr>
          <w:trHeight w:val="20"/>
        </w:trPr>
        <w:tc>
          <w:tcPr>
            <w:tcW w:w="3070" w:type="dxa"/>
            <w:shd w:val="clear" w:color="auto" w:fill="D9D9D9"/>
            <w:tcMar>
              <w:top w:w="100" w:type="dxa"/>
              <w:left w:w="100" w:type="dxa"/>
              <w:bottom w:w="100" w:type="dxa"/>
              <w:right w:w="100" w:type="dxa"/>
            </w:tcMar>
          </w:tcPr>
          <w:p w14:paraId="6FB6F9E2"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Cereale</w:t>
            </w:r>
          </w:p>
        </w:tc>
        <w:tc>
          <w:tcPr>
            <w:tcW w:w="1190" w:type="dxa"/>
            <w:shd w:val="clear" w:color="auto" w:fill="FFFFFF"/>
            <w:tcMar>
              <w:top w:w="100" w:type="dxa"/>
              <w:left w:w="100" w:type="dxa"/>
              <w:bottom w:w="100" w:type="dxa"/>
              <w:right w:w="100" w:type="dxa"/>
            </w:tcMar>
          </w:tcPr>
          <w:p w14:paraId="599D4358"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17.963.535</w:t>
            </w:r>
          </w:p>
        </w:tc>
        <w:tc>
          <w:tcPr>
            <w:tcW w:w="1190" w:type="dxa"/>
            <w:shd w:val="clear" w:color="auto" w:fill="FFFFFF"/>
            <w:tcMar>
              <w:top w:w="100" w:type="dxa"/>
              <w:left w:w="100" w:type="dxa"/>
              <w:bottom w:w="100" w:type="dxa"/>
              <w:right w:w="100" w:type="dxa"/>
            </w:tcMar>
          </w:tcPr>
          <w:p w14:paraId="012D64B5"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21.329.156</w:t>
            </w:r>
          </w:p>
        </w:tc>
        <w:tc>
          <w:tcPr>
            <w:tcW w:w="1190" w:type="dxa"/>
            <w:shd w:val="clear" w:color="auto" w:fill="FFFFFF"/>
            <w:tcMar>
              <w:top w:w="100" w:type="dxa"/>
              <w:left w:w="100" w:type="dxa"/>
              <w:bottom w:w="100" w:type="dxa"/>
              <w:right w:w="100" w:type="dxa"/>
            </w:tcMar>
          </w:tcPr>
          <w:p w14:paraId="457D3025"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21.893.550</w:t>
            </w:r>
          </w:p>
        </w:tc>
        <w:tc>
          <w:tcPr>
            <w:tcW w:w="1190" w:type="dxa"/>
            <w:shd w:val="clear" w:color="auto" w:fill="FFFFFF"/>
            <w:tcMar>
              <w:top w:w="100" w:type="dxa"/>
              <w:left w:w="100" w:type="dxa"/>
              <w:bottom w:w="100" w:type="dxa"/>
              <w:right w:w="100" w:type="dxa"/>
            </w:tcMar>
          </w:tcPr>
          <w:p w14:paraId="6EACE4B7"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25.174.619</w:t>
            </w:r>
          </w:p>
        </w:tc>
        <w:tc>
          <w:tcPr>
            <w:tcW w:w="1190" w:type="dxa"/>
            <w:shd w:val="clear" w:color="auto" w:fill="FFFFFF"/>
            <w:tcMar>
              <w:top w:w="100" w:type="dxa"/>
              <w:left w:w="100" w:type="dxa"/>
              <w:bottom w:w="100" w:type="dxa"/>
              <w:right w:w="100" w:type="dxa"/>
            </w:tcMar>
          </w:tcPr>
          <w:p w14:paraId="79CF2DA6"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24.010.975</w:t>
            </w:r>
          </w:p>
        </w:tc>
      </w:tr>
      <w:tr w:rsidR="00670FD4" w:rsidRPr="00D535CE" w14:paraId="2FC866C9" w14:textId="77777777" w:rsidTr="001925BA">
        <w:trPr>
          <w:trHeight w:val="20"/>
        </w:trPr>
        <w:tc>
          <w:tcPr>
            <w:tcW w:w="3070" w:type="dxa"/>
            <w:shd w:val="clear" w:color="auto" w:fill="D9D9D9"/>
            <w:tcMar>
              <w:top w:w="100" w:type="dxa"/>
              <w:left w:w="100" w:type="dxa"/>
              <w:bottom w:w="100" w:type="dxa"/>
              <w:right w:w="100" w:type="dxa"/>
            </w:tcMar>
          </w:tcPr>
          <w:p w14:paraId="400658FE"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Ciment, var nestins, materiale prefabricate pentru construcții</w:t>
            </w:r>
          </w:p>
        </w:tc>
        <w:tc>
          <w:tcPr>
            <w:tcW w:w="1190" w:type="dxa"/>
            <w:shd w:val="clear" w:color="auto" w:fill="FFFFFF"/>
            <w:tcMar>
              <w:top w:w="100" w:type="dxa"/>
              <w:left w:w="100" w:type="dxa"/>
              <w:bottom w:w="100" w:type="dxa"/>
              <w:right w:w="100" w:type="dxa"/>
            </w:tcMar>
          </w:tcPr>
          <w:p w14:paraId="4E90ED47"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205.712</w:t>
            </w:r>
          </w:p>
        </w:tc>
        <w:tc>
          <w:tcPr>
            <w:tcW w:w="1190" w:type="dxa"/>
            <w:shd w:val="clear" w:color="auto" w:fill="FFFFFF"/>
            <w:tcMar>
              <w:top w:w="100" w:type="dxa"/>
              <w:left w:w="100" w:type="dxa"/>
              <w:bottom w:w="100" w:type="dxa"/>
              <w:right w:w="100" w:type="dxa"/>
            </w:tcMar>
          </w:tcPr>
          <w:p w14:paraId="28EB90F0"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363.850</w:t>
            </w:r>
          </w:p>
        </w:tc>
        <w:tc>
          <w:tcPr>
            <w:tcW w:w="1190" w:type="dxa"/>
            <w:shd w:val="clear" w:color="auto" w:fill="FFFFFF"/>
            <w:tcMar>
              <w:top w:w="100" w:type="dxa"/>
              <w:left w:w="100" w:type="dxa"/>
              <w:bottom w:w="100" w:type="dxa"/>
              <w:right w:w="100" w:type="dxa"/>
            </w:tcMar>
          </w:tcPr>
          <w:p w14:paraId="70242059"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703.119</w:t>
            </w:r>
          </w:p>
        </w:tc>
        <w:tc>
          <w:tcPr>
            <w:tcW w:w="1190" w:type="dxa"/>
            <w:shd w:val="clear" w:color="auto" w:fill="FFFFFF"/>
            <w:tcMar>
              <w:top w:w="100" w:type="dxa"/>
              <w:left w:w="100" w:type="dxa"/>
              <w:bottom w:w="100" w:type="dxa"/>
              <w:right w:w="100" w:type="dxa"/>
            </w:tcMar>
          </w:tcPr>
          <w:p w14:paraId="34F9FC61"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814.793</w:t>
            </w:r>
          </w:p>
        </w:tc>
        <w:tc>
          <w:tcPr>
            <w:tcW w:w="1190" w:type="dxa"/>
            <w:shd w:val="clear" w:color="auto" w:fill="FFFFFF"/>
            <w:tcMar>
              <w:top w:w="100" w:type="dxa"/>
              <w:left w:w="100" w:type="dxa"/>
              <w:bottom w:w="100" w:type="dxa"/>
              <w:right w:w="100" w:type="dxa"/>
            </w:tcMar>
          </w:tcPr>
          <w:p w14:paraId="7553ED6D"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620.894</w:t>
            </w:r>
          </w:p>
        </w:tc>
      </w:tr>
      <w:tr w:rsidR="00670FD4" w:rsidRPr="00D535CE" w14:paraId="7B882051" w14:textId="77777777" w:rsidTr="001925BA">
        <w:trPr>
          <w:trHeight w:val="20"/>
        </w:trPr>
        <w:tc>
          <w:tcPr>
            <w:tcW w:w="3070" w:type="dxa"/>
            <w:shd w:val="clear" w:color="auto" w:fill="D9D9D9"/>
            <w:tcMar>
              <w:top w:w="100" w:type="dxa"/>
              <w:left w:w="100" w:type="dxa"/>
              <w:bottom w:w="100" w:type="dxa"/>
              <w:right w:w="100" w:type="dxa"/>
            </w:tcMar>
          </w:tcPr>
          <w:p w14:paraId="361BEDFC"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Combustibili minerali solizi</w:t>
            </w:r>
          </w:p>
        </w:tc>
        <w:tc>
          <w:tcPr>
            <w:tcW w:w="1190" w:type="dxa"/>
            <w:shd w:val="clear" w:color="auto" w:fill="FFFFFF"/>
            <w:tcMar>
              <w:top w:w="100" w:type="dxa"/>
              <w:left w:w="100" w:type="dxa"/>
              <w:bottom w:w="100" w:type="dxa"/>
              <w:right w:w="100" w:type="dxa"/>
            </w:tcMar>
          </w:tcPr>
          <w:p w14:paraId="6885A287"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3.770.447</w:t>
            </w:r>
          </w:p>
        </w:tc>
        <w:tc>
          <w:tcPr>
            <w:tcW w:w="1190" w:type="dxa"/>
            <w:shd w:val="clear" w:color="auto" w:fill="FFFFFF"/>
            <w:tcMar>
              <w:top w:w="100" w:type="dxa"/>
              <w:left w:w="100" w:type="dxa"/>
              <w:bottom w:w="100" w:type="dxa"/>
              <w:right w:w="100" w:type="dxa"/>
            </w:tcMar>
          </w:tcPr>
          <w:p w14:paraId="69B907E8"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3.834.946</w:t>
            </w:r>
          </w:p>
        </w:tc>
        <w:tc>
          <w:tcPr>
            <w:tcW w:w="1190" w:type="dxa"/>
            <w:shd w:val="clear" w:color="auto" w:fill="FFFFFF"/>
            <w:tcMar>
              <w:top w:w="100" w:type="dxa"/>
              <w:left w:w="100" w:type="dxa"/>
              <w:bottom w:w="100" w:type="dxa"/>
              <w:right w:w="100" w:type="dxa"/>
            </w:tcMar>
          </w:tcPr>
          <w:p w14:paraId="7A713A93"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2.850.701</w:t>
            </w:r>
          </w:p>
        </w:tc>
        <w:tc>
          <w:tcPr>
            <w:tcW w:w="1190" w:type="dxa"/>
            <w:shd w:val="clear" w:color="auto" w:fill="FFFFFF"/>
            <w:tcMar>
              <w:top w:w="100" w:type="dxa"/>
              <w:left w:w="100" w:type="dxa"/>
              <w:bottom w:w="100" w:type="dxa"/>
              <w:right w:w="100" w:type="dxa"/>
            </w:tcMar>
          </w:tcPr>
          <w:p w14:paraId="64E11DCC"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3.438.621</w:t>
            </w:r>
          </w:p>
        </w:tc>
        <w:tc>
          <w:tcPr>
            <w:tcW w:w="1190" w:type="dxa"/>
            <w:shd w:val="clear" w:color="auto" w:fill="FFFFFF"/>
            <w:tcMar>
              <w:top w:w="100" w:type="dxa"/>
              <w:left w:w="100" w:type="dxa"/>
              <w:bottom w:w="100" w:type="dxa"/>
              <w:right w:w="100" w:type="dxa"/>
            </w:tcMar>
          </w:tcPr>
          <w:p w14:paraId="2B4119D1"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3.481.817</w:t>
            </w:r>
          </w:p>
        </w:tc>
      </w:tr>
      <w:tr w:rsidR="00670FD4" w:rsidRPr="00D535CE" w14:paraId="20FCC0B0" w14:textId="77777777" w:rsidTr="001925BA">
        <w:trPr>
          <w:trHeight w:val="20"/>
        </w:trPr>
        <w:tc>
          <w:tcPr>
            <w:tcW w:w="3070" w:type="dxa"/>
            <w:shd w:val="clear" w:color="auto" w:fill="D9D9D9"/>
            <w:tcMar>
              <w:top w:w="100" w:type="dxa"/>
              <w:left w:w="100" w:type="dxa"/>
              <w:bottom w:w="100" w:type="dxa"/>
              <w:right w:w="100" w:type="dxa"/>
            </w:tcMar>
          </w:tcPr>
          <w:p w14:paraId="304CC8E0"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Echipamente, mașini</w:t>
            </w:r>
          </w:p>
        </w:tc>
        <w:tc>
          <w:tcPr>
            <w:tcW w:w="1190" w:type="dxa"/>
            <w:shd w:val="clear" w:color="auto" w:fill="FFFFFF"/>
            <w:tcMar>
              <w:top w:w="100" w:type="dxa"/>
              <w:left w:w="100" w:type="dxa"/>
              <w:bottom w:w="100" w:type="dxa"/>
              <w:right w:w="100" w:type="dxa"/>
            </w:tcMar>
          </w:tcPr>
          <w:p w14:paraId="0CC30030"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535.331</w:t>
            </w:r>
          </w:p>
        </w:tc>
        <w:tc>
          <w:tcPr>
            <w:tcW w:w="1190" w:type="dxa"/>
            <w:shd w:val="clear" w:color="auto" w:fill="FFFFFF"/>
            <w:tcMar>
              <w:top w:w="100" w:type="dxa"/>
              <w:left w:w="100" w:type="dxa"/>
              <w:bottom w:w="100" w:type="dxa"/>
              <w:right w:w="100" w:type="dxa"/>
            </w:tcMar>
          </w:tcPr>
          <w:p w14:paraId="2FEAD781"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376.115</w:t>
            </w:r>
          </w:p>
        </w:tc>
        <w:tc>
          <w:tcPr>
            <w:tcW w:w="1190" w:type="dxa"/>
            <w:shd w:val="clear" w:color="auto" w:fill="FFFFFF"/>
            <w:tcMar>
              <w:top w:w="100" w:type="dxa"/>
              <w:left w:w="100" w:type="dxa"/>
              <w:bottom w:w="100" w:type="dxa"/>
              <w:right w:w="100" w:type="dxa"/>
            </w:tcMar>
          </w:tcPr>
          <w:p w14:paraId="5F5A2DD4"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441.600</w:t>
            </w:r>
          </w:p>
        </w:tc>
        <w:tc>
          <w:tcPr>
            <w:tcW w:w="1190" w:type="dxa"/>
            <w:shd w:val="clear" w:color="auto" w:fill="FFFFFF"/>
            <w:tcMar>
              <w:top w:w="100" w:type="dxa"/>
              <w:left w:w="100" w:type="dxa"/>
              <w:bottom w:w="100" w:type="dxa"/>
              <w:right w:w="100" w:type="dxa"/>
            </w:tcMar>
          </w:tcPr>
          <w:p w14:paraId="219D002D"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433.666</w:t>
            </w:r>
          </w:p>
        </w:tc>
        <w:tc>
          <w:tcPr>
            <w:tcW w:w="1190" w:type="dxa"/>
            <w:shd w:val="clear" w:color="auto" w:fill="FFFFFF"/>
            <w:tcMar>
              <w:top w:w="100" w:type="dxa"/>
              <w:left w:w="100" w:type="dxa"/>
              <w:bottom w:w="100" w:type="dxa"/>
              <w:right w:w="100" w:type="dxa"/>
            </w:tcMar>
          </w:tcPr>
          <w:p w14:paraId="1F1C6FE1"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464.448</w:t>
            </w:r>
          </w:p>
        </w:tc>
      </w:tr>
      <w:tr w:rsidR="00670FD4" w:rsidRPr="00D535CE" w14:paraId="24E40B62" w14:textId="77777777" w:rsidTr="001925BA">
        <w:trPr>
          <w:trHeight w:val="20"/>
        </w:trPr>
        <w:tc>
          <w:tcPr>
            <w:tcW w:w="3070" w:type="dxa"/>
            <w:shd w:val="clear" w:color="auto" w:fill="D9D9D9"/>
            <w:tcMar>
              <w:top w:w="100" w:type="dxa"/>
              <w:left w:w="100" w:type="dxa"/>
              <w:bottom w:w="100" w:type="dxa"/>
              <w:right w:w="100" w:type="dxa"/>
            </w:tcMar>
          </w:tcPr>
          <w:p w14:paraId="1B78F163"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Îngrășăminte </w:t>
            </w:r>
          </w:p>
        </w:tc>
        <w:tc>
          <w:tcPr>
            <w:tcW w:w="1190" w:type="dxa"/>
            <w:shd w:val="clear" w:color="auto" w:fill="FFFFFF"/>
            <w:tcMar>
              <w:top w:w="100" w:type="dxa"/>
              <w:left w:w="100" w:type="dxa"/>
              <w:bottom w:w="100" w:type="dxa"/>
              <w:right w:w="100" w:type="dxa"/>
            </w:tcMar>
          </w:tcPr>
          <w:p w14:paraId="09D12774"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3.007.574</w:t>
            </w:r>
          </w:p>
        </w:tc>
        <w:tc>
          <w:tcPr>
            <w:tcW w:w="1190" w:type="dxa"/>
            <w:shd w:val="clear" w:color="auto" w:fill="FFFFFF"/>
            <w:tcMar>
              <w:top w:w="100" w:type="dxa"/>
              <w:left w:w="100" w:type="dxa"/>
              <w:bottom w:w="100" w:type="dxa"/>
              <w:right w:w="100" w:type="dxa"/>
            </w:tcMar>
          </w:tcPr>
          <w:p w14:paraId="37E3415E"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4.024.682</w:t>
            </w:r>
          </w:p>
        </w:tc>
        <w:tc>
          <w:tcPr>
            <w:tcW w:w="1190" w:type="dxa"/>
            <w:shd w:val="clear" w:color="auto" w:fill="FFFFFF"/>
            <w:tcMar>
              <w:top w:w="100" w:type="dxa"/>
              <w:left w:w="100" w:type="dxa"/>
              <w:bottom w:w="100" w:type="dxa"/>
              <w:right w:w="100" w:type="dxa"/>
            </w:tcMar>
          </w:tcPr>
          <w:p w14:paraId="244F7DC7"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4.420.218</w:t>
            </w:r>
          </w:p>
        </w:tc>
        <w:tc>
          <w:tcPr>
            <w:tcW w:w="1190" w:type="dxa"/>
            <w:shd w:val="clear" w:color="auto" w:fill="FFFFFF"/>
            <w:tcMar>
              <w:top w:w="100" w:type="dxa"/>
              <w:left w:w="100" w:type="dxa"/>
              <w:bottom w:w="100" w:type="dxa"/>
              <w:right w:w="100" w:type="dxa"/>
            </w:tcMar>
          </w:tcPr>
          <w:p w14:paraId="189911D6"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4.103.372</w:t>
            </w:r>
          </w:p>
        </w:tc>
        <w:tc>
          <w:tcPr>
            <w:tcW w:w="1190" w:type="dxa"/>
            <w:shd w:val="clear" w:color="auto" w:fill="FFFFFF"/>
            <w:tcMar>
              <w:top w:w="100" w:type="dxa"/>
              <w:left w:w="100" w:type="dxa"/>
              <w:bottom w:w="100" w:type="dxa"/>
              <w:right w:w="100" w:type="dxa"/>
            </w:tcMar>
          </w:tcPr>
          <w:p w14:paraId="434E10B7"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4.507.272</w:t>
            </w:r>
          </w:p>
        </w:tc>
      </w:tr>
      <w:tr w:rsidR="00670FD4" w:rsidRPr="00D535CE" w14:paraId="3F98B15C" w14:textId="77777777" w:rsidTr="001925BA">
        <w:trPr>
          <w:trHeight w:val="20"/>
        </w:trPr>
        <w:tc>
          <w:tcPr>
            <w:tcW w:w="3070" w:type="dxa"/>
            <w:shd w:val="clear" w:color="auto" w:fill="D9D9D9"/>
            <w:tcMar>
              <w:top w:w="100" w:type="dxa"/>
              <w:left w:w="100" w:type="dxa"/>
              <w:bottom w:w="100" w:type="dxa"/>
              <w:right w:w="100" w:type="dxa"/>
            </w:tcMar>
          </w:tcPr>
          <w:p w14:paraId="5B956C57"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Lemn și plută</w:t>
            </w:r>
          </w:p>
        </w:tc>
        <w:tc>
          <w:tcPr>
            <w:tcW w:w="1190" w:type="dxa"/>
            <w:shd w:val="clear" w:color="auto" w:fill="FFFFFF"/>
            <w:tcMar>
              <w:top w:w="100" w:type="dxa"/>
              <w:left w:w="100" w:type="dxa"/>
              <w:bottom w:w="100" w:type="dxa"/>
              <w:right w:w="100" w:type="dxa"/>
            </w:tcMar>
          </w:tcPr>
          <w:p w14:paraId="0E6A3939"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314.695</w:t>
            </w:r>
          </w:p>
        </w:tc>
        <w:tc>
          <w:tcPr>
            <w:tcW w:w="1190" w:type="dxa"/>
            <w:shd w:val="clear" w:color="auto" w:fill="FFFFFF"/>
            <w:tcMar>
              <w:top w:w="100" w:type="dxa"/>
              <w:left w:w="100" w:type="dxa"/>
              <w:bottom w:w="100" w:type="dxa"/>
              <w:right w:w="100" w:type="dxa"/>
            </w:tcMar>
          </w:tcPr>
          <w:p w14:paraId="1C21FD9A"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289.549</w:t>
            </w:r>
          </w:p>
        </w:tc>
        <w:tc>
          <w:tcPr>
            <w:tcW w:w="1190" w:type="dxa"/>
            <w:shd w:val="clear" w:color="auto" w:fill="FFFFFF"/>
            <w:tcMar>
              <w:top w:w="100" w:type="dxa"/>
              <w:left w:w="100" w:type="dxa"/>
              <w:bottom w:w="100" w:type="dxa"/>
              <w:right w:w="100" w:type="dxa"/>
            </w:tcMar>
          </w:tcPr>
          <w:p w14:paraId="5F0AB1C5"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227.098</w:t>
            </w:r>
          </w:p>
        </w:tc>
        <w:tc>
          <w:tcPr>
            <w:tcW w:w="1190" w:type="dxa"/>
            <w:shd w:val="clear" w:color="auto" w:fill="FFFFFF"/>
            <w:tcMar>
              <w:top w:w="100" w:type="dxa"/>
              <w:left w:w="100" w:type="dxa"/>
              <w:bottom w:w="100" w:type="dxa"/>
              <w:right w:w="100" w:type="dxa"/>
            </w:tcMar>
          </w:tcPr>
          <w:p w14:paraId="3852AE94"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411.763</w:t>
            </w:r>
          </w:p>
        </w:tc>
        <w:tc>
          <w:tcPr>
            <w:tcW w:w="1190" w:type="dxa"/>
            <w:shd w:val="clear" w:color="auto" w:fill="FFFFFF"/>
            <w:tcMar>
              <w:top w:w="100" w:type="dxa"/>
              <w:left w:w="100" w:type="dxa"/>
              <w:bottom w:w="100" w:type="dxa"/>
              <w:right w:w="100" w:type="dxa"/>
            </w:tcMar>
          </w:tcPr>
          <w:p w14:paraId="57003FB4" w14:textId="77777777" w:rsidR="00670FD4" w:rsidRPr="00D535CE" w:rsidRDefault="00670FD4" w:rsidP="001925BA">
            <w:pPr>
              <w:spacing w:after="0" w:line="240" w:lineRule="auto"/>
              <w:rPr>
                <w:rFonts w:eastAsia="Times New Roman" w:cs="Times New Roman"/>
                <w:sz w:val="22"/>
              </w:rPr>
            </w:pPr>
            <w:r w:rsidRPr="00D535CE">
              <w:rPr>
                <w:rFonts w:eastAsia="Times New Roman" w:cs="Times New Roman"/>
                <w:color w:val="212529"/>
                <w:sz w:val="22"/>
              </w:rPr>
              <w:t>386.329</w:t>
            </w:r>
          </w:p>
        </w:tc>
      </w:tr>
      <w:tr w:rsidR="00670FD4" w:rsidRPr="00D535CE" w14:paraId="36AAE58B" w14:textId="77777777" w:rsidTr="001925BA">
        <w:trPr>
          <w:trHeight w:val="20"/>
        </w:trPr>
        <w:tc>
          <w:tcPr>
            <w:tcW w:w="3070" w:type="dxa"/>
            <w:shd w:val="clear" w:color="auto" w:fill="D9D9D9"/>
            <w:tcMar>
              <w:top w:w="100" w:type="dxa"/>
              <w:left w:w="100" w:type="dxa"/>
              <w:bottom w:w="100" w:type="dxa"/>
              <w:right w:w="100" w:type="dxa"/>
            </w:tcMar>
          </w:tcPr>
          <w:p w14:paraId="5FD8EF83"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Minerale brute sau prelucrate</w:t>
            </w:r>
          </w:p>
        </w:tc>
        <w:tc>
          <w:tcPr>
            <w:tcW w:w="1190" w:type="dxa"/>
            <w:shd w:val="clear" w:color="auto" w:fill="FFFFFF"/>
            <w:tcMar>
              <w:top w:w="100" w:type="dxa"/>
              <w:left w:w="100" w:type="dxa"/>
              <w:bottom w:w="100" w:type="dxa"/>
              <w:right w:w="100" w:type="dxa"/>
            </w:tcMar>
          </w:tcPr>
          <w:p w14:paraId="20694D4F"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448.322</w:t>
            </w:r>
          </w:p>
        </w:tc>
        <w:tc>
          <w:tcPr>
            <w:tcW w:w="1190" w:type="dxa"/>
            <w:shd w:val="clear" w:color="auto" w:fill="FFFFFF"/>
            <w:tcMar>
              <w:top w:w="100" w:type="dxa"/>
              <w:left w:w="100" w:type="dxa"/>
              <w:bottom w:w="100" w:type="dxa"/>
              <w:right w:w="100" w:type="dxa"/>
            </w:tcMar>
          </w:tcPr>
          <w:p w14:paraId="02C78594"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615.906</w:t>
            </w:r>
          </w:p>
        </w:tc>
        <w:tc>
          <w:tcPr>
            <w:tcW w:w="1190" w:type="dxa"/>
            <w:shd w:val="clear" w:color="auto" w:fill="FFFFFF"/>
            <w:tcMar>
              <w:top w:w="100" w:type="dxa"/>
              <w:left w:w="100" w:type="dxa"/>
              <w:bottom w:w="100" w:type="dxa"/>
              <w:right w:w="100" w:type="dxa"/>
            </w:tcMar>
          </w:tcPr>
          <w:p w14:paraId="3B5C22E2"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594.396</w:t>
            </w:r>
          </w:p>
        </w:tc>
        <w:tc>
          <w:tcPr>
            <w:tcW w:w="1190" w:type="dxa"/>
            <w:shd w:val="clear" w:color="auto" w:fill="FFFFFF"/>
            <w:tcMar>
              <w:top w:w="100" w:type="dxa"/>
              <w:left w:w="100" w:type="dxa"/>
              <w:bottom w:w="100" w:type="dxa"/>
              <w:right w:w="100" w:type="dxa"/>
            </w:tcMar>
          </w:tcPr>
          <w:p w14:paraId="58B300B5"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892.854</w:t>
            </w:r>
          </w:p>
        </w:tc>
        <w:tc>
          <w:tcPr>
            <w:tcW w:w="1190" w:type="dxa"/>
            <w:shd w:val="clear" w:color="auto" w:fill="FFFFFF"/>
            <w:tcMar>
              <w:top w:w="100" w:type="dxa"/>
              <w:left w:w="100" w:type="dxa"/>
              <w:bottom w:w="100" w:type="dxa"/>
              <w:right w:w="100" w:type="dxa"/>
            </w:tcMar>
          </w:tcPr>
          <w:p w14:paraId="662F10F8"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1.223.515</w:t>
            </w:r>
          </w:p>
        </w:tc>
      </w:tr>
      <w:tr w:rsidR="00670FD4" w:rsidRPr="00D535CE" w14:paraId="3340EDD0" w14:textId="77777777" w:rsidTr="001925BA">
        <w:trPr>
          <w:trHeight w:val="20"/>
        </w:trPr>
        <w:tc>
          <w:tcPr>
            <w:tcW w:w="3070" w:type="dxa"/>
            <w:shd w:val="clear" w:color="auto" w:fill="D9D9D9"/>
            <w:tcMar>
              <w:top w:w="100" w:type="dxa"/>
              <w:left w:w="100" w:type="dxa"/>
              <w:bottom w:w="100" w:type="dxa"/>
              <w:right w:w="100" w:type="dxa"/>
            </w:tcMar>
          </w:tcPr>
          <w:p w14:paraId="5534CB1A"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Minereuri de fier, deșeuri de fier și oțel</w:t>
            </w:r>
          </w:p>
        </w:tc>
        <w:tc>
          <w:tcPr>
            <w:tcW w:w="1190" w:type="dxa"/>
            <w:shd w:val="clear" w:color="auto" w:fill="FFFFFF"/>
            <w:tcMar>
              <w:top w:w="100" w:type="dxa"/>
              <w:left w:w="100" w:type="dxa"/>
              <w:bottom w:w="100" w:type="dxa"/>
              <w:right w:w="100" w:type="dxa"/>
            </w:tcMar>
          </w:tcPr>
          <w:p w14:paraId="65609AD4"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4.521.893</w:t>
            </w:r>
          </w:p>
        </w:tc>
        <w:tc>
          <w:tcPr>
            <w:tcW w:w="1190" w:type="dxa"/>
            <w:shd w:val="clear" w:color="auto" w:fill="FFFFFF"/>
            <w:tcMar>
              <w:top w:w="100" w:type="dxa"/>
              <w:left w:w="100" w:type="dxa"/>
              <w:bottom w:w="100" w:type="dxa"/>
              <w:right w:w="100" w:type="dxa"/>
            </w:tcMar>
          </w:tcPr>
          <w:p w14:paraId="4620B6EB"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5.189.807</w:t>
            </w:r>
          </w:p>
        </w:tc>
        <w:tc>
          <w:tcPr>
            <w:tcW w:w="1190" w:type="dxa"/>
            <w:shd w:val="clear" w:color="auto" w:fill="FFFFFF"/>
            <w:tcMar>
              <w:top w:w="100" w:type="dxa"/>
              <w:left w:w="100" w:type="dxa"/>
              <w:bottom w:w="100" w:type="dxa"/>
              <w:right w:w="100" w:type="dxa"/>
            </w:tcMar>
          </w:tcPr>
          <w:p w14:paraId="70163188"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3.868.790</w:t>
            </w:r>
          </w:p>
        </w:tc>
        <w:tc>
          <w:tcPr>
            <w:tcW w:w="1190" w:type="dxa"/>
            <w:shd w:val="clear" w:color="auto" w:fill="FFFFFF"/>
            <w:tcMar>
              <w:top w:w="100" w:type="dxa"/>
              <w:left w:w="100" w:type="dxa"/>
              <w:bottom w:w="100" w:type="dxa"/>
              <w:right w:w="100" w:type="dxa"/>
            </w:tcMar>
          </w:tcPr>
          <w:p w14:paraId="1E771848"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4.766.262</w:t>
            </w:r>
          </w:p>
        </w:tc>
        <w:tc>
          <w:tcPr>
            <w:tcW w:w="1190" w:type="dxa"/>
            <w:shd w:val="clear" w:color="auto" w:fill="FFFFFF"/>
            <w:tcMar>
              <w:top w:w="100" w:type="dxa"/>
              <w:left w:w="100" w:type="dxa"/>
              <w:bottom w:w="100" w:type="dxa"/>
              <w:right w:w="100" w:type="dxa"/>
            </w:tcMar>
          </w:tcPr>
          <w:p w14:paraId="59EB4EF5"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7.002.094</w:t>
            </w:r>
          </w:p>
        </w:tc>
      </w:tr>
      <w:tr w:rsidR="00670FD4" w:rsidRPr="00D535CE" w14:paraId="7D6A1530" w14:textId="77777777" w:rsidTr="001925BA">
        <w:trPr>
          <w:trHeight w:val="20"/>
        </w:trPr>
        <w:tc>
          <w:tcPr>
            <w:tcW w:w="3070" w:type="dxa"/>
            <w:shd w:val="clear" w:color="auto" w:fill="D9D9D9"/>
            <w:tcMar>
              <w:top w:w="100" w:type="dxa"/>
              <w:left w:w="100" w:type="dxa"/>
              <w:bottom w:w="100" w:type="dxa"/>
              <w:right w:w="100" w:type="dxa"/>
            </w:tcMar>
          </w:tcPr>
          <w:p w14:paraId="5CF0121D"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Minereuri și deșeuri neferoase</w:t>
            </w:r>
          </w:p>
        </w:tc>
        <w:tc>
          <w:tcPr>
            <w:tcW w:w="1190" w:type="dxa"/>
            <w:shd w:val="clear" w:color="auto" w:fill="FFFFFF"/>
            <w:tcMar>
              <w:top w:w="100" w:type="dxa"/>
              <w:left w:w="100" w:type="dxa"/>
              <w:bottom w:w="100" w:type="dxa"/>
              <w:right w:w="100" w:type="dxa"/>
            </w:tcMar>
          </w:tcPr>
          <w:p w14:paraId="00F3BC4E"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3.976.068</w:t>
            </w:r>
          </w:p>
        </w:tc>
        <w:tc>
          <w:tcPr>
            <w:tcW w:w="1190" w:type="dxa"/>
            <w:shd w:val="clear" w:color="auto" w:fill="FFFFFF"/>
            <w:tcMar>
              <w:top w:w="100" w:type="dxa"/>
              <w:left w:w="100" w:type="dxa"/>
              <w:bottom w:w="100" w:type="dxa"/>
              <w:right w:w="100" w:type="dxa"/>
            </w:tcMar>
          </w:tcPr>
          <w:p w14:paraId="218BA0AE"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3.861.530</w:t>
            </w:r>
          </w:p>
        </w:tc>
        <w:tc>
          <w:tcPr>
            <w:tcW w:w="1190" w:type="dxa"/>
            <w:shd w:val="clear" w:color="auto" w:fill="FFFFFF"/>
            <w:tcMar>
              <w:top w:w="100" w:type="dxa"/>
              <w:left w:w="100" w:type="dxa"/>
              <w:bottom w:w="100" w:type="dxa"/>
              <w:right w:w="100" w:type="dxa"/>
            </w:tcMar>
          </w:tcPr>
          <w:p w14:paraId="049FEA5D"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2.276.486</w:t>
            </w:r>
          </w:p>
        </w:tc>
        <w:tc>
          <w:tcPr>
            <w:tcW w:w="1190" w:type="dxa"/>
            <w:shd w:val="clear" w:color="auto" w:fill="FFFFFF"/>
            <w:tcMar>
              <w:top w:w="100" w:type="dxa"/>
              <w:left w:w="100" w:type="dxa"/>
              <w:bottom w:w="100" w:type="dxa"/>
              <w:right w:w="100" w:type="dxa"/>
            </w:tcMar>
          </w:tcPr>
          <w:p w14:paraId="05EEA4C7"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3.150.187</w:t>
            </w:r>
          </w:p>
        </w:tc>
        <w:tc>
          <w:tcPr>
            <w:tcW w:w="1190" w:type="dxa"/>
            <w:shd w:val="clear" w:color="auto" w:fill="FFFFFF"/>
            <w:tcMar>
              <w:top w:w="100" w:type="dxa"/>
              <w:left w:w="100" w:type="dxa"/>
              <w:bottom w:w="100" w:type="dxa"/>
              <w:right w:w="100" w:type="dxa"/>
            </w:tcMar>
          </w:tcPr>
          <w:p w14:paraId="2F341DDB"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953.943</w:t>
            </w:r>
          </w:p>
        </w:tc>
      </w:tr>
      <w:tr w:rsidR="00670FD4" w:rsidRPr="00D535CE" w14:paraId="3809FE92" w14:textId="77777777" w:rsidTr="001925BA">
        <w:trPr>
          <w:trHeight w:val="20"/>
        </w:trPr>
        <w:tc>
          <w:tcPr>
            <w:tcW w:w="3070" w:type="dxa"/>
            <w:shd w:val="clear" w:color="auto" w:fill="D9D9D9"/>
            <w:tcMar>
              <w:top w:w="100" w:type="dxa"/>
              <w:left w:w="100" w:type="dxa"/>
              <w:bottom w:w="100" w:type="dxa"/>
              <w:right w:w="100" w:type="dxa"/>
            </w:tcMar>
          </w:tcPr>
          <w:p w14:paraId="69BBC497"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Petrol brut</w:t>
            </w:r>
          </w:p>
        </w:tc>
        <w:tc>
          <w:tcPr>
            <w:tcW w:w="1190" w:type="dxa"/>
            <w:shd w:val="clear" w:color="auto" w:fill="FFFFFF"/>
            <w:tcMar>
              <w:top w:w="100" w:type="dxa"/>
              <w:left w:w="100" w:type="dxa"/>
              <w:bottom w:w="100" w:type="dxa"/>
              <w:right w:w="100" w:type="dxa"/>
            </w:tcMar>
          </w:tcPr>
          <w:p w14:paraId="6371B789"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7.475.408</w:t>
            </w:r>
          </w:p>
        </w:tc>
        <w:tc>
          <w:tcPr>
            <w:tcW w:w="1190" w:type="dxa"/>
            <w:shd w:val="clear" w:color="auto" w:fill="FFFFFF"/>
            <w:tcMar>
              <w:top w:w="100" w:type="dxa"/>
              <w:left w:w="100" w:type="dxa"/>
              <w:bottom w:w="100" w:type="dxa"/>
              <w:right w:w="100" w:type="dxa"/>
            </w:tcMar>
          </w:tcPr>
          <w:p w14:paraId="1C9AE514"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8.027.409</w:t>
            </w:r>
          </w:p>
        </w:tc>
        <w:tc>
          <w:tcPr>
            <w:tcW w:w="1190" w:type="dxa"/>
            <w:shd w:val="clear" w:color="auto" w:fill="FFFFFF"/>
            <w:tcMar>
              <w:top w:w="100" w:type="dxa"/>
              <w:left w:w="100" w:type="dxa"/>
              <w:bottom w:w="100" w:type="dxa"/>
              <w:right w:w="100" w:type="dxa"/>
            </w:tcMar>
          </w:tcPr>
          <w:p w14:paraId="7D52EFBA"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6.638.429</w:t>
            </w:r>
          </w:p>
        </w:tc>
        <w:tc>
          <w:tcPr>
            <w:tcW w:w="1190" w:type="dxa"/>
            <w:shd w:val="clear" w:color="auto" w:fill="FFFFFF"/>
            <w:tcMar>
              <w:top w:w="100" w:type="dxa"/>
              <w:left w:w="100" w:type="dxa"/>
              <w:bottom w:w="100" w:type="dxa"/>
              <w:right w:w="100" w:type="dxa"/>
            </w:tcMar>
          </w:tcPr>
          <w:p w14:paraId="71C3AD00"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6.715.111</w:t>
            </w:r>
          </w:p>
        </w:tc>
        <w:tc>
          <w:tcPr>
            <w:tcW w:w="1190" w:type="dxa"/>
            <w:shd w:val="clear" w:color="auto" w:fill="FFFFFF"/>
            <w:tcMar>
              <w:top w:w="100" w:type="dxa"/>
              <w:left w:w="100" w:type="dxa"/>
              <w:bottom w:w="100" w:type="dxa"/>
              <w:right w:w="100" w:type="dxa"/>
            </w:tcMar>
          </w:tcPr>
          <w:p w14:paraId="7AD0D1B5"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9.512.520</w:t>
            </w:r>
          </w:p>
        </w:tc>
      </w:tr>
      <w:tr w:rsidR="00670FD4" w:rsidRPr="00D535CE" w14:paraId="35A7012B" w14:textId="77777777" w:rsidTr="001925BA">
        <w:trPr>
          <w:trHeight w:val="20"/>
        </w:trPr>
        <w:tc>
          <w:tcPr>
            <w:tcW w:w="3070" w:type="dxa"/>
            <w:shd w:val="clear" w:color="auto" w:fill="D9D9D9"/>
            <w:tcMar>
              <w:top w:w="100" w:type="dxa"/>
              <w:left w:w="100" w:type="dxa"/>
              <w:bottom w:w="100" w:type="dxa"/>
              <w:right w:w="100" w:type="dxa"/>
            </w:tcMar>
          </w:tcPr>
          <w:p w14:paraId="7277FD94"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Piele, textile și confecții</w:t>
            </w:r>
          </w:p>
        </w:tc>
        <w:tc>
          <w:tcPr>
            <w:tcW w:w="1190" w:type="dxa"/>
            <w:shd w:val="clear" w:color="auto" w:fill="FFFFFF"/>
            <w:tcMar>
              <w:top w:w="100" w:type="dxa"/>
              <w:left w:w="100" w:type="dxa"/>
              <w:bottom w:w="100" w:type="dxa"/>
              <w:right w:w="100" w:type="dxa"/>
            </w:tcMar>
          </w:tcPr>
          <w:p w14:paraId="00480F1B"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3.344</w:t>
            </w:r>
          </w:p>
        </w:tc>
        <w:tc>
          <w:tcPr>
            <w:tcW w:w="1190" w:type="dxa"/>
            <w:shd w:val="clear" w:color="auto" w:fill="FFFFFF"/>
            <w:tcMar>
              <w:top w:w="100" w:type="dxa"/>
              <w:left w:w="100" w:type="dxa"/>
              <w:bottom w:w="100" w:type="dxa"/>
              <w:right w:w="100" w:type="dxa"/>
            </w:tcMar>
          </w:tcPr>
          <w:p w14:paraId="6778277E"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1.608</w:t>
            </w:r>
          </w:p>
        </w:tc>
        <w:tc>
          <w:tcPr>
            <w:tcW w:w="1190" w:type="dxa"/>
            <w:shd w:val="clear" w:color="auto" w:fill="FFFFFF"/>
            <w:tcMar>
              <w:top w:w="100" w:type="dxa"/>
              <w:left w:w="100" w:type="dxa"/>
              <w:bottom w:w="100" w:type="dxa"/>
              <w:right w:w="100" w:type="dxa"/>
            </w:tcMar>
          </w:tcPr>
          <w:p w14:paraId="078FFED2" w14:textId="77777777" w:rsidR="00670FD4" w:rsidRPr="00D535CE" w:rsidRDefault="00670FD4" w:rsidP="001925BA">
            <w:pPr>
              <w:spacing w:after="0" w:line="240" w:lineRule="auto"/>
              <w:rPr>
                <w:rFonts w:eastAsia="Times New Roman" w:cs="Times New Roman"/>
                <w:sz w:val="22"/>
              </w:rPr>
            </w:pPr>
            <w:r w:rsidRPr="00D535CE">
              <w:rPr>
                <w:rFonts w:eastAsia="Times New Roman" w:cs="Times New Roman"/>
                <w:color w:val="212529"/>
                <w:sz w:val="22"/>
              </w:rPr>
              <w:t>0</w:t>
            </w:r>
          </w:p>
        </w:tc>
        <w:tc>
          <w:tcPr>
            <w:tcW w:w="1190" w:type="dxa"/>
            <w:shd w:val="clear" w:color="auto" w:fill="FFFFFF"/>
            <w:tcMar>
              <w:top w:w="100" w:type="dxa"/>
              <w:left w:w="100" w:type="dxa"/>
              <w:bottom w:w="100" w:type="dxa"/>
              <w:right w:w="100" w:type="dxa"/>
            </w:tcMar>
          </w:tcPr>
          <w:p w14:paraId="3A2F6B52"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0</w:t>
            </w:r>
          </w:p>
        </w:tc>
        <w:tc>
          <w:tcPr>
            <w:tcW w:w="1190" w:type="dxa"/>
            <w:shd w:val="clear" w:color="auto" w:fill="FFFFFF"/>
            <w:tcMar>
              <w:top w:w="100" w:type="dxa"/>
              <w:left w:w="100" w:type="dxa"/>
              <w:bottom w:w="100" w:type="dxa"/>
              <w:right w:w="100" w:type="dxa"/>
            </w:tcMar>
          </w:tcPr>
          <w:p w14:paraId="483508FF"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24.118</w:t>
            </w:r>
          </w:p>
        </w:tc>
      </w:tr>
      <w:tr w:rsidR="00670FD4" w:rsidRPr="00D535CE" w14:paraId="116A907F" w14:textId="77777777" w:rsidTr="001925BA">
        <w:trPr>
          <w:trHeight w:val="20"/>
        </w:trPr>
        <w:tc>
          <w:tcPr>
            <w:tcW w:w="3070" w:type="dxa"/>
            <w:shd w:val="clear" w:color="auto" w:fill="D9D9D9"/>
            <w:tcMar>
              <w:top w:w="100" w:type="dxa"/>
              <w:left w:w="100" w:type="dxa"/>
              <w:bottom w:w="100" w:type="dxa"/>
              <w:right w:w="100" w:type="dxa"/>
            </w:tcMar>
          </w:tcPr>
          <w:p w14:paraId="62E4A2FD"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Produse alimentare, nutrețuri pentru animale</w:t>
            </w:r>
          </w:p>
        </w:tc>
        <w:tc>
          <w:tcPr>
            <w:tcW w:w="1190" w:type="dxa"/>
            <w:shd w:val="clear" w:color="auto" w:fill="FFFFFF"/>
            <w:tcMar>
              <w:top w:w="100" w:type="dxa"/>
              <w:left w:w="100" w:type="dxa"/>
              <w:bottom w:w="100" w:type="dxa"/>
              <w:right w:w="100" w:type="dxa"/>
            </w:tcMar>
          </w:tcPr>
          <w:p w14:paraId="784DB1FA"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167.256</w:t>
            </w:r>
          </w:p>
        </w:tc>
        <w:tc>
          <w:tcPr>
            <w:tcW w:w="1190" w:type="dxa"/>
            <w:shd w:val="clear" w:color="auto" w:fill="FFFFFF"/>
            <w:tcMar>
              <w:top w:w="100" w:type="dxa"/>
              <w:left w:w="100" w:type="dxa"/>
              <w:bottom w:w="100" w:type="dxa"/>
              <w:right w:w="100" w:type="dxa"/>
            </w:tcMar>
          </w:tcPr>
          <w:p w14:paraId="57B1BD81"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349.544</w:t>
            </w:r>
          </w:p>
        </w:tc>
        <w:tc>
          <w:tcPr>
            <w:tcW w:w="1190" w:type="dxa"/>
            <w:shd w:val="clear" w:color="auto" w:fill="FFFFFF"/>
            <w:tcMar>
              <w:top w:w="100" w:type="dxa"/>
              <w:left w:w="100" w:type="dxa"/>
              <w:bottom w:w="100" w:type="dxa"/>
              <w:right w:w="100" w:type="dxa"/>
            </w:tcMar>
          </w:tcPr>
          <w:p w14:paraId="58BFD71A"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286.356</w:t>
            </w:r>
          </w:p>
        </w:tc>
        <w:tc>
          <w:tcPr>
            <w:tcW w:w="1190" w:type="dxa"/>
            <w:shd w:val="clear" w:color="auto" w:fill="FFFFFF"/>
            <w:tcMar>
              <w:top w:w="100" w:type="dxa"/>
              <w:left w:w="100" w:type="dxa"/>
              <w:bottom w:w="100" w:type="dxa"/>
              <w:right w:w="100" w:type="dxa"/>
            </w:tcMar>
          </w:tcPr>
          <w:p w14:paraId="52ABE719"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321.015</w:t>
            </w:r>
          </w:p>
        </w:tc>
        <w:tc>
          <w:tcPr>
            <w:tcW w:w="1190" w:type="dxa"/>
            <w:shd w:val="clear" w:color="auto" w:fill="FFFFFF"/>
            <w:tcMar>
              <w:top w:w="100" w:type="dxa"/>
              <w:left w:w="100" w:type="dxa"/>
              <w:bottom w:w="100" w:type="dxa"/>
              <w:right w:w="100" w:type="dxa"/>
            </w:tcMar>
          </w:tcPr>
          <w:p w14:paraId="27CD7E14"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308.465</w:t>
            </w:r>
          </w:p>
        </w:tc>
      </w:tr>
      <w:tr w:rsidR="00670FD4" w:rsidRPr="00D535CE" w14:paraId="65A427D1" w14:textId="77777777" w:rsidTr="001925BA">
        <w:trPr>
          <w:trHeight w:val="20"/>
        </w:trPr>
        <w:tc>
          <w:tcPr>
            <w:tcW w:w="3070" w:type="dxa"/>
            <w:shd w:val="clear" w:color="auto" w:fill="D9D9D9"/>
            <w:tcMar>
              <w:top w:w="100" w:type="dxa"/>
              <w:left w:w="100" w:type="dxa"/>
              <w:bottom w:w="100" w:type="dxa"/>
              <w:right w:w="100" w:type="dxa"/>
            </w:tcMar>
          </w:tcPr>
          <w:p w14:paraId="403619B3"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Produse chimice altele</w:t>
            </w:r>
          </w:p>
        </w:tc>
        <w:tc>
          <w:tcPr>
            <w:tcW w:w="1190" w:type="dxa"/>
            <w:shd w:val="clear" w:color="auto" w:fill="FFFFFF"/>
            <w:tcMar>
              <w:top w:w="100" w:type="dxa"/>
              <w:left w:w="100" w:type="dxa"/>
              <w:bottom w:w="100" w:type="dxa"/>
              <w:right w:w="100" w:type="dxa"/>
            </w:tcMar>
          </w:tcPr>
          <w:p w14:paraId="7684BF64"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590.365</w:t>
            </w:r>
          </w:p>
        </w:tc>
        <w:tc>
          <w:tcPr>
            <w:tcW w:w="1190" w:type="dxa"/>
            <w:shd w:val="clear" w:color="auto" w:fill="FFFFFF"/>
            <w:tcMar>
              <w:top w:w="100" w:type="dxa"/>
              <w:left w:w="100" w:type="dxa"/>
              <w:bottom w:w="100" w:type="dxa"/>
              <w:right w:w="100" w:type="dxa"/>
            </w:tcMar>
          </w:tcPr>
          <w:p w14:paraId="5DAF5796"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537.533</w:t>
            </w:r>
          </w:p>
        </w:tc>
        <w:tc>
          <w:tcPr>
            <w:tcW w:w="1190" w:type="dxa"/>
            <w:shd w:val="clear" w:color="auto" w:fill="FFFFFF"/>
            <w:tcMar>
              <w:top w:w="100" w:type="dxa"/>
              <w:left w:w="100" w:type="dxa"/>
              <w:bottom w:w="100" w:type="dxa"/>
              <w:right w:w="100" w:type="dxa"/>
            </w:tcMar>
          </w:tcPr>
          <w:p w14:paraId="2AC003DD"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713.346</w:t>
            </w:r>
          </w:p>
        </w:tc>
        <w:tc>
          <w:tcPr>
            <w:tcW w:w="1190" w:type="dxa"/>
            <w:shd w:val="clear" w:color="auto" w:fill="FFFFFF"/>
            <w:tcMar>
              <w:top w:w="100" w:type="dxa"/>
              <w:left w:w="100" w:type="dxa"/>
              <w:bottom w:w="100" w:type="dxa"/>
              <w:right w:w="100" w:type="dxa"/>
            </w:tcMar>
          </w:tcPr>
          <w:p w14:paraId="2360FE1E"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642.977</w:t>
            </w:r>
          </w:p>
        </w:tc>
        <w:tc>
          <w:tcPr>
            <w:tcW w:w="1190" w:type="dxa"/>
            <w:shd w:val="clear" w:color="auto" w:fill="FFFFFF"/>
            <w:tcMar>
              <w:top w:w="100" w:type="dxa"/>
              <w:left w:w="100" w:type="dxa"/>
              <w:bottom w:w="100" w:type="dxa"/>
              <w:right w:w="100" w:type="dxa"/>
            </w:tcMar>
          </w:tcPr>
          <w:p w14:paraId="5B018DA7"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676.993</w:t>
            </w:r>
          </w:p>
        </w:tc>
      </w:tr>
      <w:tr w:rsidR="00670FD4" w:rsidRPr="00D535CE" w14:paraId="67F76761" w14:textId="77777777" w:rsidTr="001925BA">
        <w:trPr>
          <w:trHeight w:val="20"/>
        </w:trPr>
        <w:tc>
          <w:tcPr>
            <w:tcW w:w="3070" w:type="dxa"/>
            <w:shd w:val="clear" w:color="auto" w:fill="D9D9D9"/>
            <w:tcMar>
              <w:top w:w="100" w:type="dxa"/>
              <w:left w:w="100" w:type="dxa"/>
              <w:bottom w:w="100" w:type="dxa"/>
              <w:right w:w="100" w:type="dxa"/>
            </w:tcMar>
          </w:tcPr>
          <w:p w14:paraId="65986932"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Produse chimice derivate din cărbuni și gudron</w:t>
            </w:r>
          </w:p>
        </w:tc>
        <w:tc>
          <w:tcPr>
            <w:tcW w:w="1190" w:type="dxa"/>
            <w:shd w:val="clear" w:color="auto" w:fill="FFFFFF"/>
            <w:tcMar>
              <w:top w:w="100" w:type="dxa"/>
              <w:left w:w="100" w:type="dxa"/>
              <w:bottom w:w="100" w:type="dxa"/>
              <w:right w:w="100" w:type="dxa"/>
            </w:tcMar>
          </w:tcPr>
          <w:p w14:paraId="23088F10"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167.805</w:t>
            </w:r>
          </w:p>
        </w:tc>
        <w:tc>
          <w:tcPr>
            <w:tcW w:w="1190" w:type="dxa"/>
            <w:shd w:val="clear" w:color="auto" w:fill="FFFFFF"/>
            <w:tcMar>
              <w:top w:w="100" w:type="dxa"/>
              <w:left w:w="100" w:type="dxa"/>
              <w:bottom w:w="100" w:type="dxa"/>
              <w:right w:w="100" w:type="dxa"/>
            </w:tcMar>
          </w:tcPr>
          <w:p w14:paraId="1A6521DF"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102.722</w:t>
            </w:r>
          </w:p>
        </w:tc>
        <w:tc>
          <w:tcPr>
            <w:tcW w:w="1190" w:type="dxa"/>
            <w:shd w:val="clear" w:color="auto" w:fill="FFFFFF"/>
            <w:tcMar>
              <w:top w:w="100" w:type="dxa"/>
              <w:left w:w="100" w:type="dxa"/>
              <w:bottom w:w="100" w:type="dxa"/>
              <w:right w:w="100" w:type="dxa"/>
            </w:tcMar>
          </w:tcPr>
          <w:p w14:paraId="34D11F4F"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110.015</w:t>
            </w:r>
          </w:p>
        </w:tc>
        <w:tc>
          <w:tcPr>
            <w:tcW w:w="1190" w:type="dxa"/>
            <w:shd w:val="clear" w:color="auto" w:fill="FFFFFF"/>
            <w:tcMar>
              <w:top w:w="100" w:type="dxa"/>
              <w:left w:w="100" w:type="dxa"/>
              <w:bottom w:w="100" w:type="dxa"/>
              <w:right w:w="100" w:type="dxa"/>
            </w:tcMar>
          </w:tcPr>
          <w:p w14:paraId="55AAF57C"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90.339</w:t>
            </w:r>
          </w:p>
        </w:tc>
        <w:tc>
          <w:tcPr>
            <w:tcW w:w="1190" w:type="dxa"/>
            <w:shd w:val="clear" w:color="auto" w:fill="FFFFFF"/>
            <w:tcMar>
              <w:top w:w="100" w:type="dxa"/>
              <w:left w:w="100" w:type="dxa"/>
              <w:bottom w:w="100" w:type="dxa"/>
              <w:right w:w="100" w:type="dxa"/>
            </w:tcMar>
          </w:tcPr>
          <w:p w14:paraId="1A988372"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124.405</w:t>
            </w:r>
          </w:p>
        </w:tc>
      </w:tr>
      <w:tr w:rsidR="00670FD4" w:rsidRPr="00D535CE" w14:paraId="7FF7B328" w14:textId="77777777" w:rsidTr="001925BA">
        <w:trPr>
          <w:trHeight w:val="20"/>
        </w:trPr>
        <w:tc>
          <w:tcPr>
            <w:tcW w:w="3070" w:type="dxa"/>
            <w:shd w:val="clear" w:color="auto" w:fill="D9D9D9"/>
            <w:tcMar>
              <w:top w:w="100" w:type="dxa"/>
              <w:left w:w="100" w:type="dxa"/>
              <w:bottom w:w="100" w:type="dxa"/>
              <w:right w:w="100" w:type="dxa"/>
            </w:tcMar>
          </w:tcPr>
          <w:p w14:paraId="1945F292"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Produse metalice</w:t>
            </w:r>
          </w:p>
        </w:tc>
        <w:tc>
          <w:tcPr>
            <w:tcW w:w="1190" w:type="dxa"/>
            <w:shd w:val="clear" w:color="auto" w:fill="FFFFFF"/>
            <w:tcMar>
              <w:top w:w="100" w:type="dxa"/>
              <w:left w:w="100" w:type="dxa"/>
              <w:bottom w:w="100" w:type="dxa"/>
              <w:right w:w="100" w:type="dxa"/>
            </w:tcMar>
          </w:tcPr>
          <w:p w14:paraId="2B7787F5"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2.287.151</w:t>
            </w:r>
          </w:p>
        </w:tc>
        <w:tc>
          <w:tcPr>
            <w:tcW w:w="1190" w:type="dxa"/>
            <w:shd w:val="clear" w:color="auto" w:fill="FFFFFF"/>
            <w:tcMar>
              <w:top w:w="100" w:type="dxa"/>
              <w:left w:w="100" w:type="dxa"/>
              <w:bottom w:w="100" w:type="dxa"/>
              <w:right w:w="100" w:type="dxa"/>
            </w:tcMar>
          </w:tcPr>
          <w:p w14:paraId="23A78F55"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2.529.108</w:t>
            </w:r>
          </w:p>
        </w:tc>
        <w:tc>
          <w:tcPr>
            <w:tcW w:w="1190" w:type="dxa"/>
            <w:shd w:val="clear" w:color="auto" w:fill="FFFFFF"/>
            <w:tcMar>
              <w:top w:w="100" w:type="dxa"/>
              <w:left w:w="100" w:type="dxa"/>
              <w:bottom w:w="100" w:type="dxa"/>
              <w:right w:w="100" w:type="dxa"/>
            </w:tcMar>
          </w:tcPr>
          <w:p w14:paraId="6E3274BC"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1.953.551</w:t>
            </w:r>
          </w:p>
        </w:tc>
        <w:tc>
          <w:tcPr>
            <w:tcW w:w="1190" w:type="dxa"/>
            <w:shd w:val="clear" w:color="auto" w:fill="FFFFFF"/>
            <w:tcMar>
              <w:top w:w="100" w:type="dxa"/>
              <w:left w:w="100" w:type="dxa"/>
              <w:bottom w:w="100" w:type="dxa"/>
              <w:right w:w="100" w:type="dxa"/>
            </w:tcMar>
          </w:tcPr>
          <w:p w14:paraId="20B54DBB"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2.502.520</w:t>
            </w:r>
          </w:p>
        </w:tc>
        <w:tc>
          <w:tcPr>
            <w:tcW w:w="1190" w:type="dxa"/>
            <w:shd w:val="clear" w:color="auto" w:fill="FFFFFF"/>
            <w:tcMar>
              <w:top w:w="100" w:type="dxa"/>
              <w:left w:w="100" w:type="dxa"/>
              <w:bottom w:w="100" w:type="dxa"/>
              <w:right w:w="100" w:type="dxa"/>
            </w:tcMar>
          </w:tcPr>
          <w:p w14:paraId="6673B51B"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3.225.583</w:t>
            </w:r>
          </w:p>
        </w:tc>
      </w:tr>
      <w:tr w:rsidR="00670FD4" w:rsidRPr="00D535CE" w14:paraId="6E4E2416" w14:textId="77777777" w:rsidTr="001925BA">
        <w:trPr>
          <w:trHeight w:val="20"/>
        </w:trPr>
        <w:tc>
          <w:tcPr>
            <w:tcW w:w="3070" w:type="dxa"/>
            <w:shd w:val="clear" w:color="auto" w:fill="D9D9D9"/>
            <w:tcMar>
              <w:top w:w="100" w:type="dxa"/>
              <w:left w:w="100" w:type="dxa"/>
              <w:bottom w:w="100" w:type="dxa"/>
              <w:right w:w="100" w:type="dxa"/>
            </w:tcMar>
          </w:tcPr>
          <w:p w14:paraId="5CA10A61"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lastRenderedPageBreak/>
              <w:t>Produse petroliere</w:t>
            </w:r>
          </w:p>
        </w:tc>
        <w:tc>
          <w:tcPr>
            <w:tcW w:w="1190" w:type="dxa"/>
            <w:shd w:val="clear" w:color="auto" w:fill="FFFFFF"/>
            <w:tcMar>
              <w:top w:w="100" w:type="dxa"/>
              <w:left w:w="100" w:type="dxa"/>
              <w:bottom w:w="100" w:type="dxa"/>
              <w:right w:w="100" w:type="dxa"/>
            </w:tcMar>
          </w:tcPr>
          <w:p w14:paraId="29180707"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5.897.915</w:t>
            </w:r>
          </w:p>
        </w:tc>
        <w:tc>
          <w:tcPr>
            <w:tcW w:w="1190" w:type="dxa"/>
            <w:shd w:val="clear" w:color="auto" w:fill="FFFFFF"/>
            <w:tcMar>
              <w:top w:w="100" w:type="dxa"/>
              <w:left w:w="100" w:type="dxa"/>
              <w:bottom w:w="100" w:type="dxa"/>
              <w:right w:w="100" w:type="dxa"/>
            </w:tcMar>
          </w:tcPr>
          <w:p w14:paraId="19D25E94"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6.296.060</w:t>
            </w:r>
          </w:p>
        </w:tc>
        <w:tc>
          <w:tcPr>
            <w:tcW w:w="1190" w:type="dxa"/>
            <w:shd w:val="clear" w:color="auto" w:fill="FFFFFF"/>
            <w:tcMar>
              <w:top w:w="100" w:type="dxa"/>
              <w:left w:w="100" w:type="dxa"/>
              <w:bottom w:w="100" w:type="dxa"/>
              <w:right w:w="100" w:type="dxa"/>
            </w:tcMar>
          </w:tcPr>
          <w:p w14:paraId="36830EBC"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5.042.322</w:t>
            </w:r>
          </w:p>
        </w:tc>
        <w:tc>
          <w:tcPr>
            <w:tcW w:w="1190" w:type="dxa"/>
            <w:shd w:val="clear" w:color="auto" w:fill="FFFFFF"/>
            <w:tcMar>
              <w:top w:w="100" w:type="dxa"/>
              <w:left w:w="100" w:type="dxa"/>
              <w:bottom w:w="100" w:type="dxa"/>
              <w:right w:w="100" w:type="dxa"/>
            </w:tcMar>
          </w:tcPr>
          <w:p w14:paraId="5CD91A43"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5.438.743</w:t>
            </w:r>
          </w:p>
        </w:tc>
        <w:tc>
          <w:tcPr>
            <w:tcW w:w="1190" w:type="dxa"/>
            <w:shd w:val="clear" w:color="auto" w:fill="FFFFFF"/>
            <w:tcMar>
              <w:top w:w="100" w:type="dxa"/>
              <w:left w:w="100" w:type="dxa"/>
              <w:bottom w:w="100" w:type="dxa"/>
              <w:right w:w="100" w:type="dxa"/>
            </w:tcMar>
          </w:tcPr>
          <w:p w14:paraId="0FD15FA0"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7.202.140</w:t>
            </w:r>
          </w:p>
        </w:tc>
      </w:tr>
      <w:tr w:rsidR="00670FD4" w:rsidRPr="00D535CE" w14:paraId="35956CE3" w14:textId="77777777" w:rsidTr="001925BA">
        <w:trPr>
          <w:trHeight w:val="20"/>
        </w:trPr>
        <w:tc>
          <w:tcPr>
            <w:tcW w:w="3070" w:type="dxa"/>
            <w:shd w:val="clear" w:color="auto" w:fill="D9D9D9"/>
            <w:tcMar>
              <w:top w:w="100" w:type="dxa"/>
              <w:left w:w="100" w:type="dxa"/>
              <w:bottom w:w="100" w:type="dxa"/>
              <w:right w:w="100" w:type="dxa"/>
            </w:tcMar>
          </w:tcPr>
          <w:p w14:paraId="46CB4B37" w14:textId="77777777" w:rsidR="00670FD4" w:rsidRPr="00D535CE" w:rsidRDefault="00670FD4" w:rsidP="001925BA">
            <w:pPr>
              <w:spacing w:after="0" w:line="240" w:lineRule="auto"/>
              <w:rPr>
                <w:rFonts w:eastAsia="Times New Roman" w:cs="Times New Roman"/>
                <w:sz w:val="22"/>
              </w:rPr>
            </w:pPr>
            <w:r w:rsidRPr="00D535CE">
              <w:rPr>
                <w:rFonts w:eastAsia="Times New Roman" w:cs="Times New Roman"/>
                <w:color w:val="212529"/>
                <w:sz w:val="22"/>
              </w:rPr>
              <w:t>Seminte uleioase, fructe oleaginoase și grasimi</w:t>
            </w:r>
          </w:p>
        </w:tc>
        <w:tc>
          <w:tcPr>
            <w:tcW w:w="1190" w:type="dxa"/>
            <w:shd w:val="clear" w:color="auto" w:fill="FFFFFF"/>
            <w:tcMar>
              <w:top w:w="100" w:type="dxa"/>
              <w:left w:w="100" w:type="dxa"/>
              <w:bottom w:w="100" w:type="dxa"/>
              <w:right w:w="100" w:type="dxa"/>
            </w:tcMar>
          </w:tcPr>
          <w:p w14:paraId="00115420"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3.262.034</w:t>
            </w:r>
          </w:p>
        </w:tc>
        <w:tc>
          <w:tcPr>
            <w:tcW w:w="1190" w:type="dxa"/>
            <w:shd w:val="clear" w:color="auto" w:fill="FFFFFF"/>
            <w:tcMar>
              <w:top w:w="100" w:type="dxa"/>
              <w:left w:w="100" w:type="dxa"/>
              <w:bottom w:w="100" w:type="dxa"/>
              <w:right w:w="100" w:type="dxa"/>
            </w:tcMar>
          </w:tcPr>
          <w:p w14:paraId="33D50C9E"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2.141.252</w:t>
            </w:r>
          </w:p>
        </w:tc>
        <w:tc>
          <w:tcPr>
            <w:tcW w:w="1190" w:type="dxa"/>
            <w:shd w:val="clear" w:color="auto" w:fill="FFFFFF"/>
            <w:tcMar>
              <w:top w:w="100" w:type="dxa"/>
              <w:left w:w="100" w:type="dxa"/>
              <w:bottom w:w="100" w:type="dxa"/>
              <w:right w:w="100" w:type="dxa"/>
            </w:tcMar>
          </w:tcPr>
          <w:p w14:paraId="0F51DDB3"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1.826.407</w:t>
            </w:r>
          </w:p>
        </w:tc>
        <w:tc>
          <w:tcPr>
            <w:tcW w:w="1190" w:type="dxa"/>
            <w:shd w:val="clear" w:color="auto" w:fill="FFFFFF"/>
            <w:tcMar>
              <w:top w:w="100" w:type="dxa"/>
              <w:left w:w="100" w:type="dxa"/>
              <w:bottom w:w="100" w:type="dxa"/>
              <w:right w:w="100" w:type="dxa"/>
            </w:tcMar>
          </w:tcPr>
          <w:p w14:paraId="52B2C40A"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2.204.820</w:t>
            </w:r>
          </w:p>
        </w:tc>
        <w:tc>
          <w:tcPr>
            <w:tcW w:w="1190" w:type="dxa"/>
            <w:shd w:val="clear" w:color="auto" w:fill="FFFFFF"/>
            <w:tcMar>
              <w:top w:w="100" w:type="dxa"/>
              <w:left w:w="100" w:type="dxa"/>
              <w:bottom w:w="100" w:type="dxa"/>
              <w:right w:w="100" w:type="dxa"/>
            </w:tcMar>
          </w:tcPr>
          <w:p w14:paraId="2F178D53"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3.740.834</w:t>
            </w:r>
          </w:p>
        </w:tc>
      </w:tr>
      <w:tr w:rsidR="00670FD4" w:rsidRPr="00D535CE" w14:paraId="109009EE" w14:textId="77777777" w:rsidTr="001925BA">
        <w:trPr>
          <w:trHeight w:val="20"/>
        </w:trPr>
        <w:tc>
          <w:tcPr>
            <w:tcW w:w="3070" w:type="dxa"/>
            <w:shd w:val="clear" w:color="auto" w:fill="D9D9D9"/>
            <w:tcMar>
              <w:top w:w="100" w:type="dxa"/>
              <w:left w:w="100" w:type="dxa"/>
              <w:bottom w:w="100" w:type="dxa"/>
              <w:right w:w="100" w:type="dxa"/>
            </w:tcMar>
          </w:tcPr>
          <w:p w14:paraId="407F2219"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Sticlă, sticlărie și produse ceramice</w:t>
            </w:r>
          </w:p>
        </w:tc>
        <w:tc>
          <w:tcPr>
            <w:tcW w:w="1190" w:type="dxa"/>
            <w:shd w:val="clear" w:color="auto" w:fill="FFFFFF"/>
            <w:tcMar>
              <w:top w:w="100" w:type="dxa"/>
              <w:left w:w="100" w:type="dxa"/>
              <w:bottom w:w="100" w:type="dxa"/>
              <w:right w:w="100" w:type="dxa"/>
            </w:tcMar>
          </w:tcPr>
          <w:p w14:paraId="684BE68E"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27.056</w:t>
            </w:r>
          </w:p>
        </w:tc>
        <w:tc>
          <w:tcPr>
            <w:tcW w:w="1190" w:type="dxa"/>
            <w:shd w:val="clear" w:color="auto" w:fill="FFFFFF"/>
            <w:tcMar>
              <w:top w:w="100" w:type="dxa"/>
              <w:left w:w="100" w:type="dxa"/>
              <w:bottom w:w="100" w:type="dxa"/>
              <w:right w:w="100" w:type="dxa"/>
            </w:tcMar>
          </w:tcPr>
          <w:p w14:paraId="42D8CEBF"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11.755</w:t>
            </w:r>
          </w:p>
        </w:tc>
        <w:tc>
          <w:tcPr>
            <w:tcW w:w="1190" w:type="dxa"/>
            <w:shd w:val="clear" w:color="auto" w:fill="FFFFFF"/>
            <w:tcMar>
              <w:top w:w="100" w:type="dxa"/>
              <w:left w:w="100" w:type="dxa"/>
              <w:bottom w:w="100" w:type="dxa"/>
              <w:right w:w="100" w:type="dxa"/>
            </w:tcMar>
          </w:tcPr>
          <w:p w14:paraId="12804437"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5.089</w:t>
            </w:r>
          </w:p>
        </w:tc>
        <w:tc>
          <w:tcPr>
            <w:tcW w:w="1190" w:type="dxa"/>
            <w:shd w:val="clear" w:color="auto" w:fill="FFFFFF"/>
            <w:tcMar>
              <w:top w:w="100" w:type="dxa"/>
              <w:left w:w="100" w:type="dxa"/>
              <w:bottom w:w="100" w:type="dxa"/>
              <w:right w:w="100" w:type="dxa"/>
            </w:tcMar>
          </w:tcPr>
          <w:p w14:paraId="5DC5A8C0"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2.930</w:t>
            </w:r>
          </w:p>
        </w:tc>
        <w:tc>
          <w:tcPr>
            <w:tcW w:w="1190" w:type="dxa"/>
            <w:shd w:val="clear" w:color="auto" w:fill="FFFFFF"/>
            <w:tcMar>
              <w:top w:w="100" w:type="dxa"/>
              <w:left w:w="100" w:type="dxa"/>
              <w:bottom w:w="100" w:type="dxa"/>
              <w:right w:w="100" w:type="dxa"/>
            </w:tcMar>
          </w:tcPr>
          <w:p w14:paraId="02E7C57D"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0</w:t>
            </w:r>
          </w:p>
        </w:tc>
      </w:tr>
      <w:tr w:rsidR="00670FD4" w:rsidRPr="00D535CE" w14:paraId="75F067EA" w14:textId="77777777" w:rsidTr="001925BA">
        <w:trPr>
          <w:trHeight w:val="313"/>
        </w:trPr>
        <w:tc>
          <w:tcPr>
            <w:tcW w:w="3070" w:type="dxa"/>
            <w:shd w:val="clear" w:color="auto" w:fill="C9C9C9"/>
            <w:tcMar>
              <w:top w:w="100" w:type="dxa"/>
              <w:left w:w="100" w:type="dxa"/>
              <w:bottom w:w="100" w:type="dxa"/>
              <w:right w:w="100" w:type="dxa"/>
            </w:tcMar>
          </w:tcPr>
          <w:p w14:paraId="00D9A7D0" w14:textId="77777777" w:rsidR="00670FD4" w:rsidRPr="00D535CE" w:rsidRDefault="00670FD4" w:rsidP="001925BA">
            <w:pPr>
              <w:spacing w:after="0" w:line="240" w:lineRule="auto"/>
              <w:rPr>
                <w:rFonts w:eastAsia="Times New Roman" w:cs="Times New Roman"/>
                <w:sz w:val="22"/>
              </w:rPr>
            </w:pPr>
            <w:r w:rsidRPr="00D535CE">
              <w:rPr>
                <w:rFonts w:eastAsia="Times New Roman" w:cs="Times New Roman"/>
                <w:color w:val="212529"/>
                <w:sz w:val="22"/>
              </w:rPr>
              <w:t>Total</w:t>
            </w:r>
          </w:p>
        </w:tc>
        <w:tc>
          <w:tcPr>
            <w:tcW w:w="1190" w:type="dxa"/>
            <w:shd w:val="clear" w:color="auto" w:fill="C9C9C9"/>
            <w:tcMar>
              <w:top w:w="100" w:type="dxa"/>
              <w:left w:w="100" w:type="dxa"/>
              <w:bottom w:w="100" w:type="dxa"/>
              <w:right w:w="100" w:type="dxa"/>
            </w:tcMar>
          </w:tcPr>
          <w:p w14:paraId="39079175"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61.303.774</w:t>
            </w:r>
          </w:p>
        </w:tc>
        <w:tc>
          <w:tcPr>
            <w:tcW w:w="1190" w:type="dxa"/>
            <w:shd w:val="clear" w:color="auto" w:fill="C9C9C9"/>
            <w:tcMar>
              <w:top w:w="100" w:type="dxa"/>
              <w:left w:w="100" w:type="dxa"/>
              <w:bottom w:w="100" w:type="dxa"/>
              <w:right w:w="100" w:type="dxa"/>
            </w:tcMar>
          </w:tcPr>
          <w:p w14:paraId="72640680"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66.603.292</w:t>
            </w:r>
          </w:p>
        </w:tc>
        <w:tc>
          <w:tcPr>
            <w:tcW w:w="1190" w:type="dxa"/>
            <w:shd w:val="clear" w:color="auto" w:fill="C9C9C9"/>
            <w:tcMar>
              <w:top w:w="100" w:type="dxa"/>
              <w:left w:w="100" w:type="dxa"/>
              <w:bottom w:w="100" w:type="dxa"/>
              <w:right w:w="100" w:type="dxa"/>
            </w:tcMar>
          </w:tcPr>
          <w:p w14:paraId="025A4F5F"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60.375.799</w:t>
            </w:r>
          </w:p>
        </w:tc>
        <w:tc>
          <w:tcPr>
            <w:tcW w:w="1190" w:type="dxa"/>
            <w:shd w:val="clear" w:color="auto" w:fill="C9C9C9"/>
            <w:tcMar>
              <w:top w:w="100" w:type="dxa"/>
              <w:left w:w="100" w:type="dxa"/>
              <w:bottom w:w="100" w:type="dxa"/>
              <w:right w:w="100" w:type="dxa"/>
            </w:tcMar>
          </w:tcPr>
          <w:p w14:paraId="5DA38E28"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67.483.435</w:t>
            </w:r>
          </w:p>
        </w:tc>
        <w:tc>
          <w:tcPr>
            <w:tcW w:w="1190" w:type="dxa"/>
            <w:shd w:val="clear" w:color="auto" w:fill="C9C9C9"/>
            <w:tcMar>
              <w:top w:w="100" w:type="dxa"/>
              <w:left w:w="100" w:type="dxa"/>
              <w:bottom w:w="100" w:type="dxa"/>
              <w:right w:w="100" w:type="dxa"/>
            </w:tcMar>
          </w:tcPr>
          <w:p w14:paraId="66917989" w14:textId="77777777" w:rsidR="00670FD4" w:rsidRPr="00D535CE" w:rsidRDefault="00670FD4" w:rsidP="001925BA">
            <w:pPr>
              <w:spacing w:after="0" w:line="240" w:lineRule="auto"/>
              <w:ind w:firstLine="0"/>
              <w:rPr>
                <w:rFonts w:eastAsia="Times New Roman" w:cs="Times New Roman"/>
                <w:sz w:val="22"/>
              </w:rPr>
            </w:pPr>
            <w:r w:rsidRPr="00D535CE">
              <w:rPr>
                <w:rFonts w:eastAsia="Times New Roman" w:cs="Times New Roman"/>
                <w:color w:val="212529"/>
                <w:sz w:val="22"/>
              </w:rPr>
              <w:t>75.537.687</w:t>
            </w:r>
          </w:p>
        </w:tc>
      </w:tr>
    </w:tbl>
    <w:p w14:paraId="22CF7279" w14:textId="77777777" w:rsidR="00670FD4" w:rsidRDefault="00670FD4" w:rsidP="00670FD4">
      <w:pPr>
        <w:spacing w:before="0"/>
        <w:ind w:firstLine="0"/>
        <w:rPr>
          <w:rFonts w:eastAsia="Times New Roman" w:cs="Times New Roman"/>
          <w:i/>
        </w:rPr>
      </w:pPr>
    </w:p>
    <w:p w14:paraId="0B67462E" w14:textId="77777777" w:rsidR="00670FD4" w:rsidRDefault="00670FD4" w:rsidP="00670FD4">
      <w:pPr>
        <w:spacing w:before="0"/>
        <w:rPr>
          <w:rFonts w:eastAsia="Times New Roman" w:cs="Times New Roman"/>
        </w:rPr>
      </w:pPr>
      <w:r>
        <w:rPr>
          <w:rFonts w:eastAsia="Times New Roman" w:cs="Times New Roman"/>
          <w:i/>
        </w:rPr>
        <w:t>Portul Sulina</w:t>
      </w:r>
    </w:p>
    <w:p w14:paraId="13FC0B5C" w14:textId="77777777" w:rsidR="00670FD4" w:rsidRDefault="00670FD4" w:rsidP="00670FD4">
      <w:pPr>
        <w:spacing w:before="0"/>
        <w:ind w:firstLine="567"/>
        <w:rPr>
          <w:rFonts w:eastAsia="Times New Roman" w:cs="Times New Roman"/>
        </w:rPr>
      </w:pPr>
      <w:r>
        <w:rPr>
          <w:rFonts w:eastAsia="Times New Roman" w:cs="Times New Roman"/>
        </w:rPr>
        <w:t>Portul Sulina, parte integrantă a rețelei TEN-T fluviale centrale, este amplasat pe malul drept al canalului Sulina, în zona orașului și dispune de următoarele construcții portuare: cheu vertical din beton în lungime de 3.340 m, trei estacade din beton armat, având fiecare un front de acostare de 80 m și o adâncime de acostare de 7,5 m, două estacade din beton armat cu un front de acostare de 100 m și respectiv 200 m, cu o adâncime de 3,50 m, două estacade din beton armat cu un front de acostare de 30 m fiecare, care asigură o adâncime de acostare de 2,50 m, cheu pereat în lungime de 2.600 m pentru apărarea malului, cu prelungirea cheiului vertical și spre amonte de uzina de apă (Consiliul Județean Tulcea, 2021). Aceste construcții portuare amenajate de-a lungul falezei orașului asigură condiții pentru acostarea navelor maritime care intră și ies de pe Canalul Sulina, precum și a navelor care deservesc traficul local de mărfuri și pasageri.</w:t>
      </w:r>
    </w:p>
    <w:p w14:paraId="474C8830" w14:textId="77777777" w:rsidR="00670FD4" w:rsidRDefault="00670FD4" w:rsidP="00670FD4">
      <w:pPr>
        <w:pStyle w:val="Heading4"/>
      </w:pPr>
      <w:bookmarkStart w:id="101" w:name="_Toc171084853"/>
      <w:r>
        <w:t>2.4.8.7 Producerea de energie</w:t>
      </w:r>
      <w:bookmarkEnd w:id="101"/>
    </w:p>
    <w:p w14:paraId="5E116304" w14:textId="77777777" w:rsidR="00670FD4" w:rsidRDefault="00670FD4" w:rsidP="00670FD4">
      <w:pPr>
        <w:spacing w:before="0"/>
        <w:ind w:firstLine="567"/>
        <w:rPr>
          <w:rFonts w:eastAsia="Times New Roman" w:cs="Times New Roman"/>
        </w:rPr>
      </w:pPr>
      <w:r>
        <w:rPr>
          <w:rFonts w:eastAsia="Times New Roman" w:cs="Times New Roman"/>
        </w:rPr>
        <w:t>În prezent, la nivelul zonei costiere, generarea de energie din surse regenerabile este aproape inexistentă. Energia termică este produsă fie la nivel centralizat, folosind combustibili fosili (Constanța, Mangalia și Năvodari), fie individual, preponderent, folosind centrale individuale pe gaz. Toate acestea determină o creștere a emisiilor de gaze poluante în atmosferă. Referitor la energia electrică, aceasta este produsă doar la nivel individual (folosind energia solară), parcurile eoliene și centrala nucleară de la Cernavodă, principale producătoare de energie din Dobrogea, fiind situate în afara zonei costiere.</w:t>
      </w:r>
    </w:p>
    <w:p w14:paraId="5C107887" w14:textId="77777777" w:rsidR="00670FD4" w:rsidRDefault="00670FD4" w:rsidP="00670FD4">
      <w:pPr>
        <w:spacing w:before="0"/>
        <w:ind w:firstLine="567"/>
        <w:rPr>
          <w:rFonts w:eastAsia="Times New Roman" w:cs="Times New Roman"/>
        </w:rPr>
      </w:pPr>
      <w:r>
        <w:rPr>
          <w:rFonts w:eastAsia="Times New Roman" w:cs="Times New Roman"/>
        </w:rPr>
        <w:t>Potențialul de producere a energiei alternative (eoliană, solară, valuri, etc.) este unul foarte ridicat în zona costieră, dar din păcate nu este utilizat. Prezenta strategie se aliniază celorlalte strategii și planuri în scopul promovării generării de energie alternativă folosind resursele regenerabile ale zonei costiere.</w:t>
      </w:r>
    </w:p>
    <w:p w14:paraId="7EECB858" w14:textId="77777777" w:rsidR="00670FD4" w:rsidRDefault="00670FD4" w:rsidP="00670FD4">
      <w:pPr>
        <w:pStyle w:val="Heading4"/>
      </w:pPr>
      <w:bookmarkStart w:id="102" w:name="_Toc171084854"/>
      <w:r>
        <w:t>2.4.8.8 Planificare spațială și Dezvoltare urbană</w:t>
      </w:r>
      <w:bookmarkEnd w:id="102"/>
    </w:p>
    <w:p w14:paraId="5A68F7FC" w14:textId="77777777" w:rsidR="00670FD4" w:rsidRDefault="00670FD4" w:rsidP="00670FD4">
      <w:pPr>
        <w:rPr>
          <w:rFonts w:eastAsia="Times New Roman" w:cs="Times New Roman"/>
          <w:i/>
        </w:rPr>
      </w:pPr>
      <w:r>
        <w:rPr>
          <w:rFonts w:eastAsia="Times New Roman" w:cs="Times New Roman"/>
          <w:i/>
        </w:rPr>
        <w:t>Planificarea spațială</w:t>
      </w:r>
    </w:p>
    <w:p w14:paraId="07FE6DAB" w14:textId="77777777" w:rsidR="00670FD4" w:rsidRDefault="00670FD4" w:rsidP="00670FD4">
      <w:pPr>
        <w:ind w:firstLine="567"/>
        <w:rPr>
          <w:rFonts w:eastAsia="Times New Roman" w:cs="Times New Roman"/>
        </w:rPr>
      </w:pPr>
      <w:r>
        <w:rPr>
          <w:rFonts w:eastAsia="Times New Roman" w:cs="Times New Roman"/>
        </w:rPr>
        <w:t>Instrumentele de planificare spațială a teritoriului sunt de importanță majoră pentru managementul integrat al zonei costiere. Situația acestora este următoarea:</w:t>
      </w:r>
    </w:p>
    <w:p w14:paraId="46C1FAE8" w14:textId="77777777" w:rsidR="00670FD4" w:rsidRDefault="00670FD4" w:rsidP="00670FD4">
      <w:pPr>
        <w:rPr>
          <w:rFonts w:eastAsia="Times New Roman" w:cs="Times New Roman"/>
        </w:rPr>
      </w:pPr>
      <w:r>
        <w:rPr>
          <w:rFonts w:eastAsia="Times New Roman" w:cs="Times New Roman"/>
          <w:u w:val="single"/>
        </w:rPr>
        <w:t>Planul de amenajare a teritoriului zonal</w:t>
      </w:r>
      <w:r>
        <w:rPr>
          <w:rFonts w:eastAsia="Times New Roman" w:cs="Times New Roman"/>
        </w:rPr>
        <w:t xml:space="preserve"> - PATZ Zona Costieră (litoral) - nu a fost încă aprobat (deși elaborat cu mult timp în urmă), deci nu produce efecte juridice.</w:t>
      </w:r>
    </w:p>
    <w:p w14:paraId="1AC3828E" w14:textId="77777777" w:rsidR="00670FD4" w:rsidRDefault="00670FD4" w:rsidP="00670FD4">
      <w:pPr>
        <w:rPr>
          <w:rFonts w:eastAsia="Times New Roman" w:cs="Times New Roman"/>
        </w:rPr>
      </w:pPr>
      <w:r>
        <w:rPr>
          <w:rFonts w:eastAsia="Times New Roman" w:cs="Times New Roman"/>
          <w:u w:val="single"/>
        </w:rPr>
        <w:lastRenderedPageBreak/>
        <w:t>Planurile de amenajare a teritoriului județelor Constanța și Tulcea</w:t>
      </w:r>
      <w:r>
        <w:rPr>
          <w:rFonts w:eastAsia="Times New Roman" w:cs="Times New Roman"/>
        </w:rPr>
        <w:t xml:space="preserve"> au fost elaborate în perioada 1996 – 1998. Problema acestor documentații este aceea că au fost elaborate cu mult înainte de aprobarea strategiei și a planului de management integrat al zonei costiere, astfel încât sunt necesare actualizări/modificări în consecință, în secțiunile privitoare la zona costieră.</w:t>
      </w:r>
    </w:p>
    <w:p w14:paraId="5974471E" w14:textId="77777777" w:rsidR="00670FD4" w:rsidRDefault="00670FD4" w:rsidP="00670FD4">
      <w:pPr>
        <w:rPr>
          <w:rFonts w:eastAsia="Times New Roman" w:cs="Times New Roman"/>
          <w:u w:val="single"/>
        </w:rPr>
      </w:pPr>
      <w:r>
        <w:rPr>
          <w:rFonts w:eastAsia="Times New Roman" w:cs="Times New Roman"/>
          <w:u w:val="single"/>
        </w:rPr>
        <w:t>Planuri urbanistice generale</w:t>
      </w:r>
    </w:p>
    <w:p w14:paraId="5CD93951" w14:textId="77777777" w:rsidR="00670FD4" w:rsidRDefault="00670FD4" w:rsidP="00670FD4">
      <w:pPr>
        <w:ind w:firstLine="567"/>
        <w:rPr>
          <w:rFonts w:eastAsia="Times New Roman" w:cs="Times New Roman"/>
        </w:rPr>
      </w:pPr>
      <w:r>
        <w:rPr>
          <w:rFonts w:eastAsia="Times New Roman" w:cs="Times New Roman"/>
        </w:rPr>
        <w:t>Așa cum se poate observa din Tabelul 2.4.8.1.1, doar municipiul Mangalia și comuna Tuzla beneficiază de un astfel de instrument de planificare actualizat. În marea majoritate, planurile urbanistice generale sunt vechi, aprobate în perioada 2000-2008, având termene de valabilitate care expiră în perioada imediat următoare (pentru UAT-urile Sfântu Gheorghe, Jurilovca, Istria, Năvodari și Eforie expiră chiar în 2023).</w:t>
      </w:r>
    </w:p>
    <w:p w14:paraId="1478B617" w14:textId="77777777" w:rsidR="00670FD4" w:rsidRDefault="00670FD4" w:rsidP="00670FD4">
      <w:pPr>
        <w:ind w:firstLine="567"/>
        <w:rPr>
          <w:rFonts w:eastAsia="Times New Roman" w:cs="Times New Roman"/>
        </w:rPr>
      </w:pPr>
      <w:r>
        <w:rPr>
          <w:rFonts w:eastAsia="Times New Roman" w:cs="Times New Roman"/>
        </w:rPr>
        <w:t>Totuși, în prezent sunt 12 planuri urbanistice generale pentru care procedurile de actualizare sunt inițiate, acestea fiind în diverse etape de elaborare/aprobare (Tabel 2.4.8.1.1). Dacă pentru sectorul nordic al zonei de studiu, vechimea PUG-urilor poate că nu constituie o problemă foarte mare (eventual cu excepția orașului Sulina), pentru sectorul sudic, vechimea unor PUG-uri este o cauză care poate fi la originea unora dintre presiunile exercitate în această zonă, care prezinta cele mai intense procese de urbanizare a teritoriului.</w:t>
      </w:r>
    </w:p>
    <w:p w14:paraId="75EE45C7" w14:textId="77777777" w:rsidR="00670FD4" w:rsidRDefault="00670FD4" w:rsidP="00670FD4">
      <w:pPr>
        <w:ind w:firstLine="567"/>
        <w:rPr>
          <w:rFonts w:eastAsia="Times New Roman" w:cs="Times New Roman"/>
        </w:rPr>
      </w:pPr>
      <w:r>
        <w:rPr>
          <w:rFonts w:eastAsia="Times New Roman" w:cs="Times New Roman"/>
        </w:rPr>
        <w:t>De asemenea, din punct de vedere al managementului zonei costiere, principala problemă cu aceste PUG-uri vechi este aceea că ele au fost elaborate fără a avea un studiu de fundamentare prin care să se facă delimitarea fizică a zonei costiere, conform OUG 202/2002.</w:t>
      </w:r>
    </w:p>
    <w:p w14:paraId="50F7D0B0" w14:textId="77777777" w:rsidR="00670FD4" w:rsidRDefault="00670FD4" w:rsidP="00670FD4">
      <w:pPr>
        <w:ind w:firstLine="567"/>
        <w:rPr>
          <w:rFonts w:eastAsia="Times New Roman" w:cs="Times New Roman"/>
        </w:rPr>
      </w:pPr>
      <w:r>
        <w:rPr>
          <w:rFonts w:eastAsia="Times New Roman" w:cs="Times New Roman"/>
        </w:rPr>
        <w:t xml:space="preserve">Având în vedere, pe de o parte, prevederea din OUG 202/2002 conform căreia, în documentațiile de urbanism întocmite conform prevederilor legale se va figura grafic fâșia de teren cu lățime variabilă de 50-150 m, iar pe de altă parte stadiul actualizării documentațiilor PUG, se poate considera că unele presiuni asupra resurselor zonei costiere au o sursă potențială chiar în întârzierea procedurilor de elaborare și aprobare a acestor noi PUG-uri. </w:t>
      </w:r>
    </w:p>
    <w:p w14:paraId="4E0DD145" w14:textId="77777777" w:rsidR="00670FD4" w:rsidRDefault="00670FD4" w:rsidP="00670FD4">
      <w:pPr>
        <w:rPr>
          <w:rFonts w:eastAsia="Times New Roman" w:cs="Times New Roman"/>
        </w:rPr>
      </w:pPr>
    </w:p>
    <w:p w14:paraId="03221C09" w14:textId="77777777" w:rsidR="00670FD4" w:rsidRDefault="00670FD4" w:rsidP="00670FD4">
      <w:pPr>
        <w:spacing w:after="0"/>
        <w:jc w:val="center"/>
        <w:rPr>
          <w:rFonts w:eastAsia="Times New Roman" w:cs="Times New Roman"/>
          <w:b/>
        </w:rPr>
      </w:pPr>
      <w:r>
        <w:rPr>
          <w:rFonts w:eastAsia="Times New Roman" w:cs="Times New Roman"/>
          <w:b/>
        </w:rPr>
        <w:t>Tabel 2.4.8.8.1 Situația actuală a PUG-urilor în zona costieră</w:t>
      </w:r>
    </w:p>
    <w:tbl>
      <w:tblPr>
        <w:tblW w:w="7503" w:type="dxa"/>
        <w:jc w:val="center"/>
        <w:tblLayout w:type="fixed"/>
        <w:tblLook w:val="0400" w:firstRow="0" w:lastRow="0" w:firstColumn="0" w:lastColumn="0" w:noHBand="0" w:noVBand="1"/>
      </w:tblPr>
      <w:tblGrid>
        <w:gridCol w:w="1350"/>
        <w:gridCol w:w="2223"/>
        <w:gridCol w:w="2654"/>
        <w:gridCol w:w="1276"/>
      </w:tblGrid>
      <w:tr w:rsidR="00670FD4" w14:paraId="0B79DE4B" w14:textId="77777777" w:rsidTr="001925BA">
        <w:trPr>
          <w:trHeight w:val="472"/>
          <w:jc w:val="center"/>
        </w:trPr>
        <w:tc>
          <w:tcPr>
            <w:tcW w:w="1350" w:type="dxa"/>
            <w:tcBorders>
              <w:top w:val="single" w:sz="8" w:space="0" w:color="000000"/>
              <w:left w:val="single" w:sz="8" w:space="0" w:color="000000"/>
              <w:bottom w:val="single" w:sz="8" w:space="0" w:color="000000"/>
              <w:right w:val="single" w:sz="8" w:space="0" w:color="000000"/>
            </w:tcBorders>
            <w:shd w:val="clear" w:color="auto" w:fill="C9C9C9"/>
            <w:tcMar>
              <w:top w:w="100" w:type="dxa"/>
              <w:left w:w="100" w:type="dxa"/>
              <w:bottom w:w="100" w:type="dxa"/>
              <w:right w:w="100" w:type="dxa"/>
            </w:tcMar>
          </w:tcPr>
          <w:p w14:paraId="4E9A423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000000"/>
                <w:sz w:val="20"/>
                <w:szCs w:val="20"/>
              </w:rPr>
              <w:t>UAT</w:t>
            </w:r>
          </w:p>
        </w:tc>
        <w:tc>
          <w:tcPr>
            <w:tcW w:w="2223" w:type="dxa"/>
            <w:tcBorders>
              <w:top w:val="single" w:sz="8" w:space="0" w:color="000000"/>
              <w:left w:val="single" w:sz="8" w:space="0" w:color="000000"/>
              <w:bottom w:val="single" w:sz="8" w:space="0" w:color="000000"/>
              <w:right w:val="single" w:sz="8" w:space="0" w:color="000000"/>
            </w:tcBorders>
            <w:shd w:val="clear" w:color="auto" w:fill="C9C9C9"/>
            <w:tcMar>
              <w:top w:w="100" w:type="dxa"/>
              <w:left w:w="100" w:type="dxa"/>
              <w:bottom w:w="100" w:type="dxa"/>
              <w:right w:w="100" w:type="dxa"/>
            </w:tcMar>
          </w:tcPr>
          <w:p w14:paraId="0EE9F8C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000000"/>
                <w:sz w:val="20"/>
                <w:szCs w:val="20"/>
              </w:rPr>
              <w:t>Stadiu actualizare PUG</w:t>
            </w:r>
          </w:p>
        </w:tc>
        <w:tc>
          <w:tcPr>
            <w:tcW w:w="2654" w:type="dxa"/>
            <w:tcBorders>
              <w:top w:val="single" w:sz="8" w:space="0" w:color="000000"/>
              <w:left w:val="single" w:sz="8" w:space="0" w:color="000000"/>
              <w:bottom w:val="single" w:sz="8" w:space="0" w:color="000000"/>
              <w:right w:val="single" w:sz="8" w:space="0" w:color="000000"/>
            </w:tcBorders>
            <w:shd w:val="clear" w:color="auto" w:fill="C9C9C9"/>
            <w:tcMar>
              <w:top w:w="100" w:type="dxa"/>
              <w:left w:w="100" w:type="dxa"/>
              <w:bottom w:w="100" w:type="dxa"/>
              <w:right w:w="100" w:type="dxa"/>
            </w:tcMar>
          </w:tcPr>
          <w:p w14:paraId="40F9531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000000"/>
                <w:sz w:val="20"/>
                <w:szCs w:val="20"/>
              </w:rPr>
              <w:t>PUG neactualizat</w:t>
            </w:r>
          </w:p>
          <w:p w14:paraId="37F4812D"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000000"/>
                <w:sz w:val="20"/>
                <w:szCs w:val="20"/>
              </w:rPr>
              <w:t>Anul</w:t>
            </w:r>
          </w:p>
        </w:tc>
        <w:tc>
          <w:tcPr>
            <w:tcW w:w="1276" w:type="dxa"/>
            <w:tcBorders>
              <w:top w:val="single" w:sz="8" w:space="0" w:color="000000"/>
              <w:left w:val="single" w:sz="8" w:space="0" w:color="000000"/>
              <w:bottom w:val="single" w:sz="8" w:space="0" w:color="000000"/>
              <w:right w:val="single" w:sz="8" w:space="0" w:color="000000"/>
            </w:tcBorders>
            <w:shd w:val="clear" w:color="auto" w:fill="C9C9C9"/>
            <w:tcMar>
              <w:top w:w="100" w:type="dxa"/>
              <w:left w:w="100" w:type="dxa"/>
              <w:bottom w:w="100" w:type="dxa"/>
              <w:right w:w="100" w:type="dxa"/>
            </w:tcMar>
          </w:tcPr>
          <w:p w14:paraId="3A0C788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000000"/>
                <w:sz w:val="20"/>
                <w:szCs w:val="20"/>
              </w:rPr>
              <w:t>Disponibil</w:t>
            </w:r>
          </w:p>
        </w:tc>
      </w:tr>
      <w:tr w:rsidR="00670FD4" w14:paraId="370BC668" w14:textId="77777777" w:rsidTr="001925BA">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519CA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C.A. Rosetti</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F31EA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în execuție</w:t>
            </w:r>
          </w:p>
        </w:tc>
        <w:tc>
          <w:tcPr>
            <w:tcW w:w="26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FEC267D"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2002</w:t>
            </w:r>
          </w:p>
          <w:p w14:paraId="518D753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2018</w:t>
            </w:r>
          </w:p>
          <w:p w14:paraId="3AD740F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2023</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E3DFC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Da</w:t>
            </w:r>
          </w:p>
        </w:tc>
      </w:tr>
      <w:tr w:rsidR="00670FD4" w14:paraId="11EABE32" w14:textId="77777777" w:rsidTr="001925BA">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C74EC9"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Sulina</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26480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în execuție</w:t>
            </w:r>
          </w:p>
        </w:tc>
        <w:tc>
          <w:tcPr>
            <w:tcW w:w="26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DA68B5D"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2000</w:t>
            </w:r>
          </w:p>
          <w:p w14:paraId="693D3F8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2012</w:t>
            </w:r>
          </w:p>
          <w:p w14:paraId="6DBC237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 </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A8A5B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Da</w:t>
            </w:r>
          </w:p>
        </w:tc>
      </w:tr>
      <w:tr w:rsidR="00670FD4" w14:paraId="3111BA17" w14:textId="77777777" w:rsidTr="001925BA">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8F2DAC"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Murighiol</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D8117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în execuție</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224D4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2002</w:t>
            </w:r>
          </w:p>
          <w:p w14:paraId="5AFAA6B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2018</w:t>
            </w:r>
          </w:p>
          <w:p w14:paraId="5CDA3D6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2023</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72757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Da</w:t>
            </w:r>
          </w:p>
        </w:tc>
      </w:tr>
      <w:tr w:rsidR="00670FD4" w14:paraId="1E3F5322" w14:textId="77777777" w:rsidTr="001925BA">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1CC5F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Sf. Gheorghe</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E47F9C"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în execuție</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00517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2000</w:t>
            </w:r>
          </w:p>
          <w:p w14:paraId="0641711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2018</w:t>
            </w:r>
          </w:p>
          <w:p w14:paraId="179C1769"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2023</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3AD66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Da</w:t>
            </w:r>
          </w:p>
        </w:tc>
      </w:tr>
      <w:tr w:rsidR="00670FD4" w14:paraId="304C1C7C" w14:textId="77777777" w:rsidTr="001925BA">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64F78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Jurilovca</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79988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în execuție</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DDC88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2002</w:t>
            </w:r>
          </w:p>
          <w:p w14:paraId="1062366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lastRenderedPageBreak/>
              <w:t>Prelungire 2018</w:t>
            </w:r>
          </w:p>
          <w:p w14:paraId="22CD5AEB" w14:textId="77777777" w:rsidR="00670FD4" w:rsidRDefault="00670FD4" w:rsidP="001925BA">
            <w:pPr>
              <w:spacing w:before="0" w:after="0" w:line="240" w:lineRule="auto"/>
              <w:ind w:left="87"/>
              <w:rPr>
                <w:rFonts w:eastAsia="Times New Roman" w:cs="Times New Roman"/>
                <w:sz w:val="20"/>
                <w:szCs w:val="20"/>
              </w:rPr>
            </w:pPr>
            <w:r>
              <w:rPr>
                <w:rFonts w:eastAsia="Times New Roman" w:cs="Times New Roman"/>
                <w:color w:val="000000"/>
                <w:sz w:val="20"/>
                <w:szCs w:val="20"/>
              </w:rPr>
              <w:t>Expirare 2023</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25B2E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lastRenderedPageBreak/>
              <w:t>Da</w:t>
            </w:r>
          </w:p>
        </w:tc>
      </w:tr>
      <w:tr w:rsidR="00670FD4" w14:paraId="336C1833" w14:textId="77777777" w:rsidTr="001925BA">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ED841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Mihai Viteazu</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F1EF7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Neinițiat</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7C017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2000</w:t>
            </w:r>
          </w:p>
          <w:p w14:paraId="18521C2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 </w:t>
            </w:r>
          </w:p>
          <w:p w14:paraId="210E2AA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2010</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863A0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Nu</w:t>
            </w:r>
          </w:p>
        </w:tc>
      </w:tr>
      <w:tr w:rsidR="00670FD4" w14:paraId="4E51C185" w14:textId="77777777" w:rsidTr="001925BA">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E91C3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Istria</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EC52F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în execuție</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3746D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1997</w:t>
            </w:r>
          </w:p>
          <w:p w14:paraId="69A564A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2018</w:t>
            </w:r>
          </w:p>
          <w:p w14:paraId="0913E7A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2023</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AB1BA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Nu</w:t>
            </w:r>
          </w:p>
        </w:tc>
      </w:tr>
      <w:tr w:rsidR="00670FD4" w14:paraId="02A4ECDD" w14:textId="77777777" w:rsidTr="001925BA">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79E6F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Săcele</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9DFE1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în avizare</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29EEA8"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2001</w:t>
            </w:r>
          </w:p>
          <w:p w14:paraId="17B57A4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2011</w:t>
            </w:r>
          </w:p>
          <w:p w14:paraId="281FAD3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2021</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44C0C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Nu</w:t>
            </w:r>
          </w:p>
        </w:tc>
      </w:tr>
      <w:tr w:rsidR="00670FD4" w14:paraId="6F75B982" w14:textId="77777777" w:rsidTr="001925BA">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1F87D8"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Corbu</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AB2DB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în execuție</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063B9D"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 nu e cazul</w:t>
            </w:r>
          </w:p>
          <w:p w14:paraId="3429B4B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 </w:t>
            </w:r>
          </w:p>
          <w:p w14:paraId="3F0694E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 </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8C326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Nu</w:t>
            </w:r>
          </w:p>
        </w:tc>
      </w:tr>
      <w:tr w:rsidR="00670FD4" w14:paraId="2AD3BE5B" w14:textId="77777777" w:rsidTr="001925BA">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5A9D4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Năvodari</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4F5ED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în execuție</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F5451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2004</w:t>
            </w:r>
          </w:p>
          <w:p w14:paraId="4068D3B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2019</w:t>
            </w:r>
          </w:p>
          <w:p w14:paraId="108F8C3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2023</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040229"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Nu</w:t>
            </w:r>
          </w:p>
        </w:tc>
      </w:tr>
      <w:tr w:rsidR="00670FD4" w14:paraId="2111825F" w14:textId="77777777" w:rsidTr="001925BA">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3A6C6C"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Constanța</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5E2A0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în execuție</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7F0A4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1999</w:t>
            </w:r>
          </w:p>
          <w:p w14:paraId="53B97D4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2018</w:t>
            </w:r>
          </w:p>
          <w:p w14:paraId="0E0753C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2023</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25A40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Da</w:t>
            </w:r>
          </w:p>
        </w:tc>
      </w:tr>
      <w:tr w:rsidR="00670FD4" w14:paraId="228A9DFA" w14:textId="77777777" w:rsidTr="001925BA">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C33F58"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Agigea</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61DBB9"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în avizare</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37305C"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 nu e cazul</w:t>
            </w:r>
          </w:p>
          <w:p w14:paraId="0946FF5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 </w:t>
            </w:r>
          </w:p>
          <w:p w14:paraId="03BE256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 </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AE1C9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Nu</w:t>
            </w:r>
          </w:p>
        </w:tc>
      </w:tr>
      <w:tr w:rsidR="00670FD4" w14:paraId="3B804EAF" w14:textId="77777777" w:rsidTr="001925BA">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DB353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Eforie</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9678EC"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în execuție</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A9B0B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2002</w:t>
            </w:r>
          </w:p>
          <w:p w14:paraId="69ECC15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2016</w:t>
            </w:r>
          </w:p>
          <w:p w14:paraId="3AC2A35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2023</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010DE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Nu</w:t>
            </w:r>
          </w:p>
        </w:tc>
      </w:tr>
      <w:tr w:rsidR="00670FD4" w14:paraId="5014ADF5" w14:textId="77777777" w:rsidTr="001925BA">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5766A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Techirghiol</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097DF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în avizare</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32452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1999</w:t>
            </w:r>
          </w:p>
          <w:p w14:paraId="5693832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2018</w:t>
            </w:r>
          </w:p>
          <w:p w14:paraId="741BE39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2023</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F6B899"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Nu</w:t>
            </w:r>
          </w:p>
        </w:tc>
      </w:tr>
      <w:tr w:rsidR="00670FD4" w14:paraId="27C96081" w14:textId="77777777" w:rsidTr="001925BA">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626AE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Tuzla</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AB935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în execuție</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3FE9E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2008</w:t>
            </w:r>
          </w:p>
          <w:p w14:paraId="19FE6FA9"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2018</w:t>
            </w:r>
          </w:p>
          <w:p w14:paraId="510E673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2028</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9A3AA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Da</w:t>
            </w:r>
          </w:p>
        </w:tc>
      </w:tr>
      <w:tr w:rsidR="00670FD4" w14:paraId="27C6A28E" w14:textId="77777777" w:rsidTr="001925BA">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87F90C"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Costinești</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6A2670"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informație indisponibilă</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5171D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2010</w:t>
            </w:r>
          </w:p>
          <w:p w14:paraId="388A7A6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 </w:t>
            </w:r>
          </w:p>
          <w:p w14:paraId="338603E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2020</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5089E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Nu</w:t>
            </w:r>
          </w:p>
        </w:tc>
      </w:tr>
      <w:tr w:rsidR="00670FD4" w14:paraId="0E4A4D78" w14:textId="77777777" w:rsidTr="001925BA">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56FA4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23 August</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CD383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informație indisponibilă</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F23A18"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2005</w:t>
            </w:r>
          </w:p>
          <w:p w14:paraId="23AB99B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2015</w:t>
            </w:r>
          </w:p>
          <w:p w14:paraId="0933CF3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2020</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A1B931"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Nu</w:t>
            </w:r>
          </w:p>
        </w:tc>
      </w:tr>
      <w:tr w:rsidR="00670FD4" w14:paraId="0D243EB3" w14:textId="77777777" w:rsidTr="001925BA">
        <w:trPr>
          <w:trHeight w:val="740"/>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8A9EB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Mangalia</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F73C6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informație indisponibilă</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D418AD"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2019</w:t>
            </w:r>
          </w:p>
          <w:p w14:paraId="0DC36A9C"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 </w:t>
            </w:r>
          </w:p>
          <w:p w14:paraId="1CDD9A4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2029</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741A5C"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Da</w:t>
            </w:r>
          </w:p>
        </w:tc>
      </w:tr>
      <w:tr w:rsidR="00670FD4" w14:paraId="11D22362" w14:textId="77777777" w:rsidTr="001925BA">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86157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Limanu</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F3730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în execuție</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903E0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2006</w:t>
            </w:r>
          </w:p>
          <w:p w14:paraId="42A8DA7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2016</w:t>
            </w:r>
          </w:p>
          <w:p w14:paraId="62D15F4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2026</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41A135"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Nu</w:t>
            </w:r>
          </w:p>
        </w:tc>
      </w:tr>
    </w:tbl>
    <w:p w14:paraId="45A411C3" w14:textId="77777777" w:rsidR="00670FD4" w:rsidRDefault="00670FD4" w:rsidP="00670FD4">
      <w:pPr>
        <w:spacing w:before="0"/>
        <w:rPr>
          <w:rFonts w:eastAsia="Times New Roman" w:cs="Times New Roman"/>
        </w:rPr>
      </w:pPr>
    </w:p>
    <w:p w14:paraId="424A314B" w14:textId="77777777" w:rsidR="00670FD4" w:rsidRPr="0080494A" w:rsidRDefault="00670FD4" w:rsidP="00670FD4">
      <w:pPr>
        <w:pStyle w:val="Heading5"/>
        <w:rPr>
          <w:b w:val="0"/>
        </w:rPr>
      </w:pPr>
      <w:r w:rsidRPr="0080494A">
        <w:rPr>
          <w:b w:val="0"/>
        </w:rPr>
        <w:lastRenderedPageBreak/>
        <w:t>Modul de ocupare a teritoriului Unităților Administrativ-teritoriale</w:t>
      </w:r>
      <w:r w:rsidRPr="0080494A">
        <w:rPr>
          <w:b w:val="0"/>
          <w:sz w:val="32"/>
          <w:szCs w:val="32"/>
        </w:rPr>
        <w:t> </w:t>
      </w:r>
    </w:p>
    <w:p w14:paraId="3351E0B7" w14:textId="77777777" w:rsidR="00670FD4" w:rsidRDefault="00670FD4" w:rsidP="00670FD4">
      <w:pPr>
        <w:ind w:firstLine="567"/>
        <w:rPr>
          <w:rFonts w:eastAsia="Times New Roman" w:cs="Times New Roman"/>
        </w:rPr>
      </w:pPr>
      <w:r>
        <w:rPr>
          <w:rFonts w:eastAsia="Times New Roman" w:cs="Times New Roman"/>
        </w:rPr>
        <w:t>Din perspectiva structurii generale a fondului funciar în cadrul teritoriului zonei costiere, terenurile agricole ocupă 97.465 hectare (27,42% din total), iar terenurile neagricole 257.982 hectare, reprezentând 72,58% din totalul suprafeței UAT-urilor. Suprafețele ocupate de terenurile agricole și neagricole pentru fiecare UAT sunt redate în Tabelul 2.4.8.8.2.</w:t>
      </w:r>
    </w:p>
    <w:p w14:paraId="6726977B" w14:textId="77777777" w:rsidR="00670FD4" w:rsidRDefault="00670FD4" w:rsidP="00670FD4">
      <w:pPr>
        <w:spacing w:line="240" w:lineRule="auto"/>
        <w:jc w:val="center"/>
        <w:rPr>
          <w:rFonts w:eastAsia="Times New Roman" w:cs="Times New Roman"/>
          <w:b/>
        </w:rPr>
      </w:pPr>
    </w:p>
    <w:p w14:paraId="4E8E4311" w14:textId="77777777" w:rsidR="00670FD4" w:rsidRDefault="00670FD4" w:rsidP="00670FD4">
      <w:pPr>
        <w:spacing w:line="240" w:lineRule="auto"/>
        <w:jc w:val="center"/>
        <w:rPr>
          <w:rFonts w:eastAsia="Times New Roman" w:cs="Times New Roman"/>
        </w:rPr>
      </w:pPr>
      <w:r>
        <w:rPr>
          <w:rFonts w:eastAsia="Times New Roman" w:cs="Times New Roman"/>
          <w:b/>
        </w:rPr>
        <w:t>Tabel 2.4.8.8.2 Structura ocupării terenurilor în UAT-urile din zona costieră</w:t>
      </w:r>
    </w:p>
    <w:tbl>
      <w:tblPr>
        <w:tblpPr w:leftFromText="180" w:rightFromText="180" w:vertAnchor="text" w:tblpX="887" w:tblpY="527"/>
        <w:tblW w:w="7251" w:type="dxa"/>
        <w:tblLayout w:type="fixed"/>
        <w:tblLook w:val="0400" w:firstRow="0" w:lastRow="0" w:firstColumn="0" w:lastColumn="0" w:noHBand="0" w:noVBand="1"/>
      </w:tblPr>
      <w:tblGrid>
        <w:gridCol w:w="1350"/>
        <w:gridCol w:w="1523"/>
        <w:gridCol w:w="2089"/>
        <w:gridCol w:w="2289"/>
      </w:tblGrid>
      <w:tr w:rsidR="00670FD4" w14:paraId="344C278B" w14:textId="77777777" w:rsidTr="001925BA">
        <w:trPr>
          <w:trHeight w:val="20"/>
        </w:trPr>
        <w:tc>
          <w:tcPr>
            <w:tcW w:w="1350" w:type="dxa"/>
            <w:tcBorders>
              <w:top w:val="single" w:sz="4"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42AFC6E8" w14:textId="77777777" w:rsidR="00670FD4" w:rsidRDefault="00670FD4" w:rsidP="001925BA">
            <w:pPr>
              <w:spacing w:before="0" w:after="0" w:line="240" w:lineRule="auto"/>
              <w:rPr>
                <w:rFonts w:eastAsia="Times New Roman" w:cs="Times New Roman"/>
                <w:sz w:val="20"/>
                <w:szCs w:val="20"/>
              </w:rPr>
            </w:pPr>
            <w:bookmarkStart w:id="103" w:name="_heading=h.2grqrue" w:colFirst="0" w:colLast="0"/>
            <w:bookmarkEnd w:id="103"/>
            <w:r>
              <w:rPr>
                <w:rFonts w:eastAsia="Times New Roman" w:cs="Times New Roman"/>
                <w:b/>
                <w:sz w:val="20"/>
                <w:szCs w:val="20"/>
              </w:rPr>
              <w:t>UAT</w:t>
            </w:r>
          </w:p>
        </w:tc>
        <w:tc>
          <w:tcPr>
            <w:tcW w:w="1523" w:type="dxa"/>
            <w:tcBorders>
              <w:top w:val="single" w:sz="4"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C6E830D"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sz w:val="20"/>
                <w:szCs w:val="20"/>
              </w:rPr>
              <w:t>Total UAT (ha)</w:t>
            </w:r>
          </w:p>
        </w:tc>
        <w:tc>
          <w:tcPr>
            <w:tcW w:w="2089" w:type="dxa"/>
            <w:tcBorders>
              <w:top w:val="single" w:sz="4"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6A6829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sz w:val="20"/>
                <w:szCs w:val="20"/>
              </w:rPr>
              <w:t>Terenuri agricole (ha)</w:t>
            </w:r>
          </w:p>
        </w:tc>
        <w:tc>
          <w:tcPr>
            <w:tcW w:w="2289" w:type="dxa"/>
            <w:tcBorders>
              <w:top w:val="single" w:sz="4" w:space="0" w:color="000000"/>
              <w:left w:val="single" w:sz="8" w:space="0" w:color="000000"/>
              <w:bottom w:val="single" w:sz="8" w:space="0" w:color="000000"/>
              <w:right w:val="single" w:sz="4" w:space="0" w:color="000000"/>
            </w:tcBorders>
            <w:shd w:val="clear" w:color="auto" w:fill="FFFFFF"/>
            <w:tcMar>
              <w:top w:w="100" w:type="dxa"/>
              <w:left w:w="100" w:type="dxa"/>
              <w:bottom w:w="100" w:type="dxa"/>
              <w:right w:w="100" w:type="dxa"/>
            </w:tcMar>
          </w:tcPr>
          <w:p w14:paraId="1CEC678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sz w:val="20"/>
                <w:szCs w:val="20"/>
              </w:rPr>
              <w:t>Terenuri neagricole (ha)</w:t>
            </w:r>
          </w:p>
        </w:tc>
      </w:tr>
      <w:tr w:rsidR="00670FD4" w14:paraId="54BE2E89" w14:textId="77777777" w:rsidTr="001925BA">
        <w:trPr>
          <w:trHeight w:val="20"/>
        </w:trPr>
        <w:tc>
          <w:tcPr>
            <w:tcW w:w="1350"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6895CB3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C. A. Rosetti</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A3223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26638,00</w:t>
            </w:r>
          </w:p>
        </w:tc>
        <w:tc>
          <w:tcPr>
            <w:tcW w:w="20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64EBF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3298,00</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30BCC429"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23340,00</w:t>
            </w:r>
          </w:p>
        </w:tc>
      </w:tr>
      <w:tr w:rsidR="00670FD4" w14:paraId="601C5A5D" w14:textId="77777777" w:rsidTr="001925BA">
        <w:trPr>
          <w:trHeight w:val="20"/>
        </w:trPr>
        <w:tc>
          <w:tcPr>
            <w:tcW w:w="1350"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1F0C2F3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Sulina</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7C049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32835,00</w:t>
            </w:r>
          </w:p>
        </w:tc>
        <w:tc>
          <w:tcPr>
            <w:tcW w:w="20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C98DE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835,00</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3856418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32000,00</w:t>
            </w:r>
          </w:p>
        </w:tc>
      </w:tr>
      <w:tr w:rsidR="00670FD4" w14:paraId="61995882" w14:textId="77777777" w:rsidTr="001925BA">
        <w:trPr>
          <w:trHeight w:val="20"/>
        </w:trPr>
        <w:tc>
          <w:tcPr>
            <w:tcW w:w="1350"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3AC393D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Sf. Gheorghe</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0AF10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60576,00</w:t>
            </w:r>
          </w:p>
        </w:tc>
        <w:tc>
          <w:tcPr>
            <w:tcW w:w="20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CD582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3156,00</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42BCD738"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57420,00</w:t>
            </w:r>
          </w:p>
        </w:tc>
      </w:tr>
      <w:tr w:rsidR="00670FD4" w14:paraId="572BAF5B" w14:textId="77777777" w:rsidTr="001925BA">
        <w:trPr>
          <w:trHeight w:val="20"/>
        </w:trPr>
        <w:tc>
          <w:tcPr>
            <w:tcW w:w="1350"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52E552E9"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Murighiol</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AA8CC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80449,00</w:t>
            </w:r>
          </w:p>
        </w:tc>
        <w:tc>
          <w:tcPr>
            <w:tcW w:w="20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E6DFB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9474,00</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6B2074B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70975,00</w:t>
            </w:r>
          </w:p>
        </w:tc>
      </w:tr>
      <w:tr w:rsidR="00670FD4" w14:paraId="26EB3294" w14:textId="77777777" w:rsidTr="001925BA">
        <w:trPr>
          <w:trHeight w:val="20"/>
        </w:trPr>
        <w:tc>
          <w:tcPr>
            <w:tcW w:w="1350"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41F32C8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Jurilovca</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FFCAD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29949,00</w:t>
            </w:r>
          </w:p>
        </w:tc>
        <w:tc>
          <w:tcPr>
            <w:tcW w:w="20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14D8B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8935,00</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52C9E88C" w14:textId="77777777" w:rsidR="00670FD4" w:rsidRDefault="00670FD4" w:rsidP="001925BA">
            <w:pPr>
              <w:spacing w:before="0" w:after="0" w:line="240" w:lineRule="auto"/>
              <w:ind w:firstLine="36"/>
              <w:jc w:val="left"/>
              <w:rPr>
                <w:rFonts w:eastAsia="Times New Roman" w:cs="Times New Roman"/>
                <w:sz w:val="20"/>
                <w:szCs w:val="20"/>
              </w:rPr>
            </w:pPr>
            <w:r>
              <w:rPr>
                <w:rFonts w:eastAsia="Times New Roman" w:cs="Times New Roman"/>
                <w:sz w:val="20"/>
                <w:szCs w:val="20"/>
              </w:rPr>
              <w:t>21014,00</w:t>
            </w:r>
          </w:p>
        </w:tc>
      </w:tr>
      <w:tr w:rsidR="00670FD4" w14:paraId="17674B67" w14:textId="77777777" w:rsidTr="001925BA">
        <w:trPr>
          <w:trHeight w:val="20"/>
        </w:trPr>
        <w:tc>
          <w:tcPr>
            <w:tcW w:w="1350"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28002AF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Mihai Viteazu</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7C047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20607,00</w:t>
            </w:r>
          </w:p>
        </w:tc>
        <w:tc>
          <w:tcPr>
            <w:tcW w:w="20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C51E4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9212,00</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46286995" w14:textId="77777777" w:rsidR="00670FD4" w:rsidRDefault="00670FD4" w:rsidP="001925BA">
            <w:pPr>
              <w:spacing w:before="0" w:after="0" w:line="240" w:lineRule="auto"/>
              <w:ind w:firstLine="36"/>
              <w:jc w:val="left"/>
              <w:rPr>
                <w:rFonts w:eastAsia="Times New Roman" w:cs="Times New Roman"/>
                <w:sz w:val="20"/>
                <w:szCs w:val="20"/>
              </w:rPr>
            </w:pPr>
            <w:r>
              <w:rPr>
                <w:rFonts w:eastAsia="Times New Roman" w:cs="Times New Roman"/>
                <w:sz w:val="20"/>
                <w:szCs w:val="20"/>
              </w:rPr>
              <w:t>11395,00</w:t>
            </w:r>
          </w:p>
        </w:tc>
      </w:tr>
      <w:tr w:rsidR="00670FD4" w14:paraId="35297F0D" w14:textId="77777777" w:rsidTr="001925BA">
        <w:trPr>
          <w:trHeight w:val="20"/>
        </w:trPr>
        <w:tc>
          <w:tcPr>
            <w:tcW w:w="1350"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70C472D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Istria</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7602A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18044,00</w:t>
            </w:r>
          </w:p>
        </w:tc>
        <w:tc>
          <w:tcPr>
            <w:tcW w:w="20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4FF5F7" w14:textId="77777777" w:rsidR="00670FD4" w:rsidRDefault="00670FD4" w:rsidP="001925BA">
            <w:pPr>
              <w:spacing w:before="0" w:after="0" w:line="240" w:lineRule="auto"/>
              <w:ind w:hanging="1"/>
              <w:rPr>
                <w:rFonts w:eastAsia="Times New Roman" w:cs="Times New Roman"/>
                <w:sz w:val="20"/>
                <w:szCs w:val="20"/>
              </w:rPr>
            </w:pPr>
            <w:r>
              <w:rPr>
                <w:rFonts w:eastAsia="Times New Roman" w:cs="Times New Roman"/>
                <w:sz w:val="20"/>
                <w:szCs w:val="20"/>
              </w:rPr>
              <w:t>8332,00</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4B9BDAE6" w14:textId="77777777" w:rsidR="00670FD4" w:rsidRDefault="00670FD4" w:rsidP="001925BA">
            <w:pPr>
              <w:spacing w:before="0" w:after="0" w:line="240" w:lineRule="auto"/>
              <w:ind w:firstLine="36"/>
              <w:jc w:val="left"/>
              <w:rPr>
                <w:rFonts w:eastAsia="Times New Roman" w:cs="Times New Roman"/>
                <w:sz w:val="20"/>
                <w:szCs w:val="20"/>
              </w:rPr>
            </w:pPr>
            <w:r>
              <w:rPr>
                <w:rFonts w:eastAsia="Times New Roman" w:cs="Times New Roman"/>
                <w:sz w:val="20"/>
                <w:szCs w:val="20"/>
              </w:rPr>
              <w:t>9712,00</w:t>
            </w:r>
          </w:p>
        </w:tc>
      </w:tr>
      <w:tr w:rsidR="00670FD4" w14:paraId="1DC39CF0" w14:textId="77777777" w:rsidTr="001925BA">
        <w:trPr>
          <w:trHeight w:val="20"/>
        </w:trPr>
        <w:tc>
          <w:tcPr>
            <w:tcW w:w="1350"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13FBD2D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Săcele</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D54A8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11636,00</w:t>
            </w:r>
          </w:p>
        </w:tc>
        <w:tc>
          <w:tcPr>
            <w:tcW w:w="20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9888D1" w14:textId="77777777" w:rsidR="00670FD4" w:rsidRDefault="00670FD4" w:rsidP="001925BA">
            <w:pPr>
              <w:spacing w:before="0" w:after="0" w:line="240" w:lineRule="auto"/>
              <w:ind w:hanging="1"/>
              <w:rPr>
                <w:rFonts w:eastAsia="Times New Roman" w:cs="Times New Roman"/>
                <w:sz w:val="20"/>
                <w:szCs w:val="20"/>
              </w:rPr>
            </w:pPr>
            <w:r>
              <w:rPr>
                <w:rFonts w:eastAsia="Times New Roman" w:cs="Times New Roman"/>
                <w:sz w:val="20"/>
                <w:szCs w:val="20"/>
              </w:rPr>
              <w:t>9413,00</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51C56BC1" w14:textId="77777777" w:rsidR="00670FD4" w:rsidRDefault="00670FD4" w:rsidP="001925BA">
            <w:pPr>
              <w:spacing w:before="0" w:after="0" w:line="240" w:lineRule="auto"/>
              <w:ind w:firstLine="36"/>
              <w:jc w:val="left"/>
              <w:rPr>
                <w:rFonts w:eastAsia="Times New Roman" w:cs="Times New Roman"/>
                <w:sz w:val="20"/>
                <w:szCs w:val="20"/>
              </w:rPr>
            </w:pPr>
            <w:r>
              <w:rPr>
                <w:rFonts w:eastAsia="Times New Roman" w:cs="Times New Roman"/>
                <w:sz w:val="20"/>
                <w:szCs w:val="20"/>
              </w:rPr>
              <w:t>2223,00</w:t>
            </w:r>
          </w:p>
        </w:tc>
      </w:tr>
      <w:tr w:rsidR="00670FD4" w14:paraId="4445B7B0" w14:textId="77777777" w:rsidTr="001925BA">
        <w:trPr>
          <w:trHeight w:val="20"/>
        </w:trPr>
        <w:tc>
          <w:tcPr>
            <w:tcW w:w="1350"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7468642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Corbu</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D6F22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11636,00</w:t>
            </w:r>
          </w:p>
        </w:tc>
        <w:tc>
          <w:tcPr>
            <w:tcW w:w="20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148ED2" w14:textId="77777777" w:rsidR="00670FD4" w:rsidRDefault="00670FD4" w:rsidP="001925BA">
            <w:pPr>
              <w:spacing w:before="0" w:after="0" w:line="240" w:lineRule="auto"/>
              <w:ind w:hanging="1"/>
              <w:rPr>
                <w:rFonts w:eastAsia="Times New Roman" w:cs="Times New Roman"/>
                <w:sz w:val="20"/>
                <w:szCs w:val="20"/>
              </w:rPr>
            </w:pPr>
            <w:r>
              <w:rPr>
                <w:rFonts w:eastAsia="Times New Roman" w:cs="Times New Roman"/>
                <w:sz w:val="20"/>
                <w:szCs w:val="20"/>
              </w:rPr>
              <w:t>10663,00</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57B7E129" w14:textId="77777777" w:rsidR="00670FD4" w:rsidRDefault="00670FD4" w:rsidP="001925BA">
            <w:pPr>
              <w:spacing w:before="0" w:after="0" w:line="240" w:lineRule="auto"/>
              <w:ind w:firstLine="36"/>
              <w:jc w:val="left"/>
              <w:rPr>
                <w:rFonts w:eastAsia="Times New Roman" w:cs="Times New Roman"/>
                <w:sz w:val="20"/>
                <w:szCs w:val="20"/>
              </w:rPr>
            </w:pPr>
            <w:r>
              <w:rPr>
                <w:rFonts w:eastAsia="Times New Roman" w:cs="Times New Roman"/>
                <w:sz w:val="20"/>
                <w:szCs w:val="20"/>
              </w:rPr>
              <w:t>7508,00</w:t>
            </w:r>
          </w:p>
        </w:tc>
      </w:tr>
      <w:tr w:rsidR="00670FD4" w14:paraId="57FEB51B" w14:textId="77777777" w:rsidTr="001925BA">
        <w:trPr>
          <w:trHeight w:val="20"/>
        </w:trPr>
        <w:tc>
          <w:tcPr>
            <w:tcW w:w="1350"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41A4B3F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Năvodari</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98696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6771,00</w:t>
            </w:r>
          </w:p>
        </w:tc>
        <w:tc>
          <w:tcPr>
            <w:tcW w:w="208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FDB54" w14:textId="77777777" w:rsidR="00670FD4" w:rsidRDefault="00670FD4" w:rsidP="001925BA">
            <w:pPr>
              <w:spacing w:before="0" w:after="0" w:line="240" w:lineRule="auto"/>
              <w:ind w:hanging="1"/>
              <w:rPr>
                <w:rFonts w:eastAsia="Times New Roman" w:cs="Times New Roman"/>
                <w:sz w:val="20"/>
                <w:szCs w:val="20"/>
              </w:rPr>
            </w:pPr>
            <w:r>
              <w:rPr>
                <w:rFonts w:eastAsia="Times New Roman" w:cs="Times New Roman"/>
                <w:sz w:val="20"/>
                <w:szCs w:val="20"/>
              </w:rPr>
              <w:t>6448</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7B5DC941" w14:textId="77777777" w:rsidR="00670FD4" w:rsidRDefault="00670FD4" w:rsidP="001925BA">
            <w:pPr>
              <w:spacing w:before="0" w:after="0" w:line="240" w:lineRule="auto"/>
              <w:ind w:firstLine="36"/>
              <w:jc w:val="left"/>
              <w:rPr>
                <w:rFonts w:eastAsia="Times New Roman" w:cs="Times New Roman"/>
                <w:sz w:val="20"/>
                <w:szCs w:val="20"/>
              </w:rPr>
            </w:pPr>
            <w:r>
              <w:rPr>
                <w:rFonts w:eastAsia="Times New Roman" w:cs="Times New Roman"/>
                <w:sz w:val="20"/>
                <w:szCs w:val="20"/>
              </w:rPr>
              <w:t>4468,00</w:t>
            </w:r>
          </w:p>
        </w:tc>
      </w:tr>
      <w:tr w:rsidR="00670FD4" w14:paraId="68D6C482" w14:textId="77777777" w:rsidTr="001925BA">
        <w:trPr>
          <w:trHeight w:val="20"/>
        </w:trPr>
        <w:tc>
          <w:tcPr>
            <w:tcW w:w="1350"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6176A30D"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Constanța</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5A063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14571,53</w:t>
            </w:r>
          </w:p>
        </w:tc>
        <w:tc>
          <w:tcPr>
            <w:tcW w:w="208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BAC1875" w14:textId="77777777" w:rsidR="00670FD4" w:rsidRDefault="00670FD4" w:rsidP="001925BA">
            <w:pPr>
              <w:spacing w:before="0" w:after="0" w:line="240" w:lineRule="auto"/>
              <w:ind w:hanging="1"/>
              <w:rPr>
                <w:rFonts w:eastAsia="Times New Roman" w:cs="Times New Roman"/>
                <w:sz w:val="20"/>
                <w:szCs w:val="20"/>
              </w:rPr>
            </w:pPr>
            <w:r>
              <w:rPr>
                <w:rFonts w:eastAsia="Times New Roman" w:cs="Times New Roman"/>
                <w:sz w:val="20"/>
                <w:szCs w:val="20"/>
              </w:rPr>
              <w:t>12507</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7433231B" w14:textId="77777777" w:rsidR="00670FD4" w:rsidRDefault="00670FD4" w:rsidP="001925BA">
            <w:pPr>
              <w:spacing w:before="0" w:after="0" w:line="240" w:lineRule="auto"/>
              <w:ind w:firstLine="36"/>
              <w:jc w:val="left"/>
              <w:rPr>
                <w:rFonts w:eastAsia="Times New Roman" w:cs="Times New Roman"/>
                <w:sz w:val="20"/>
                <w:szCs w:val="20"/>
              </w:rPr>
            </w:pPr>
            <w:r>
              <w:rPr>
                <w:rFonts w:eastAsia="Times New Roman" w:cs="Times New Roman"/>
                <w:sz w:val="20"/>
                <w:szCs w:val="20"/>
              </w:rPr>
              <w:t>8090,00</w:t>
            </w:r>
          </w:p>
        </w:tc>
      </w:tr>
      <w:tr w:rsidR="00670FD4" w14:paraId="210CC448" w14:textId="77777777" w:rsidTr="001925BA">
        <w:trPr>
          <w:trHeight w:val="20"/>
        </w:trPr>
        <w:tc>
          <w:tcPr>
            <w:tcW w:w="1350"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123D994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Agigea</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2D06E9"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4614,13</w:t>
            </w:r>
          </w:p>
        </w:tc>
        <w:tc>
          <w:tcPr>
            <w:tcW w:w="208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A6F109B" w14:textId="77777777" w:rsidR="00670FD4" w:rsidRDefault="00670FD4" w:rsidP="001925BA">
            <w:pPr>
              <w:spacing w:before="0" w:after="0" w:line="240" w:lineRule="auto"/>
              <w:ind w:hanging="1"/>
              <w:rPr>
                <w:rFonts w:eastAsia="Times New Roman" w:cs="Times New Roman"/>
                <w:sz w:val="20"/>
                <w:szCs w:val="20"/>
              </w:rPr>
            </w:pPr>
            <w:r>
              <w:rPr>
                <w:rFonts w:eastAsia="Times New Roman" w:cs="Times New Roman"/>
                <w:sz w:val="20"/>
                <w:szCs w:val="20"/>
              </w:rPr>
              <w:t>5245</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51DCDCBB" w14:textId="77777777" w:rsidR="00670FD4" w:rsidRDefault="00670FD4" w:rsidP="001925BA">
            <w:pPr>
              <w:spacing w:before="0" w:after="0" w:line="240" w:lineRule="auto"/>
              <w:ind w:firstLine="36"/>
              <w:jc w:val="left"/>
              <w:rPr>
                <w:rFonts w:eastAsia="Times New Roman" w:cs="Times New Roman"/>
                <w:sz w:val="20"/>
                <w:szCs w:val="20"/>
              </w:rPr>
            </w:pPr>
            <w:r>
              <w:rPr>
                <w:rFonts w:eastAsia="Times New Roman" w:cs="Times New Roman"/>
                <w:sz w:val="20"/>
                <w:szCs w:val="20"/>
              </w:rPr>
              <w:t>8090,00</w:t>
            </w:r>
          </w:p>
        </w:tc>
      </w:tr>
      <w:tr w:rsidR="00670FD4" w14:paraId="5DEE591C" w14:textId="77777777" w:rsidTr="001925BA">
        <w:trPr>
          <w:trHeight w:val="20"/>
        </w:trPr>
        <w:tc>
          <w:tcPr>
            <w:tcW w:w="1350"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01D2C98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Eforie</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8A5C4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716,17</w:t>
            </w:r>
          </w:p>
        </w:tc>
        <w:tc>
          <w:tcPr>
            <w:tcW w:w="208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D029231" w14:textId="77777777" w:rsidR="00670FD4" w:rsidRDefault="00670FD4" w:rsidP="001925BA">
            <w:pPr>
              <w:spacing w:before="0" w:after="0" w:line="240" w:lineRule="auto"/>
              <w:ind w:hanging="1"/>
              <w:rPr>
                <w:rFonts w:eastAsia="Times New Roman" w:cs="Times New Roman"/>
                <w:sz w:val="20"/>
                <w:szCs w:val="20"/>
              </w:rPr>
            </w:pPr>
            <w:r>
              <w:rPr>
                <w:rFonts w:eastAsia="Times New Roman" w:cs="Times New Roman"/>
                <w:sz w:val="20"/>
                <w:szCs w:val="20"/>
              </w:rPr>
              <w:t>467</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16AF4B74" w14:textId="77777777" w:rsidR="00670FD4" w:rsidRDefault="00670FD4" w:rsidP="001925BA">
            <w:pPr>
              <w:spacing w:before="0" w:after="0" w:line="240" w:lineRule="auto"/>
              <w:ind w:firstLine="36"/>
              <w:jc w:val="left"/>
              <w:rPr>
                <w:rFonts w:eastAsia="Times New Roman" w:cs="Times New Roman"/>
                <w:sz w:val="20"/>
                <w:szCs w:val="20"/>
              </w:rPr>
            </w:pPr>
            <w:r>
              <w:rPr>
                <w:rFonts w:eastAsia="Times New Roman" w:cs="Times New Roman"/>
                <w:sz w:val="20"/>
                <w:szCs w:val="20"/>
              </w:rPr>
              <w:t>441,00</w:t>
            </w:r>
          </w:p>
        </w:tc>
      </w:tr>
      <w:tr w:rsidR="00670FD4" w14:paraId="728001A9" w14:textId="77777777" w:rsidTr="001925BA">
        <w:trPr>
          <w:trHeight w:val="275"/>
        </w:trPr>
        <w:tc>
          <w:tcPr>
            <w:tcW w:w="1350"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1BDD7B5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Techirghiol</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D0745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3838,00</w:t>
            </w:r>
          </w:p>
        </w:tc>
        <w:tc>
          <w:tcPr>
            <w:tcW w:w="208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A0D1EDA" w14:textId="77777777" w:rsidR="00670FD4" w:rsidRDefault="00670FD4" w:rsidP="001925BA">
            <w:pPr>
              <w:spacing w:before="0" w:after="0" w:line="240" w:lineRule="auto"/>
              <w:ind w:hanging="1"/>
              <w:rPr>
                <w:rFonts w:eastAsia="Times New Roman" w:cs="Times New Roman"/>
                <w:sz w:val="20"/>
                <w:szCs w:val="20"/>
              </w:rPr>
            </w:pPr>
            <w:r>
              <w:rPr>
                <w:rFonts w:eastAsia="Times New Roman" w:cs="Times New Roman"/>
                <w:sz w:val="20"/>
                <w:szCs w:val="20"/>
              </w:rPr>
              <w:t>3838</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74656FD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1777,00</w:t>
            </w:r>
          </w:p>
        </w:tc>
      </w:tr>
      <w:tr w:rsidR="00670FD4" w14:paraId="0E1CD4F4" w14:textId="77777777" w:rsidTr="001925BA">
        <w:trPr>
          <w:trHeight w:val="20"/>
        </w:trPr>
        <w:tc>
          <w:tcPr>
            <w:tcW w:w="1350"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33CCB518"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Tuzla</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4C279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5066,12</w:t>
            </w:r>
          </w:p>
        </w:tc>
        <w:tc>
          <w:tcPr>
            <w:tcW w:w="208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796DB50" w14:textId="77777777" w:rsidR="00670FD4" w:rsidRDefault="00670FD4" w:rsidP="001925BA">
            <w:pPr>
              <w:spacing w:before="0" w:after="0" w:line="240" w:lineRule="auto"/>
              <w:ind w:hanging="1"/>
              <w:rPr>
                <w:rFonts w:eastAsia="Times New Roman" w:cs="Times New Roman"/>
                <w:sz w:val="20"/>
                <w:szCs w:val="20"/>
              </w:rPr>
            </w:pPr>
            <w:r>
              <w:rPr>
                <w:rFonts w:eastAsia="Times New Roman" w:cs="Times New Roman"/>
                <w:sz w:val="20"/>
                <w:szCs w:val="20"/>
              </w:rPr>
              <w:t>4895</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31686CA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753,00</w:t>
            </w:r>
          </w:p>
        </w:tc>
      </w:tr>
      <w:tr w:rsidR="00670FD4" w14:paraId="1F91B201" w14:textId="77777777" w:rsidTr="001925BA">
        <w:trPr>
          <w:trHeight w:val="20"/>
        </w:trPr>
        <w:tc>
          <w:tcPr>
            <w:tcW w:w="1350"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03225469"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23 August</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0CE35C"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777,34</w:t>
            </w:r>
          </w:p>
        </w:tc>
        <w:tc>
          <w:tcPr>
            <w:tcW w:w="208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47B2880" w14:textId="77777777" w:rsidR="00670FD4" w:rsidRDefault="00670FD4" w:rsidP="001925BA">
            <w:pPr>
              <w:spacing w:before="0" w:after="0" w:line="240" w:lineRule="auto"/>
              <w:ind w:hanging="1"/>
              <w:rPr>
                <w:rFonts w:eastAsia="Times New Roman" w:cs="Times New Roman"/>
                <w:sz w:val="20"/>
                <w:szCs w:val="20"/>
              </w:rPr>
            </w:pPr>
            <w:r>
              <w:rPr>
                <w:rFonts w:eastAsia="Times New Roman" w:cs="Times New Roman"/>
                <w:sz w:val="20"/>
                <w:szCs w:val="20"/>
              </w:rPr>
              <w:t>18171</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23CD8C7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752,00</w:t>
            </w:r>
          </w:p>
        </w:tc>
      </w:tr>
      <w:tr w:rsidR="00670FD4" w14:paraId="0128DFB8" w14:textId="77777777" w:rsidTr="001925BA">
        <w:trPr>
          <w:trHeight w:val="20"/>
        </w:trPr>
        <w:tc>
          <w:tcPr>
            <w:tcW w:w="1350"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336699D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Costinești</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29BAC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1923,04</w:t>
            </w:r>
          </w:p>
        </w:tc>
        <w:tc>
          <w:tcPr>
            <w:tcW w:w="208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5EE678A" w14:textId="77777777" w:rsidR="00670FD4" w:rsidRDefault="00670FD4" w:rsidP="001925BA">
            <w:pPr>
              <w:spacing w:before="0" w:after="0" w:line="240" w:lineRule="auto"/>
              <w:ind w:hanging="1"/>
              <w:rPr>
                <w:rFonts w:eastAsia="Times New Roman" w:cs="Times New Roman"/>
                <w:sz w:val="20"/>
                <w:szCs w:val="20"/>
              </w:rPr>
            </w:pPr>
            <w:r>
              <w:rPr>
                <w:rFonts w:eastAsia="Times New Roman" w:cs="Times New Roman"/>
                <w:sz w:val="20"/>
                <w:szCs w:val="20"/>
              </w:rPr>
              <w:t>18044</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7606E269"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385,00</w:t>
            </w:r>
          </w:p>
        </w:tc>
      </w:tr>
      <w:tr w:rsidR="00670FD4" w14:paraId="303A5ADC" w14:textId="77777777" w:rsidTr="001925BA">
        <w:trPr>
          <w:trHeight w:val="20"/>
        </w:trPr>
        <w:tc>
          <w:tcPr>
            <w:tcW w:w="1350"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181B35D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Mangalia</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ED421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5259,70</w:t>
            </w:r>
          </w:p>
        </w:tc>
        <w:tc>
          <w:tcPr>
            <w:tcW w:w="208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70D2830" w14:textId="77777777" w:rsidR="00670FD4" w:rsidRDefault="00670FD4" w:rsidP="001925BA">
            <w:pPr>
              <w:spacing w:before="0" w:after="0" w:line="240" w:lineRule="auto"/>
              <w:ind w:hanging="1"/>
              <w:rPr>
                <w:rFonts w:eastAsia="Times New Roman" w:cs="Times New Roman"/>
                <w:sz w:val="20"/>
                <w:szCs w:val="20"/>
              </w:rPr>
            </w:pPr>
            <w:r>
              <w:rPr>
                <w:rFonts w:eastAsia="Times New Roman" w:cs="Times New Roman"/>
                <w:sz w:val="20"/>
                <w:szCs w:val="20"/>
              </w:rPr>
              <w:t>7313</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0ECB81AC"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2740,00</w:t>
            </w:r>
          </w:p>
        </w:tc>
      </w:tr>
      <w:tr w:rsidR="00670FD4" w14:paraId="2134B5E2" w14:textId="77777777" w:rsidTr="001925BA">
        <w:trPr>
          <w:trHeight w:val="20"/>
        </w:trPr>
        <w:tc>
          <w:tcPr>
            <w:tcW w:w="1350" w:type="dxa"/>
            <w:tcBorders>
              <w:top w:val="single" w:sz="8" w:space="0" w:color="000000"/>
              <w:left w:val="single" w:sz="4" w:space="0" w:color="000000"/>
              <w:bottom w:val="single" w:sz="4" w:space="0" w:color="000000"/>
              <w:right w:val="single" w:sz="8" w:space="0" w:color="000000"/>
            </w:tcBorders>
            <w:shd w:val="clear" w:color="auto" w:fill="FFFFFF"/>
            <w:tcMar>
              <w:top w:w="100" w:type="dxa"/>
              <w:left w:w="100" w:type="dxa"/>
              <w:bottom w:w="100" w:type="dxa"/>
              <w:right w:w="100" w:type="dxa"/>
            </w:tcMar>
          </w:tcPr>
          <w:p w14:paraId="49BC665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Limanu</w:t>
            </w:r>
          </w:p>
        </w:tc>
        <w:tc>
          <w:tcPr>
            <w:tcW w:w="1523"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5BADF45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7217,06</w:t>
            </w:r>
          </w:p>
        </w:tc>
        <w:tc>
          <w:tcPr>
            <w:tcW w:w="2089" w:type="dxa"/>
            <w:tcBorders>
              <w:top w:val="single" w:sz="8" w:space="0" w:color="000000"/>
              <w:left w:val="single" w:sz="8" w:space="0" w:color="000000"/>
              <w:bottom w:val="single" w:sz="4" w:space="0" w:color="000000"/>
              <w:right w:val="single" w:sz="8" w:space="0" w:color="000000"/>
            </w:tcBorders>
            <w:shd w:val="clear" w:color="auto" w:fill="FFFFFF"/>
            <w:tcMar>
              <w:top w:w="100" w:type="dxa"/>
              <w:left w:w="100" w:type="dxa"/>
              <w:bottom w:w="100" w:type="dxa"/>
              <w:right w:w="100" w:type="dxa"/>
            </w:tcMar>
          </w:tcPr>
          <w:p w14:paraId="3B8368F3" w14:textId="77777777" w:rsidR="00670FD4" w:rsidRDefault="00670FD4" w:rsidP="001925BA">
            <w:pPr>
              <w:spacing w:before="0" w:after="0" w:line="240" w:lineRule="auto"/>
              <w:ind w:hanging="1"/>
              <w:rPr>
                <w:rFonts w:eastAsia="Times New Roman" w:cs="Times New Roman"/>
                <w:sz w:val="20"/>
                <w:szCs w:val="20"/>
              </w:rPr>
            </w:pPr>
            <w:r>
              <w:rPr>
                <w:rFonts w:eastAsia="Times New Roman" w:cs="Times New Roman"/>
                <w:sz w:val="20"/>
                <w:szCs w:val="20"/>
              </w:rPr>
              <w:t>20607</w:t>
            </w:r>
          </w:p>
        </w:tc>
        <w:tc>
          <w:tcPr>
            <w:tcW w:w="2289" w:type="dxa"/>
            <w:tcBorders>
              <w:top w:val="single" w:sz="8" w:space="0" w:color="000000"/>
              <w:left w:val="single" w:sz="8" w:space="0" w:color="000000"/>
              <w:bottom w:val="single" w:sz="4" w:space="0" w:color="000000"/>
              <w:right w:val="single" w:sz="4" w:space="0" w:color="000000"/>
            </w:tcBorders>
            <w:tcMar>
              <w:top w:w="100" w:type="dxa"/>
              <w:left w:w="100" w:type="dxa"/>
              <w:bottom w:w="100" w:type="dxa"/>
              <w:right w:w="100" w:type="dxa"/>
            </w:tcMar>
          </w:tcPr>
          <w:p w14:paraId="3B5E06B9"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sz w:val="20"/>
                <w:szCs w:val="20"/>
              </w:rPr>
              <w:t>1191,00</w:t>
            </w:r>
          </w:p>
        </w:tc>
      </w:tr>
    </w:tbl>
    <w:p w14:paraId="7E326E4C" w14:textId="77777777" w:rsidR="00670FD4" w:rsidRDefault="00670FD4" w:rsidP="00670FD4">
      <w:pPr>
        <w:spacing w:line="240" w:lineRule="auto"/>
        <w:ind w:firstLine="0"/>
        <w:rPr>
          <w:rFonts w:eastAsia="Times New Roman" w:cs="Times New Roman"/>
          <w:b/>
        </w:rPr>
      </w:pPr>
    </w:p>
    <w:p w14:paraId="6FBE5996" w14:textId="77777777" w:rsidR="00670FD4" w:rsidRDefault="00670FD4" w:rsidP="00670FD4">
      <w:pPr>
        <w:spacing w:line="240" w:lineRule="auto"/>
        <w:jc w:val="center"/>
        <w:rPr>
          <w:rFonts w:eastAsia="Times New Roman" w:cs="Times New Roman"/>
          <w:b/>
        </w:rPr>
      </w:pPr>
    </w:p>
    <w:p w14:paraId="747FB29F" w14:textId="77777777" w:rsidR="00670FD4" w:rsidRDefault="00670FD4" w:rsidP="00670FD4">
      <w:pPr>
        <w:spacing w:line="240" w:lineRule="auto"/>
        <w:jc w:val="center"/>
        <w:rPr>
          <w:rFonts w:eastAsia="Times New Roman" w:cs="Times New Roman"/>
          <w:b/>
        </w:rPr>
      </w:pPr>
    </w:p>
    <w:p w14:paraId="61F46396" w14:textId="77777777" w:rsidR="00670FD4" w:rsidRDefault="00670FD4" w:rsidP="00670FD4">
      <w:pPr>
        <w:spacing w:line="240" w:lineRule="auto"/>
        <w:jc w:val="center"/>
        <w:rPr>
          <w:rFonts w:eastAsia="Times New Roman" w:cs="Times New Roman"/>
          <w:b/>
        </w:rPr>
      </w:pPr>
    </w:p>
    <w:p w14:paraId="779D6BFF" w14:textId="77777777" w:rsidR="00670FD4" w:rsidRDefault="00670FD4" w:rsidP="00670FD4">
      <w:pPr>
        <w:spacing w:line="240" w:lineRule="auto"/>
        <w:jc w:val="center"/>
        <w:rPr>
          <w:rFonts w:eastAsia="Times New Roman" w:cs="Times New Roman"/>
          <w:b/>
        </w:rPr>
      </w:pPr>
    </w:p>
    <w:p w14:paraId="6D45152A" w14:textId="77777777" w:rsidR="00670FD4" w:rsidRDefault="00670FD4" w:rsidP="00670FD4">
      <w:pPr>
        <w:spacing w:line="240" w:lineRule="auto"/>
        <w:jc w:val="center"/>
        <w:rPr>
          <w:rFonts w:eastAsia="Times New Roman" w:cs="Times New Roman"/>
          <w:b/>
        </w:rPr>
      </w:pPr>
    </w:p>
    <w:p w14:paraId="0E49CC18" w14:textId="77777777" w:rsidR="00670FD4" w:rsidRDefault="00670FD4" w:rsidP="00670FD4">
      <w:pPr>
        <w:spacing w:line="240" w:lineRule="auto"/>
        <w:jc w:val="center"/>
        <w:rPr>
          <w:rFonts w:eastAsia="Times New Roman" w:cs="Times New Roman"/>
          <w:b/>
        </w:rPr>
      </w:pPr>
    </w:p>
    <w:p w14:paraId="4027747C" w14:textId="77777777" w:rsidR="00670FD4" w:rsidRDefault="00670FD4" w:rsidP="00670FD4"/>
    <w:p w14:paraId="44AC82A0" w14:textId="77777777" w:rsidR="00670FD4" w:rsidRDefault="00670FD4" w:rsidP="00670FD4">
      <w:pPr>
        <w:ind w:firstLine="567"/>
        <w:rPr>
          <w:rFonts w:eastAsia="Times New Roman" w:cs="Times New Roman"/>
        </w:rPr>
      </w:pPr>
    </w:p>
    <w:p w14:paraId="291C1C34" w14:textId="77777777" w:rsidR="00670FD4" w:rsidRDefault="00670FD4" w:rsidP="00670FD4">
      <w:pPr>
        <w:ind w:firstLine="567"/>
        <w:rPr>
          <w:rFonts w:eastAsia="Times New Roman" w:cs="Times New Roman"/>
        </w:rPr>
      </w:pPr>
    </w:p>
    <w:p w14:paraId="3672B5D5" w14:textId="77777777" w:rsidR="00670FD4" w:rsidRDefault="00670FD4" w:rsidP="00670FD4">
      <w:pPr>
        <w:ind w:firstLine="567"/>
        <w:rPr>
          <w:rFonts w:eastAsia="Times New Roman" w:cs="Times New Roman"/>
        </w:rPr>
      </w:pPr>
    </w:p>
    <w:p w14:paraId="69B67608" w14:textId="77777777" w:rsidR="00670FD4" w:rsidRDefault="00670FD4" w:rsidP="00670FD4">
      <w:pPr>
        <w:ind w:firstLine="567"/>
        <w:rPr>
          <w:rFonts w:eastAsia="Times New Roman" w:cs="Times New Roman"/>
        </w:rPr>
      </w:pPr>
    </w:p>
    <w:p w14:paraId="17DAFFF4" w14:textId="77777777" w:rsidR="00670FD4" w:rsidRDefault="00670FD4" w:rsidP="00670FD4">
      <w:pPr>
        <w:ind w:firstLine="567"/>
        <w:rPr>
          <w:rFonts w:eastAsia="Times New Roman" w:cs="Times New Roman"/>
        </w:rPr>
      </w:pPr>
    </w:p>
    <w:p w14:paraId="4799EE76" w14:textId="77777777" w:rsidR="00670FD4" w:rsidRDefault="00670FD4" w:rsidP="00670FD4">
      <w:pPr>
        <w:spacing w:before="0"/>
        <w:ind w:firstLine="567"/>
        <w:rPr>
          <w:rFonts w:eastAsia="Times New Roman" w:cs="Times New Roman"/>
        </w:rPr>
      </w:pPr>
      <w:r>
        <w:rPr>
          <w:rFonts w:eastAsia="Times New Roman" w:cs="Times New Roman"/>
        </w:rPr>
        <w:t>Comunele 23 August, Tuzla, Limanu, Costinești și Săcele, toate din județul Constanța, se disting din perspectiva unei ponderi de peste 80 % a terenurilor agricole din totalul suprafeței lor administrative, în timp ce orașele Sulina, Eforie și comunele Sfântu Gheorghe, Murighiol și C.A. Rosetti dețin ponderi semnificative, de peste 80 % a terenurilor neagricole.</w:t>
      </w:r>
    </w:p>
    <w:p w14:paraId="775DEEE5" w14:textId="77777777" w:rsidR="00670FD4" w:rsidRDefault="00670FD4" w:rsidP="00670FD4">
      <w:pPr>
        <w:spacing w:before="0"/>
        <w:ind w:firstLine="567"/>
        <w:rPr>
          <w:rFonts w:eastAsia="Times New Roman" w:cs="Times New Roman"/>
        </w:rPr>
      </w:pPr>
      <w:r>
        <w:rPr>
          <w:rFonts w:eastAsia="Times New Roman" w:cs="Times New Roman"/>
        </w:rPr>
        <w:lastRenderedPageBreak/>
        <w:t>Tabelul 2.4.8.8.3 redă structura terenurilor neagricole din teritoriul zonei costiere. Din perspectiva suprafețelor de teren ocupate efectiv cu construcții, atât ca și valori absolute, cât și ca pondere în totalul suprafețelor, UAT-urile din sectorul nordic se remarcă prin valori foarte scăzute, sugerând gradul scăzut de urbanizare. De asemenea, caracteristic întregului sector nordic este ponderea extrem de mică spre zero (C.A. Rosetti) a terenurilor ocupate de căi de comunicație, ceea ce arată și accesibilitatea redusă. Se remarcă, în UAT Sulina și C.A Rosetti, ponderea foarte ridicată a teritoriului ocupat de ape.</w:t>
      </w:r>
    </w:p>
    <w:p w14:paraId="69A2B2B6" w14:textId="77777777" w:rsidR="00670FD4" w:rsidRDefault="00670FD4" w:rsidP="00670FD4">
      <w:pPr>
        <w:spacing w:before="0"/>
        <w:ind w:firstLine="567"/>
        <w:rPr>
          <w:rFonts w:eastAsia="Times New Roman" w:cs="Times New Roman"/>
          <w:color w:val="FF0000"/>
        </w:rPr>
      </w:pPr>
      <w:r>
        <w:rPr>
          <w:rFonts w:eastAsia="Times New Roman" w:cs="Times New Roman"/>
        </w:rPr>
        <w:t>În schimb, în sectorul sudic al zonei de studiu, ponderea suprafețelor construite este ridicată și, de asemenea, ponderea terenurilor ocupate de căi de comunicație și căi ferate indică un grad mare de accesibilitate. Cea mai ridicată pondere a suprafeței construite raportată la suprafața totală neagricolă este deținută de UAT Eforie (66,81 %), urmată de municipiul Constanța (37,01 %) (Tabel 2.4.8.8.3). </w:t>
      </w:r>
    </w:p>
    <w:p w14:paraId="21AEE322" w14:textId="77777777" w:rsidR="00670FD4" w:rsidRDefault="00670FD4" w:rsidP="00670FD4">
      <w:pPr>
        <w:spacing w:before="0" w:line="240" w:lineRule="auto"/>
        <w:rPr>
          <w:b/>
          <w:color w:val="000000"/>
          <w:sz w:val="20"/>
          <w:szCs w:val="20"/>
        </w:rPr>
      </w:pPr>
    </w:p>
    <w:p w14:paraId="4D4C6239" w14:textId="77777777" w:rsidR="00670FD4" w:rsidRDefault="00670FD4" w:rsidP="00670FD4">
      <w:pPr>
        <w:spacing w:after="0" w:line="240" w:lineRule="auto"/>
        <w:ind w:left="697" w:hanging="697"/>
        <w:jc w:val="center"/>
        <w:rPr>
          <w:rFonts w:eastAsia="Times New Roman" w:cs="Times New Roman"/>
        </w:rPr>
      </w:pPr>
      <w:bookmarkStart w:id="104" w:name="_heading=h.vx1227" w:colFirst="0" w:colLast="0"/>
      <w:bookmarkEnd w:id="104"/>
      <w:r>
        <w:rPr>
          <w:rFonts w:eastAsia="Times New Roman" w:cs="Times New Roman"/>
          <w:b/>
          <w:color w:val="000000"/>
        </w:rPr>
        <w:t>Tabel 2.4.8.8.3</w:t>
      </w:r>
      <w:r>
        <w:rPr>
          <w:rFonts w:eastAsia="Times New Roman" w:cs="Times New Roman"/>
          <w:color w:val="000000"/>
        </w:rPr>
        <w:t xml:space="preserve"> </w:t>
      </w:r>
      <w:r>
        <w:rPr>
          <w:rFonts w:eastAsia="Times New Roman" w:cs="Times New Roman"/>
          <w:b/>
          <w:color w:val="000000"/>
        </w:rPr>
        <w:t>Structura terenurilor neagricole în teritoriul zonei costiere (</w:t>
      </w:r>
      <w:r>
        <w:rPr>
          <w:rFonts w:eastAsia="Times New Roman" w:cs="Times New Roman"/>
          <w:b/>
          <w:i/>
          <w:color w:val="000000"/>
        </w:rPr>
        <w:t>sursa: INSSE, 2023</w:t>
      </w:r>
      <w:r>
        <w:rPr>
          <w:rFonts w:eastAsia="Times New Roman" w:cs="Times New Roman"/>
          <w:b/>
          <w:color w:val="000000"/>
        </w:rPr>
        <w:t>)</w:t>
      </w:r>
    </w:p>
    <w:tbl>
      <w:tblPr>
        <w:tblW w:w="9016" w:type="dxa"/>
        <w:tblLayout w:type="fixed"/>
        <w:tblLook w:val="0400" w:firstRow="0" w:lastRow="0" w:firstColumn="0" w:lastColumn="0" w:noHBand="0" w:noVBand="1"/>
      </w:tblPr>
      <w:tblGrid>
        <w:gridCol w:w="1323"/>
        <w:gridCol w:w="727"/>
        <w:gridCol w:w="779"/>
        <w:gridCol w:w="818"/>
        <w:gridCol w:w="767"/>
        <w:gridCol w:w="732"/>
        <w:gridCol w:w="784"/>
        <w:gridCol w:w="751"/>
        <w:gridCol w:w="805"/>
        <w:gridCol w:w="739"/>
        <w:gridCol w:w="791"/>
      </w:tblGrid>
      <w:tr w:rsidR="00670FD4" w14:paraId="2B23C90B" w14:textId="77777777" w:rsidTr="001925BA">
        <w:trPr>
          <w:trHeight w:val="530"/>
        </w:trPr>
        <w:tc>
          <w:tcPr>
            <w:tcW w:w="1323" w:type="dxa"/>
            <w:vMerge w:val="restart"/>
            <w:tcBorders>
              <w:top w:val="single" w:sz="4"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0660FA81" w14:textId="77777777" w:rsidR="00670FD4" w:rsidRDefault="00670FD4" w:rsidP="001925BA">
            <w:pPr>
              <w:spacing w:before="0" w:after="0" w:line="240" w:lineRule="auto"/>
              <w:ind w:left="100" w:hanging="63"/>
              <w:rPr>
                <w:rFonts w:eastAsia="Times New Roman" w:cs="Times New Roman"/>
                <w:sz w:val="20"/>
                <w:szCs w:val="20"/>
              </w:rPr>
            </w:pPr>
            <w:r>
              <w:rPr>
                <w:rFonts w:eastAsia="Times New Roman" w:cs="Times New Roman"/>
                <w:b/>
                <w:color w:val="000000"/>
                <w:sz w:val="20"/>
                <w:szCs w:val="20"/>
              </w:rPr>
              <w:t>Structura terenurilor neagricole</w:t>
            </w:r>
          </w:p>
          <w:p w14:paraId="5176D984" w14:textId="77777777" w:rsidR="00670FD4" w:rsidRDefault="00670FD4" w:rsidP="001925BA">
            <w:pPr>
              <w:spacing w:before="0" w:after="0" w:line="240" w:lineRule="auto"/>
              <w:ind w:left="100" w:hanging="63"/>
              <w:rPr>
                <w:rFonts w:eastAsia="Times New Roman" w:cs="Times New Roman"/>
                <w:sz w:val="20"/>
                <w:szCs w:val="20"/>
              </w:rPr>
            </w:pPr>
            <w:r>
              <w:rPr>
                <w:rFonts w:eastAsia="Times New Roman" w:cs="Times New Roman"/>
                <w:b/>
                <w:color w:val="000000"/>
                <w:sz w:val="20"/>
                <w:szCs w:val="20"/>
              </w:rPr>
              <w:t> (2014)</w:t>
            </w:r>
          </w:p>
        </w:tc>
        <w:tc>
          <w:tcPr>
            <w:tcW w:w="1506" w:type="dxa"/>
            <w:gridSpan w:val="2"/>
            <w:tcBorders>
              <w:top w:val="single" w:sz="4"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7836EB3"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b/>
                <w:color w:val="000000"/>
                <w:sz w:val="20"/>
                <w:szCs w:val="20"/>
              </w:rPr>
              <w:t>Păduri și vegetație forestieră</w:t>
            </w:r>
          </w:p>
        </w:tc>
        <w:tc>
          <w:tcPr>
            <w:tcW w:w="1585" w:type="dxa"/>
            <w:gridSpan w:val="2"/>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3AA962"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b/>
                <w:color w:val="000000"/>
                <w:sz w:val="20"/>
                <w:szCs w:val="20"/>
              </w:rPr>
              <w:t>Terenuri ocupate cu ape</w:t>
            </w:r>
          </w:p>
        </w:tc>
        <w:tc>
          <w:tcPr>
            <w:tcW w:w="1516" w:type="dxa"/>
            <w:gridSpan w:val="2"/>
            <w:tcBorders>
              <w:top w:val="single" w:sz="4"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2D810512"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b/>
                <w:color w:val="000000"/>
                <w:sz w:val="20"/>
                <w:szCs w:val="20"/>
              </w:rPr>
              <w:t>Terenuri ocupate cu construcții</w:t>
            </w:r>
          </w:p>
        </w:tc>
        <w:tc>
          <w:tcPr>
            <w:tcW w:w="1556" w:type="dxa"/>
            <w:gridSpan w:val="2"/>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AC4FAA"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b/>
                <w:color w:val="000000"/>
                <w:sz w:val="20"/>
                <w:szCs w:val="20"/>
              </w:rPr>
              <w:t>Terenuri cu căi de comunicații și căi ferate</w:t>
            </w:r>
          </w:p>
        </w:tc>
        <w:tc>
          <w:tcPr>
            <w:tcW w:w="1530" w:type="dxa"/>
            <w:gridSpan w:val="2"/>
            <w:tcBorders>
              <w:top w:val="single" w:sz="4"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72791B93"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b/>
                <w:color w:val="000000"/>
                <w:sz w:val="20"/>
                <w:szCs w:val="20"/>
              </w:rPr>
              <w:t>Terenuri degradate și neproductive</w:t>
            </w:r>
          </w:p>
        </w:tc>
      </w:tr>
      <w:tr w:rsidR="00670FD4" w14:paraId="26C78E53" w14:textId="77777777" w:rsidTr="001925BA">
        <w:trPr>
          <w:trHeight w:val="303"/>
        </w:trPr>
        <w:tc>
          <w:tcPr>
            <w:tcW w:w="1323" w:type="dxa"/>
            <w:vMerge/>
            <w:tcBorders>
              <w:top w:val="single" w:sz="4"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16E4818B" w14:textId="77777777" w:rsidR="00670FD4" w:rsidRDefault="00670FD4" w:rsidP="001925BA">
            <w:pPr>
              <w:widowControl w:val="0"/>
              <w:pBdr>
                <w:top w:val="nil"/>
                <w:left w:val="nil"/>
                <w:bottom w:val="nil"/>
                <w:right w:val="nil"/>
                <w:between w:val="nil"/>
              </w:pBdr>
              <w:spacing w:before="0" w:after="0"/>
              <w:ind w:hanging="63"/>
              <w:rPr>
                <w:rFonts w:eastAsia="Times New Roman" w:cs="Times New Roman"/>
                <w:sz w:val="20"/>
                <w:szCs w:val="20"/>
              </w:rPr>
            </w:pP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4A5D1A"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b/>
                <w:color w:val="000000"/>
                <w:sz w:val="20"/>
                <w:szCs w:val="20"/>
              </w:rPr>
              <w:t>ha</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E2A3B5"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b/>
                <w:color w:val="000000"/>
                <w:sz w:val="20"/>
                <w:szCs w:val="20"/>
              </w:rPr>
              <w:t>%*</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AF3ADC"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b/>
                <w:color w:val="000000"/>
                <w:sz w:val="20"/>
                <w:szCs w:val="20"/>
              </w:rPr>
              <w:t>ha</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71D72D"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000000"/>
                <w:sz w:val="20"/>
                <w:szCs w:val="20"/>
              </w:rPr>
              <w:t>%</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0E58973E"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b/>
                <w:color w:val="000000"/>
                <w:sz w:val="20"/>
                <w:szCs w:val="20"/>
              </w:rPr>
              <w:t>ha</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77AEDA58"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000000"/>
                <w:sz w:val="20"/>
                <w:szCs w:val="20"/>
              </w:rPr>
              <w:t>%</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FB6459"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b/>
                <w:color w:val="000000"/>
                <w:sz w:val="20"/>
                <w:szCs w:val="20"/>
              </w:rPr>
              <w:t>ha</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455FE9"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000000"/>
                <w:sz w:val="20"/>
                <w:szCs w:val="20"/>
              </w:rPr>
              <w:t>%</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7D1C40"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b/>
                <w:color w:val="000000"/>
                <w:sz w:val="20"/>
                <w:szCs w:val="20"/>
              </w:rPr>
              <w:t>ha</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46B19C5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000000"/>
                <w:sz w:val="20"/>
                <w:szCs w:val="20"/>
              </w:rPr>
              <w:t>%</w:t>
            </w:r>
          </w:p>
        </w:tc>
      </w:tr>
      <w:tr w:rsidR="00670FD4" w14:paraId="6D641EA9" w14:textId="77777777" w:rsidTr="001925BA">
        <w:trPr>
          <w:trHeight w:val="197"/>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50ABBC06" w14:textId="77777777" w:rsidR="00670FD4" w:rsidRDefault="00670FD4" w:rsidP="001925BA">
            <w:pPr>
              <w:spacing w:before="0" w:after="0" w:line="240" w:lineRule="auto"/>
              <w:ind w:hanging="63"/>
              <w:rPr>
                <w:rFonts w:eastAsia="Times New Roman" w:cs="Times New Roman"/>
                <w:sz w:val="20"/>
                <w:szCs w:val="20"/>
              </w:rPr>
            </w:pPr>
            <w:r>
              <w:rPr>
                <w:rFonts w:eastAsia="Times New Roman" w:cs="Times New Roman"/>
                <w:color w:val="000000"/>
                <w:sz w:val="20"/>
                <w:szCs w:val="20"/>
              </w:rPr>
              <w:t>C.A. Rosetti</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592305"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4355</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A165C9"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16,35</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CAAA3D"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17304</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F18DF3"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64,96</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41DF681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395</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32A7FDE9"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1,48</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C4B42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40143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541F95"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1286</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294C40F1"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4,83</w:t>
            </w:r>
          </w:p>
        </w:tc>
      </w:tr>
      <w:tr w:rsidR="00670FD4" w14:paraId="35955C4F" w14:textId="77777777" w:rsidTr="001925BA">
        <w:trPr>
          <w:trHeight w:val="175"/>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34F933AE" w14:textId="77777777" w:rsidR="00670FD4" w:rsidRDefault="00670FD4" w:rsidP="001925BA">
            <w:pPr>
              <w:spacing w:before="0" w:after="0" w:line="240" w:lineRule="auto"/>
              <w:ind w:hanging="63"/>
              <w:rPr>
                <w:rFonts w:eastAsia="Times New Roman" w:cs="Times New Roman"/>
                <w:sz w:val="20"/>
                <w:szCs w:val="20"/>
              </w:rPr>
            </w:pPr>
            <w:r>
              <w:rPr>
                <w:rFonts w:eastAsia="Times New Roman" w:cs="Times New Roman"/>
                <w:color w:val="000000"/>
                <w:sz w:val="20"/>
                <w:szCs w:val="20"/>
              </w:rPr>
              <w:t>Sulina</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405E78"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14</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750DA4"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0,04</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992392"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31212</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F66D74"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95,06</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15D1FE0B"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698</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340BAC10"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2,13</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D4A0E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6</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2D9581"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0,02</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CD8307"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70</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2828857A"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0,21</w:t>
            </w:r>
          </w:p>
        </w:tc>
      </w:tr>
      <w:tr w:rsidR="00670FD4" w14:paraId="668813D3" w14:textId="77777777" w:rsidTr="001925BA">
        <w:trPr>
          <w:trHeight w:val="422"/>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3E030503" w14:textId="77777777" w:rsidR="00670FD4" w:rsidRDefault="00670FD4" w:rsidP="001925BA">
            <w:pPr>
              <w:spacing w:before="0" w:after="0" w:line="240" w:lineRule="auto"/>
              <w:ind w:hanging="63"/>
              <w:rPr>
                <w:rFonts w:eastAsia="Times New Roman" w:cs="Times New Roman"/>
                <w:sz w:val="20"/>
                <w:szCs w:val="20"/>
              </w:rPr>
            </w:pPr>
            <w:r>
              <w:rPr>
                <w:rFonts w:eastAsia="Times New Roman" w:cs="Times New Roman"/>
                <w:color w:val="000000"/>
                <w:sz w:val="20"/>
                <w:szCs w:val="20"/>
              </w:rPr>
              <w:t>Sfântu Gheorghe</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E4146A"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2445</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EFF590" w14:textId="77777777" w:rsidR="00670FD4" w:rsidRDefault="00670FD4" w:rsidP="001925BA">
            <w:pPr>
              <w:spacing w:before="0" w:after="0" w:line="240" w:lineRule="auto"/>
              <w:ind w:left="100" w:right="15" w:firstLine="0"/>
              <w:rPr>
                <w:rFonts w:eastAsia="Times New Roman" w:cs="Times New Roman"/>
                <w:sz w:val="20"/>
                <w:szCs w:val="20"/>
              </w:rPr>
            </w:pPr>
            <w:r>
              <w:rPr>
                <w:rFonts w:eastAsia="Times New Roman" w:cs="Times New Roman"/>
                <w:color w:val="000000"/>
                <w:sz w:val="20"/>
                <w:szCs w:val="20"/>
              </w:rPr>
              <w:t>4,04</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AC3AA0"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53459</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51F780"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88,25</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3190A837"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121</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15922119"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0,20</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0C6AC4"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67</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689AE6"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0,11</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0B3E26"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1328</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0B5C146B"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2,19</w:t>
            </w:r>
          </w:p>
        </w:tc>
      </w:tr>
      <w:tr w:rsidR="00670FD4" w14:paraId="1735C1BA" w14:textId="77777777" w:rsidTr="001925BA">
        <w:trPr>
          <w:trHeight w:val="319"/>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0D6D8662" w14:textId="77777777" w:rsidR="00670FD4" w:rsidRDefault="00670FD4" w:rsidP="001925BA">
            <w:pPr>
              <w:spacing w:before="0" w:after="0" w:line="240" w:lineRule="auto"/>
              <w:ind w:hanging="63"/>
              <w:rPr>
                <w:rFonts w:eastAsia="Times New Roman" w:cs="Times New Roman"/>
                <w:sz w:val="20"/>
                <w:szCs w:val="20"/>
              </w:rPr>
            </w:pPr>
            <w:r>
              <w:rPr>
                <w:rFonts w:eastAsia="Times New Roman" w:cs="Times New Roman"/>
                <w:color w:val="000000"/>
                <w:sz w:val="20"/>
                <w:szCs w:val="20"/>
              </w:rPr>
              <w:t>Murighiol</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C91353"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2641</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F73A0E"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3,28</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7B224C"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65641</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DF9714"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81,59</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4AB38918"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479</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649F4BB6"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0,60</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2877D5"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116</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8A03BE"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0,14</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BE4FF0"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2098</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6E0D81B4"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2,61</w:t>
            </w:r>
          </w:p>
        </w:tc>
      </w:tr>
      <w:tr w:rsidR="00670FD4" w14:paraId="68D9C34D" w14:textId="77777777" w:rsidTr="001925BA">
        <w:trPr>
          <w:trHeight w:val="213"/>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0455CB06" w14:textId="77777777" w:rsidR="00670FD4" w:rsidRDefault="00670FD4" w:rsidP="001925BA">
            <w:pPr>
              <w:spacing w:before="0" w:after="0" w:line="240" w:lineRule="auto"/>
              <w:ind w:hanging="63"/>
              <w:rPr>
                <w:rFonts w:eastAsia="Times New Roman" w:cs="Times New Roman"/>
                <w:sz w:val="20"/>
                <w:szCs w:val="20"/>
              </w:rPr>
            </w:pPr>
            <w:r>
              <w:rPr>
                <w:rFonts w:eastAsia="Times New Roman" w:cs="Times New Roman"/>
                <w:color w:val="000000"/>
                <w:sz w:val="20"/>
                <w:szCs w:val="20"/>
              </w:rPr>
              <w:t>Jurilovca</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5A5F79"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595</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0D8AF0"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1,99</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97D4D5"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19805</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CCB956"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66,13</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51EED66F"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246</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52A53105"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0,82</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567EB6"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155</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47C330"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0,52</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17F5AE"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213</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35390DF8"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0,71</w:t>
            </w:r>
          </w:p>
        </w:tc>
      </w:tr>
      <w:tr w:rsidR="00670FD4" w14:paraId="1A842208" w14:textId="77777777" w:rsidTr="001925BA">
        <w:trPr>
          <w:trHeight w:val="460"/>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05264382" w14:textId="77777777" w:rsidR="00670FD4" w:rsidRDefault="00670FD4" w:rsidP="001925BA">
            <w:pPr>
              <w:spacing w:before="0" w:after="0" w:line="240" w:lineRule="auto"/>
              <w:ind w:hanging="63"/>
              <w:rPr>
                <w:rFonts w:eastAsia="Times New Roman" w:cs="Times New Roman"/>
                <w:sz w:val="20"/>
                <w:szCs w:val="20"/>
              </w:rPr>
            </w:pPr>
            <w:r>
              <w:rPr>
                <w:rFonts w:eastAsia="Times New Roman" w:cs="Times New Roman"/>
                <w:color w:val="000000"/>
                <w:sz w:val="20"/>
                <w:szCs w:val="20"/>
              </w:rPr>
              <w:t>Mihai Viteazu</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F8803C"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5C458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E33930"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10194</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159950"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49,47</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4CA778B7"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262</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4FCED8A0"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1,27</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594B4A"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344</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AA3590"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1,67</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D5D3CB"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595</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2F2ADD9A"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2,89</w:t>
            </w:r>
          </w:p>
        </w:tc>
      </w:tr>
      <w:tr w:rsidR="00670FD4" w14:paraId="6D9EA64B" w14:textId="77777777" w:rsidTr="001925BA">
        <w:trPr>
          <w:trHeight w:val="215"/>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5A1A5283" w14:textId="77777777" w:rsidR="00670FD4" w:rsidRDefault="00670FD4" w:rsidP="001925BA">
            <w:pPr>
              <w:spacing w:before="0" w:after="0" w:line="240" w:lineRule="auto"/>
              <w:ind w:hanging="63"/>
              <w:rPr>
                <w:rFonts w:eastAsia="Times New Roman" w:cs="Times New Roman"/>
                <w:sz w:val="20"/>
                <w:szCs w:val="20"/>
              </w:rPr>
            </w:pPr>
            <w:r>
              <w:rPr>
                <w:rFonts w:eastAsia="Times New Roman" w:cs="Times New Roman"/>
                <w:color w:val="000000"/>
                <w:sz w:val="20"/>
                <w:szCs w:val="20"/>
              </w:rPr>
              <w:t>Istria</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DC61F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A78D5D"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E6DE95"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9431</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F5E400"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52,27</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2438C718"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198</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313A9732"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1,10</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C72AD6"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83</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C32D23"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0,46</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A73F9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133EDC8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r>
      <w:tr w:rsidR="00670FD4" w14:paraId="3719F2FE" w14:textId="77777777" w:rsidTr="001925BA">
        <w:trPr>
          <w:trHeight w:val="178"/>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7A5E6C20" w14:textId="77777777" w:rsidR="00670FD4" w:rsidRDefault="00670FD4" w:rsidP="001925BA">
            <w:pPr>
              <w:spacing w:before="0" w:after="0" w:line="240" w:lineRule="auto"/>
              <w:ind w:hanging="63"/>
              <w:rPr>
                <w:rFonts w:eastAsia="Times New Roman" w:cs="Times New Roman"/>
                <w:sz w:val="20"/>
                <w:szCs w:val="20"/>
              </w:rPr>
            </w:pPr>
            <w:r>
              <w:rPr>
                <w:rFonts w:eastAsia="Times New Roman" w:cs="Times New Roman"/>
                <w:color w:val="000000"/>
                <w:sz w:val="20"/>
                <w:szCs w:val="20"/>
              </w:rPr>
              <w:t>Săcele</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67029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4</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DAEAD0"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0,03</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6F21D9"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945</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727E71"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8,12</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63696B39"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235</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5E43500F"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2,02</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632DEF"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183</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E6058A"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1,57</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6F3F33"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856</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4FD8469E"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7,36</w:t>
            </w:r>
          </w:p>
        </w:tc>
      </w:tr>
      <w:tr w:rsidR="00670FD4" w14:paraId="452989B3" w14:textId="77777777" w:rsidTr="001925BA">
        <w:trPr>
          <w:trHeight w:val="171"/>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798BBAB5" w14:textId="77777777" w:rsidR="00670FD4" w:rsidRDefault="00670FD4" w:rsidP="001925BA">
            <w:pPr>
              <w:spacing w:before="0" w:after="0" w:line="240" w:lineRule="auto"/>
              <w:ind w:hanging="63"/>
              <w:rPr>
                <w:rFonts w:eastAsia="Times New Roman" w:cs="Times New Roman"/>
                <w:sz w:val="20"/>
                <w:szCs w:val="20"/>
              </w:rPr>
            </w:pPr>
            <w:r>
              <w:rPr>
                <w:rFonts w:eastAsia="Times New Roman" w:cs="Times New Roman"/>
                <w:color w:val="000000"/>
                <w:sz w:val="20"/>
                <w:szCs w:val="20"/>
              </w:rPr>
              <w:t>Corbu</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86BA0D"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212</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9C47C8"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1,17</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7AB34D"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174</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3D68A4"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0,96</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41E422FC"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355</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681EFB5B"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1,95</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9DBBC9"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121</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39CCCF"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0,67</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730348"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6646</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5C51B214"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36,57</w:t>
            </w:r>
          </w:p>
        </w:tc>
      </w:tr>
      <w:tr w:rsidR="00670FD4" w14:paraId="1A5D7852" w14:textId="77777777" w:rsidTr="001925BA">
        <w:trPr>
          <w:trHeight w:val="305"/>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65946919" w14:textId="77777777" w:rsidR="00670FD4" w:rsidRDefault="00670FD4" w:rsidP="001925BA">
            <w:pPr>
              <w:spacing w:before="0" w:after="0" w:line="240" w:lineRule="auto"/>
              <w:ind w:hanging="63"/>
              <w:rPr>
                <w:rFonts w:eastAsia="Times New Roman" w:cs="Times New Roman"/>
                <w:sz w:val="20"/>
                <w:szCs w:val="20"/>
              </w:rPr>
            </w:pPr>
            <w:r>
              <w:rPr>
                <w:rFonts w:eastAsia="Times New Roman" w:cs="Times New Roman"/>
                <w:color w:val="000000"/>
                <w:sz w:val="20"/>
                <w:szCs w:val="20"/>
              </w:rPr>
              <w:t>Năvodari</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90D274"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81</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E674F9"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1,26</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223D3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2395</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9328C5"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37,14</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178FD37A"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1793</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03B0B4DC"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27,81</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16FE9D"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163</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32AAB2"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2,53</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CB4A74"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36</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51F40B2C"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0,56</w:t>
            </w:r>
          </w:p>
        </w:tc>
      </w:tr>
      <w:tr w:rsidR="00670FD4" w14:paraId="4F8E2AD3" w14:textId="77777777" w:rsidTr="001925BA">
        <w:trPr>
          <w:trHeight w:val="201"/>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0EDD9365" w14:textId="77777777" w:rsidR="00670FD4" w:rsidRDefault="00670FD4" w:rsidP="001925BA">
            <w:pPr>
              <w:spacing w:before="0" w:after="0" w:line="240" w:lineRule="auto"/>
              <w:ind w:hanging="63"/>
              <w:rPr>
                <w:rFonts w:eastAsia="Times New Roman" w:cs="Times New Roman"/>
                <w:sz w:val="20"/>
                <w:szCs w:val="20"/>
              </w:rPr>
            </w:pPr>
            <w:r>
              <w:rPr>
                <w:rFonts w:eastAsia="Times New Roman" w:cs="Times New Roman"/>
                <w:color w:val="000000"/>
                <w:sz w:val="20"/>
                <w:szCs w:val="20"/>
              </w:rPr>
              <w:t>Constanța</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6C469B"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26</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DD9C00"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0,21</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B670DC"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1969</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147EFC"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15,74</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00588C4D"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4629</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600B1819"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37,01</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A864C8"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1381</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2F0B8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11,04</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D9D65F"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85</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6E01A119"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0,68</w:t>
            </w:r>
          </w:p>
        </w:tc>
      </w:tr>
      <w:tr w:rsidR="00670FD4" w14:paraId="25FA7DB5" w14:textId="77777777" w:rsidTr="001925BA">
        <w:trPr>
          <w:trHeight w:val="219"/>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1C0DCC7A" w14:textId="77777777" w:rsidR="00670FD4" w:rsidRDefault="00670FD4" w:rsidP="001925BA">
            <w:pPr>
              <w:spacing w:before="0" w:after="0" w:line="240" w:lineRule="auto"/>
              <w:ind w:hanging="63"/>
              <w:rPr>
                <w:rFonts w:eastAsia="Times New Roman" w:cs="Times New Roman"/>
                <w:sz w:val="20"/>
                <w:szCs w:val="20"/>
              </w:rPr>
            </w:pPr>
            <w:r>
              <w:rPr>
                <w:rFonts w:eastAsia="Times New Roman" w:cs="Times New Roman"/>
                <w:color w:val="000000"/>
                <w:sz w:val="20"/>
                <w:szCs w:val="20"/>
              </w:rPr>
              <w:t>Agigea</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6A2668"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50458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8980B9"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88</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1C2A2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1,68</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0A88DD34"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1483</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3F9AC39F"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28,27</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4F794A"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85</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ECCD26"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1,62</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86E64D"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142</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733DD3FD"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2,71</w:t>
            </w:r>
          </w:p>
        </w:tc>
      </w:tr>
      <w:tr w:rsidR="00670FD4" w14:paraId="04EBC4F6" w14:textId="77777777" w:rsidTr="001925BA">
        <w:trPr>
          <w:trHeight w:val="211"/>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15B558B5" w14:textId="77777777" w:rsidR="00670FD4" w:rsidRDefault="00670FD4" w:rsidP="001925BA">
            <w:pPr>
              <w:spacing w:before="0" w:after="0" w:line="240" w:lineRule="auto"/>
              <w:ind w:hanging="63"/>
              <w:rPr>
                <w:rFonts w:eastAsia="Times New Roman" w:cs="Times New Roman"/>
                <w:sz w:val="20"/>
                <w:szCs w:val="20"/>
              </w:rPr>
            </w:pPr>
            <w:r>
              <w:rPr>
                <w:rFonts w:eastAsia="Times New Roman" w:cs="Times New Roman"/>
                <w:color w:val="000000"/>
                <w:sz w:val="20"/>
                <w:szCs w:val="20"/>
              </w:rPr>
              <w:t>Eforie</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18C3F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2294A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AD8DC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6</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25E815"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1,28</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71455C12"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312</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0CEA14B4"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66,81</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29021A"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123</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426893"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26,34</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B2B40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6FB16E9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r>
      <w:tr w:rsidR="00670FD4" w14:paraId="42284A0D" w14:textId="77777777" w:rsidTr="001925BA">
        <w:trPr>
          <w:trHeight w:val="175"/>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63EFD6D3" w14:textId="77777777" w:rsidR="00670FD4" w:rsidRDefault="00670FD4" w:rsidP="001925BA">
            <w:pPr>
              <w:spacing w:before="0" w:after="0" w:line="240" w:lineRule="auto"/>
              <w:ind w:hanging="63"/>
              <w:rPr>
                <w:rFonts w:eastAsia="Times New Roman" w:cs="Times New Roman"/>
                <w:sz w:val="20"/>
                <w:szCs w:val="20"/>
              </w:rPr>
            </w:pPr>
            <w:r>
              <w:rPr>
                <w:rFonts w:eastAsia="Times New Roman" w:cs="Times New Roman"/>
                <w:color w:val="000000"/>
                <w:sz w:val="20"/>
                <w:szCs w:val="20"/>
              </w:rPr>
              <w:t>Techirghiol</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11451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94D83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38047D"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1260</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10EA9B"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32,83</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7D0502D0"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463</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4449E2D8"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12,06</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9046EB"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43</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FD8607"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1,12</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0BA084"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11</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1419F067"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0,29</w:t>
            </w:r>
          </w:p>
        </w:tc>
      </w:tr>
      <w:tr w:rsidR="00670FD4" w14:paraId="60687C96" w14:textId="77777777" w:rsidTr="001925BA">
        <w:trPr>
          <w:trHeight w:val="153"/>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1EADBC20" w14:textId="77777777" w:rsidR="00670FD4" w:rsidRDefault="00670FD4" w:rsidP="001925BA">
            <w:pPr>
              <w:spacing w:before="0" w:after="0" w:line="240" w:lineRule="auto"/>
              <w:ind w:hanging="63"/>
              <w:rPr>
                <w:rFonts w:eastAsia="Times New Roman" w:cs="Times New Roman"/>
                <w:sz w:val="20"/>
                <w:szCs w:val="20"/>
              </w:rPr>
            </w:pPr>
            <w:r>
              <w:rPr>
                <w:rFonts w:eastAsia="Times New Roman" w:cs="Times New Roman"/>
                <w:color w:val="000000"/>
                <w:sz w:val="20"/>
                <w:szCs w:val="20"/>
              </w:rPr>
              <w:lastRenderedPageBreak/>
              <w:t>Tuzla</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16E49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3</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4BCA26"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0,06</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96D91E"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52</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14080C"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1,06</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36859E62"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445</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3F19F044"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9,09</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23324C"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119</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4D8665"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2,43</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29A30A"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134</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1B608203"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2,74</w:t>
            </w:r>
          </w:p>
        </w:tc>
      </w:tr>
      <w:tr w:rsidR="00670FD4" w14:paraId="6BD09C01" w14:textId="77777777" w:rsidTr="001925BA">
        <w:trPr>
          <w:trHeight w:val="131"/>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23807BFB" w14:textId="77777777" w:rsidR="00670FD4" w:rsidRDefault="00670FD4" w:rsidP="001925BA">
            <w:pPr>
              <w:spacing w:before="0" w:after="0" w:line="240" w:lineRule="auto"/>
              <w:ind w:hanging="63"/>
              <w:rPr>
                <w:rFonts w:eastAsia="Times New Roman" w:cs="Times New Roman"/>
                <w:sz w:val="20"/>
                <w:szCs w:val="20"/>
              </w:rPr>
            </w:pPr>
            <w:r>
              <w:rPr>
                <w:rFonts w:eastAsia="Times New Roman" w:cs="Times New Roman"/>
                <w:color w:val="000000"/>
                <w:sz w:val="20"/>
                <w:szCs w:val="20"/>
              </w:rPr>
              <w:t>Costinești</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211ED5"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46</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A89244"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2,27</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00201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7</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DB965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0,35</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6C22E01E"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199</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10FCC361"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9,81</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E02A0B"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117</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B9BE9C"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5,77</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D265F9"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16</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0B9EF2AD"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0,79</w:t>
            </w:r>
          </w:p>
        </w:tc>
      </w:tr>
      <w:tr w:rsidR="00670FD4" w14:paraId="4262F9C2" w14:textId="77777777" w:rsidTr="001925BA">
        <w:trPr>
          <w:trHeight w:val="251"/>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3CFDC54E" w14:textId="77777777" w:rsidR="00670FD4" w:rsidRDefault="00670FD4" w:rsidP="001925BA">
            <w:pPr>
              <w:spacing w:before="0" w:after="0" w:line="240" w:lineRule="auto"/>
              <w:ind w:hanging="63"/>
              <w:rPr>
                <w:rFonts w:eastAsia="Times New Roman" w:cs="Times New Roman"/>
                <w:sz w:val="20"/>
                <w:szCs w:val="20"/>
              </w:rPr>
            </w:pPr>
            <w:r>
              <w:rPr>
                <w:rFonts w:eastAsia="Times New Roman" w:cs="Times New Roman"/>
                <w:color w:val="000000"/>
                <w:sz w:val="20"/>
                <w:szCs w:val="20"/>
              </w:rPr>
              <w:t>23 August</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870D63"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29</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1976D1"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0,40</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F00079"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3</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4F05EA"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0,04</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05A2A153"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313</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4B13B349"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4,28</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D1D1F5"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172</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708710"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2,35</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FA293C"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235</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400CB405"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3,21</w:t>
            </w:r>
          </w:p>
        </w:tc>
      </w:tr>
      <w:tr w:rsidR="00670FD4" w14:paraId="7D592D94" w14:textId="77777777" w:rsidTr="001925BA">
        <w:trPr>
          <w:trHeight w:val="201"/>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6A146E6D" w14:textId="77777777" w:rsidR="00670FD4" w:rsidRDefault="00670FD4" w:rsidP="001925BA">
            <w:pPr>
              <w:spacing w:before="0" w:after="0" w:line="240" w:lineRule="auto"/>
              <w:ind w:hanging="63"/>
              <w:rPr>
                <w:rFonts w:eastAsia="Times New Roman" w:cs="Times New Roman"/>
                <w:sz w:val="20"/>
                <w:szCs w:val="20"/>
              </w:rPr>
            </w:pPr>
            <w:r>
              <w:rPr>
                <w:rFonts w:eastAsia="Times New Roman" w:cs="Times New Roman"/>
                <w:color w:val="000000"/>
                <w:sz w:val="20"/>
                <w:szCs w:val="20"/>
              </w:rPr>
              <w:t>Mangalia</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DD3B78"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594</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3F2557"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9,53</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883DAB"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455</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B29266"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7,30</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3DA7459F"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1274</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5526B42F"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20,45</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DB5D98"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228</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A266FD"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3,66</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55B86C"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189</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3290F023"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3,03</w:t>
            </w:r>
          </w:p>
        </w:tc>
      </w:tr>
      <w:tr w:rsidR="00670FD4" w14:paraId="6BB5E17A" w14:textId="77777777" w:rsidTr="001925BA">
        <w:trPr>
          <w:trHeight w:val="179"/>
        </w:trPr>
        <w:tc>
          <w:tcPr>
            <w:tcW w:w="1323" w:type="dxa"/>
            <w:tcBorders>
              <w:top w:val="single" w:sz="8" w:space="0" w:color="000000"/>
              <w:left w:val="single" w:sz="4" w:space="0" w:color="000000"/>
              <w:bottom w:val="single" w:sz="4" w:space="0" w:color="000000"/>
              <w:right w:val="single" w:sz="8" w:space="0" w:color="000000"/>
            </w:tcBorders>
            <w:tcMar>
              <w:top w:w="100" w:type="dxa"/>
              <w:left w:w="100" w:type="dxa"/>
              <w:bottom w:w="100" w:type="dxa"/>
              <w:right w:w="100" w:type="dxa"/>
            </w:tcMar>
          </w:tcPr>
          <w:p w14:paraId="61366FD0" w14:textId="77777777" w:rsidR="00670FD4" w:rsidRDefault="00670FD4" w:rsidP="001925BA">
            <w:pPr>
              <w:spacing w:before="0" w:after="0" w:line="240" w:lineRule="auto"/>
              <w:ind w:hanging="63"/>
              <w:rPr>
                <w:rFonts w:eastAsia="Times New Roman" w:cs="Times New Roman"/>
                <w:sz w:val="20"/>
                <w:szCs w:val="20"/>
              </w:rPr>
            </w:pPr>
            <w:r>
              <w:rPr>
                <w:rFonts w:eastAsia="Times New Roman" w:cs="Times New Roman"/>
                <w:color w:val="000000"/>
                <w:sz w:val="20"/>
                <w:szCs w:val="20"/>
              </w:rPr>
              <w:t>Limanu</w:t>
            </w:r>
          </w:p>
        </w:tc>
        <w:tc>
          <w:tcPr>
            <w:tcW w:w="727"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006C71E2"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688</w:t>
            </w:r>
          </w:p>
        </w:tc>
        <w:tc>
          <w:tcPr>
            <w:tcW w:w="779"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5B598D1E"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9,09</w:t>
            </w:r>
          </w:p>
        </w:tc>
        <w:tc>
          <w:tcPr>
            <w:tcW w:w="818"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1587A393"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135</w:t>
            </w:r>
          </w:p>
        </w:tc>
        <w:tc>
          <w:tcPr>
            <w:tcW w:w="767"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0F9AFE05"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1,78</w:t>
            </w:r>
          </w:p>
        </w:tc>
        <w:tc>
          <w:tcPr>
            <w:tcW w:w="732" w:type="dxa"/>
            <w:tcBorders>
              <w:top w:val="single" w:sz="8" w:space="0" w:color="000000"/>
              <w:left w:val="single" w:sz="8" w:space="0" w:color="000000"/>
              <w:bottom w:val="single" w:sz="4" w:space="0" w:color="000000"/>
              <w:right w:val="single" w:sz="8" w:space="0" w:color="000000"/>
            </w:tcBorders>
            <w:shd w:val="clear" w:color="auto" w:fill="D9D9D9"/>
            <w:tcMar>
              <w:top w:w="100" w:type="dxa"/>
              <w:left w:w="100" w:type="dxa"/>
              <w:bottom w:w="100" w:type="dxa"/>
              <w:right w:w="100" w:type="dxa"/>
            </w:tcMar>
          </w:tcPr>
          <w:p w14:paraId="480FC176"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216</w:t>
            </w:r>
          </w:p>
        </w:tc>
        <w:tc>
          <w:tcPr>
            <w:tcW w:w="784" w:type="dxa"/>
            <w:tcBorders>
              <w:top w:val="single" w:sz="8" w:space="0" w:color="000000"/>
              <w:left w:val="single" w:sz="8" w:space="0" w:color="000000"/>
              <w:bottom w:val="single" w:sz="4" w:space="0" w:color="000000"/>
              <w:right w:val="single" w:sz="8" w:space="0" w:color="000000"/>
            </w:tcBorders>
            <w:shd w:val="clear" w:color="auto" w:fill="D9D9D9"/>
            <w:tcMar>
              <w:top w:w="100" w:type="dxa"/>
              <w:left w:w="100" w:type="dxa"/>
              <w:bottom w:w="100" w:type="dxa"/>
              <w:right w:w="100" w:type="dxa"/>
            </w:tcMar>
          </w:tcPr>
          <w:p w14:paraId="1F7D95D3"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2,85</w:t>
            </w:r>
          </w:p>
        </w:tc>
        <w:tc>
          <w:tcPr>
            <w:tcW w:w="751"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2FE97DD8"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101</w:t>
            </w:r>
          </w:p>
        </w:tc>
        <w:tc>
          <w:tcPr>
            <w:tcW w:w="805"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2B8D982B"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1,33</w:t>
            </w:r>
          </w:p>
        </w:tc>
        <w:tc>
          <w:tcPr>
            <w:tcW w:w="739"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72137525"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51</w:t>
            </w:r>
          </w:p>
        </w:tc>
        <w:tc>
          <w:tcPr>
            <w:tcW w:w="791" w:type="dxa"/>
            <w:tcBorders>
              <w:top w:val="single" w:sz="8" w:space="0" w:color="000000"/>
              <w:left w:val="single" w:sz="8" w:space="0" w:color="000000"/>
              <w:bottom w:val="single" w:sz="4" w:space="0" w:color="000000"/>
              <w:right w:val="single" w:sz="4" w:space="0" w:color="000000"/>
            </w:tcBorders>
            <w:tcMar>
              <w:top w:w="100" w:type="dxa"/>
              <w:left w:w="100" w:type="dxa"/>
              <w:bottom w:w="100" w:type="dxa"/>
              <w:right w:w="100" w:type="dxa"/>
            </w:tcMar>
          </w:tcPr>
          <w:p w14:paraId="6F82103D" w14:textId="77777777" w:rsidR="00670FD4" w:rsidRDefault="00670FD4" w:rsidP="001925B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0,67</w:t>
            </w:r>
          </w:p>
        </w:tc>
      </w:tr>
    </w:tbl>
    <w:p w14:paraId="3B98061F" w14:textId="77777777" w:rsidR="00670FD4" w:rsidRDefault="00670FD4" w:rsidP="00670FD4">
      <w:pPr>
        <w:spacing w:after="0" w:line="240" w:lineRule="auto"/>
        <w:rPr>
          <w:rFonts w:eastAsia="Times New Roman" w:cs="Times New Roman"/>
          <w:sz w:val="20"/>
          <w:szCs w:val="20"/>
        </w:rPr>
      </w:pPr>
      <w:r>
        <w:rPr>
          <w:rFonts w:eastAsia="Times New Roman" w:cs="Times New Roman"/>
          <w:b/>
          <w:i/>
          <w:color w:val="000000"/>
          <w:sz w:val="20"/>
          <w:szCs w:val="20"/>
        </w:rPr>
        <w:t>* % din suprafața totală UAT</w:t>
      </w:r>
      <w:r>
        <w:rPr>
          <w:rFonts w:eastAsia="Times New Roman" w:cs="Times New Roman"/>
          <w:b/>
          <w:i/>
          <w:color w:val="000000"/>
          <w:sz w:val="20"/>
          <w:szCs w:val="20"/>
        </w:rPr>
        <w:tab/>
      </w:r>
    </w:p>
    <w:p w14:paraId="522FB664" w14:textId="77777777" w:rsidR="00670FD4" w:rsidRDefault="00670FD4" w:rsidP="00670FD4">
      <w:pPr>
        <w:rPr>
          <w:rFonts w:eastAsia="Times New Roman" w:cs="Times New Roman"/>
          <w:i/>
          <w:color w:val="FF0000"/>
        </w:rPr>
      </w:pPr>
    </w:p>
    <w:p w14:paraId="0B750016" w14:textId="77777777" w:rsidR="00670FD4" w:rsidRDefault="00670FD4" w:rsidP="00670FD4">
      <w:pPr>
        <w:spacing w:before="0"/>
        <w:rPr>
          <w:rFonts w:eastAsia="Times New Roman" w:cs="Times New Roman"/>
          <w:i/>
        </w:rPr>
      </w:pPr>
      <w:r>
        <w:rPr>
          <w:rFonts w:eastAsia="Times New Roman" w:cs="Times New Roman"/>
          <w:i/>
        </w:rPr>
        <w:t>Extinderea teritoriilor construite și destinate pentru construire</w:t>
      </w:r>
    </w:p>
    <w:p w14:paraId="2290F2BB" w14:textId="77777777" w:rsidR="00670FD4" w:rsidRDefault="00670FD4" w:rsidP="00670FD4">
      <w:pPr>
        <w:spacing w:before="0"/>
        <w:ind w:firstLine="567"/>
        <w:rPr>
          <w:rFonts w:eastAsia="Times New Roman" w:cs="Times New Roman"/>
        </w:rPr>
      </w:pPr>
      <w:r>
        <w:rPr>
          <w:rFonts w:eastAsia="Times New Roman" w:cs="Times New Roman"/>
        </w:rPr>
        <w:t>În timp ce numărul total al locuitorilor în zona costieră a înregistrat o scădere cu 15 % în ultimul deceniu, în perioad 2010 – 2022, suprafața totală a teritoriilor intravilane din teritoriul zonei costiere a crescut cu 32,51% (Tabel 2.4.8.8.4). Această creștere generală este dată de 12,42 % creștere în urban și 72,79 % creștere în rural. Situația teritoriilor construite și destinate construirii este prezentată în planșele anexă la prezentul studiu, respectiv Anexa 5 (Utilizarea terenurilor în UAT-urile limitrofe zonei costiere), Anexa 6 (Utilizarea terenurilor în UAT-urile limitrofe zonei costiere din sectorul Nord) și Anexa 7 (Utilizarea terenurilor în UAT-urile limitrofe zonei costiere din sectorul Sud).</w:t>
      </w:r>
    </w:p>
    <w:p w14:paraId="2DBCC641" w14:textId="77777777" w:rsidR="00670FD4" w:rsidRDefault="00670FD4" w:rsidP="00670FD4">
      <w:pPr>
        <w:ind w:firstLine="567"/>
        <w:rPr>
          <w:rFonts w:eastAsia="Times New Roman" w:cs="Times New Roman"/>
        </w:rPr>
      </w:pPr>
    </w:p>
    <w:p w14:paraId="3E0E68AE" w14:textId="77777777" w:rsidR="00670FD4" w:rsidRDefault="00670FD4" w:rsidP="00670FD4">
      <w:pPr>
        <w:spacing w:before="0" w:after="0"/>
        <w:jc w:val="center"/>
        <w:rPr>
          <w:rFonts w:eastAsia="Times New Roman" w:cs="Times New Roman"/>
        </w:rPr>
      </w:pPr>
      <w:r>
        <w:rPr>
          <w:rFonts w:eastAsia="Times New Roman" w:cs="Times New Roman"/>
          <w:b/>
        </w:rPr>
        <w:t>Tabel 2.4.8.8.4 Extinderea intravilanelor per total pe teritoriul zonei costiere conform Planurilor Urbanistice Generale</w:t>
      </w:r>
    </w:p>
    <w:tbl>
      <w:tblPr>
        <w:tblW w:w="9006" w:type="dxa"/>
        <w:tblLayout w:type="fixed"/>
        <w:tblLook w:val="0400" w:firstRow="0" w:lastRow="0" w:firstColumn="0" w:lastColumn="0" w:noHBand="0" w:noVBand="1"/>
      </w:tblPr>
      <w:tblGrid>
        <w:gridCol w:w="1056"/>
        <w:gridCol w:w="1061"/>
        <w:gridCol w:w="1146"/>
        <w:gridCol w:w="731"/>
        <w:gridCol w:w="923"/>
        <w:gridCol w:w="907"/>
        <w:gridCol w:w="731"/>
        <w:gridCol w:w="813"/>
        <w:gridCol w:w="907"/>
        <w:gridCol w:w="731"/>
      </w:tblGrid>
      <w:tr w:rsidR="00670FD4" w14:paraId="2DD0156A" w14:textId="77777777" w:rsidTr="001925BA">
        <w:trPr>
          <w:trHeight w:val="873"/>
        </w:trPr>
        <w:tc>
          <w:tcPr>
            <w:tcW w:w="1056" w:type="dxa"/>
            <w:vMerge w:val="restart"/>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49D2B679" w14:textId="77777777" w:rsidR="00670FD4" w:rsidRDefault="00670FD4" w:rsidP="001925BA">
            <w:pPr>
              <w:spacing w:after="0" w:line="240" w:lineRule="auto"/>
              <w:ind w:firstLine="0"/>
              <w:jc w:val="center"/>
              <w:rPr>
                <w:rFonts w:eastAsia="Times New Roman" w:cs="Times New Roman"/>
                <w:sz w:val="20"/>
                <w:szCs w:val="20"/>
              </w:rPr>
            </w:pPr>
            <w:r>
              <w:rPr>
                <w:rFonts w:eastAsia="Times New Roman" w:cs="Times New Roman"/>
                <w:color w:val="000000"/>
                <w:sz w:val="20"/>
                <w:szCs w:val="20"/>
              </w:rPr>
              <w:t xml:space="preserve">Modul de ocupare al terenurilor </w:t>
            </w:r>
          </w:p>
          <w:p w14:paraId="33AF22F0" w14:textId="77777777" w:rsidR="00670FD4" w:rsidRDefault="00670FD4" w:rsidP="001925BA">
            <w:pPr>
              <w:spacing w:after="0" w:line="240" w:lineRule="auto"/>
              <w:ind w:firstLine="0"/>
              <w:jc w:val="center"/>
              <w:rPr>
                <w:rFonts w:eastAsia="Times New Roman" w:cs="Times New Roman"/>
                <w:sz w:val="20"/>
                <w:szCs w:val="20"/>
              </w:rPr>
            </w:pPr>
            <w:r>
              <w:rPr>
                <w:rFonts w:eastAsia="Times New Roman" w:cs="Times New Roman"/>
                <w:color w:val="000000"/>
                <w:sz w:val="20"/>
                <w:szCs w:val="20"/>
              </w:rPr>
              <w:t> </w:t>
            </w:r>
          </w:p>
        </w:tc>
        <w:tc>
          <w:tcPr>
            <w:tcW w:w="2938" w:type="dxa"/>
            <w:gridSpan w:val="3"/>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60DC2900" w14:textId="77777777" w:rsidR="00670FD4" w:rsidRDefault="00670FD4" w:rsidP="001925BA">
            <w:pPr>
              <w:spacing w:after="0" w:line="240" w:lineRule="auto"/>
              <w:jc w:val="center"/>
              <w:rPr>
                <w:rFonts w:eastAsia="Times New Roman" w:cs="Times New Roman"/>
                <w:sz w:val="20"/>
                <w:szCs w:val="20"/>
              </w:rPr>
            </w:pPr>
            <w:r>
              <w:rPr>
                <w:rFonts w:eastAsia="Times New Roman" w:cs="Times New Roman"/>
                <w:color w:val="000000"/>
                <w:sz w:val="20"/>
                <w:szCs w:val="20"/>
              </w:rPr>
              <w:t>TOTAL Zona Costieră</w:t>
            </w:r>
          </w:p>
        </w:tc>
        <w:tc>
          <w:tcPr>
            <w:tcW w:w="2561" w:type="dxa"/>
            <w:gridSpan w:val="3"/>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791DE0B4" w14:textId="77777777" w:rsidR="00670FD4" w:rsidRDefault="00670FD4" w:rsidP="001925BA">
            <w:pPr>
              <w:spacing w:after="0" w:line="240" w:lineRule="auto"/>
              <w:jc w:val="center"/>
              <w:rPr>
                <w:rFonts w:eastAsia="Times New Roman" w:cs="Times New Roman"/>
                <w:sz w:val="20"/>
                <w:szCs w:val="20"/>
              </w:rPr>
            </w:pPr>
            <w:r>
              <w:rPr>
                <w:rFonts w:eastAsia="Times New Roman" w:cs="Times New Roman"/>
                <w:color w:val="000000"/>
                <w:sz w:val="20"/>
                <w:szCs w:val="20"/>
              </w:rPr>
              <w:t>ÎN LOCALITĂȚI URBANE</w:t>
            </w:r>
          </w:p>
        </w:tc>
        <w:tc>
          <w:tcPr>
            <w:tcW w:w="2451" w:type="dxa"/>
            <w:gridSpan w:val="3"/>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0A425553" w14:textId="77777777" w:rsidR="00670FD4" w:rsidRDefault="00670FD4" w:rsidP="001925BA">
            <w:pPr>
              <w:spacing w:after="0" w:line="240" w:lineRule="auto"/>
              <w:jc w:val="center"/>
              <w:rPr>
                <w:rFonts w:eastAsia="Times New Roman" w:cs="Times New Roman"/>
                <w:sz w:val="20"/>
                <w:szCs w:val="20"/>
              </w:rPr>
            </w:pPr>
            <w:r>
              <w:rPr>
                <w:rFonts w:eastAsia="Times New Roman" w:cs="Times New Roman"/>
                <w:color w:val="000000"/>
                <w:sz w:val="20"/>
                <w:szCs w:val="20"/>
              </w:rPr>
              <w:t>ÎN LOCALITĂȚI RURALE</w:t>
            </w:r>
          </w:p>
        </w:tc>
      </w:tr>
      <w:tr w:rsidR="00670FD4" w14:paraId="1FD4076C" w14:textId="77777777" w:rsidTr="001925BA">
        <w:trPr>
          <w:trHeight w:val="20"/>
        </w:trPr>
        <w:tc>
          <w:tcPr>
            <w:tcW w:w="1056" w:type="dxa"/>
            <w:vMerge/>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22D24931"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1061"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784EB3CA" w14:textId="77777777" w:rsidR="00670FD4" w:rsidRDefault="00670FD4" w:rsidP="001925BA">
            <w:pPr>
              <w:spacing w:after="0" w:line="240" w:lineRule="auto"/>
              <w:ind w:firstLine="0"/>
              <w:jc w:val="center"/>
              <w:rPr>
                <w:rFonts w:eastAsia="Times New Roman" w:cs="Times New Roman"/>
                <w:sz w:val="20"/>
                <w:szCs w:val="20"/>
              </w:rPr>
            </w:pPr>
            <w:r>
              <w:rPr>
                <w:rFonts w:eastAsia="Times New Roman" w:cs="Times New Roman"/>
                <w:color w:val="000000"/>
                <w:sz w:val="20"/>
                <w:szCs w:val="20"/>
              </w:rPr>
              <w:t>2010</w:t>
            </w:r>
          </w:p>
        </w:tc>
        <w:tc>
          <w:tcPr>
            <w:tcW w:w="1146"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7E544829" w14:textId="77777777" w:rsidR="00670FD4" w:rsidRDefault="00670FD4" w:rsidP="001925BA">
            <w:pPr>
              <w:spacing w:after="0" w:line="240" w:lineRule="auto"/>
              <w:ind w:firstLine="0"/>
              <w:jc w:val="center"/>
              <w:rPr>
                <w:rFonts w:eastAsia="Times New Roman" w:cs="Times New Roman"/>
                <w:sz w:val="20"/>
                <w:szCs w:val="20"/>
              </w:rPr>
            </w:pPr>
            <w:r>
              <w:rPr>
                <w:rFonts w:eastAsia="Times New Roman" w:cs="Times New Roman"/>
                <w:color w:val="000000"/>
                <w:sz w:val="20"/>
                <w:szCs w:val="20"/>
              </w:rPr>
              <w:t>2022</w:t>
            </w:r>
          </w:p>
        </w:tc>
        <w:tc>
          <w:tcPr>
            <w:tcW w:w="731"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02614FC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w:t>
            </w:r>
          </w:p>
        </w:tc>
        <w:tc>
          <w:tcPr>
            <w:tcW w:w="923"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6A3F052C" w14:textId="77777777" w:rsidR="00670FD4" w:rsidRDefault="00670FD4" w:rsidP="001925BA">
            <w:pPr>
              <w:spacing w:after="0" w:line="240" w:lineRule="auto"/>
              <w:ind w:firstLine="7"/>
              <w:jc w:val="center"/>
              <w:rPr>
                <w:rFonts w:eastAsia="Times New Roman" w:cs="Times New Roman"/>
                <w:sz w:val="20"/>
                <w:szCs w:val="20"/>
              </w:rPr>
            </w:pPr>
            <w:r>
              <w:rPr>
                <w:rFonts w:eastAsia="Times New Roman" w:cs="Times New Roman"/>
                <w:color w:val="000000"/>
                <w:sz w:val="20"/>
                <w:szCs w:val="20"/>
              </w:rPr>
              <w:t>2010</w:t>
            </w:r>
          </w:p>
        </w:tc>
        <w:tc>
          <w:tcPr>
            <w:tcW w:w="907"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0EB64E71" w14:textId="77777777" w:rsidR="00670FD4" w:rsidRDefault="00670FD4" w:rsidP="001925BA">
            <w:pPr>
              <w:spacing w:after="0" w:line="240" w:lineRule="auto"/>
              <w:ind w:firstLine="0"/>
              <w:jc w:val="center"/>
              <w:rPr>
                <w:rFonts w:eastAsia="Times New Roman" w:cs="Times New Roman"/>
                <w:sz w:val="20"/>
                <w:szCs w:val="20"/>
              </w:rPr>
            </w:pPr>
            <w:r>
              <w:rPr>
                <w:rFonts w:eastAsia="Times New Roman" w:cs="Times New Roman"/>
                <w:color w:val="000000"/>
                <w:sz w:val="20"/>
                <w:szCs w:val="20"/>
              </w:rPr>
              <w:t>2022</w:t>
            </w:r>
          </w:p>
        </w:tc>
        <w:tc>
          <w:tcPr>
            <w:tcW w:w="731"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02EC0D4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w:t>
            </w:r>
          </w:p>
        </w:tc>
        <w:tc>
          <w:tcPr>
            <w:tcW w:w="813"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34C660E4" w14:textId="77777777" w:rsidR="00670FD4" w:rsidRDefault="00670FD4" w:rsidP="001925BA">
            <w:pPr>
              <w:spacing w:after="0" w:line="240" w:lineRule="auto"/>
              <w:ind w:hanging="2"/>
              <w:jc w:val="center"/>
              <w:rPr>
                <w:rFonts w:eastAsia="Times New Roman" w:cs="Times New Roman"/>
                <w:sz w:val="20"/>
                <w:szCs w:val="20"/>
              </w:rPr>
            </w:pPr>
            <w:r>
              <w:rPr>
                <w:rFonts w:eastAsia="Times New Roman" w:cs="Times New Roman"/>
                <w:color w:val="000000"/>
                <w:sz w:val="20"/>
                <w:szCs w:val="20"/>
              </w:rPr>
              <w:t>2010</w:t>
            </w:r>
          </w:p>
        </w:tc>
        <w:tc>
          <w:tcPr>
            <w:tcW w:w="907"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397FED96" w14:textId="77777777" w:rsidR="00670FD4" w:rsidRDefault="00670FD4" w:rsidP="001925BA">
            <w:pPr>
              <w:spacing w:after="0" w:line="240" w:lineRule="auto"/>
              <w:ind w:firstLine="0"/>
              <w:jc w:val="center"/>
              <w:rPr>
                <w:rFonts w:eastAsia="Times New Roman" w:cs="Times New Roman"/>
                <w:sz w:val="20"/>
                <w:szCs w:val="20"/>
              </w:rPr>
            </w:pPr>
            <w:r>
              <w:rPr>
                <w:rFonts w:eastAsia="Times New Roman" w:cs="Times New Roman"/>
                <w:color w:val="000000"/>
                <w:sz w:val="20"/>
                <w:szCs w:val="20"/>
              </w:rPr>
              <w:t>2022</w:t>
            </w:r>
          </w:p>
        </w:tc>
        <w:tc>
          <w:tcPr>
            <w:tcW w:w="731"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7BCA6D6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 xml:space="preserve"> %</w:t>
            </w:r>
          </w:p>
        </w:tc>
      </w:tr>
      <w:tr w:rsidR="00670FD4" w14:paraId="6104A2AD" w14:textId="77777777" w:rsidTr="001925BA">
        <w:trPr>
          <w:trHeight w:val="20"/>
        </w:trPr>
        <w:tc>
          <w:tcPr>
            <w:tcW w:w="1056"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242D8F9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Populație</w:t>
            </w:r>
            <w:r>
              <w:rPr>
                <w:rFonts w:eastAsia="Times New Roman" w:cs="Times New Roman"/>
                <w:color w:val="000000"/>
                <w:sz w:val="20"/>
                <w:szCs w:val="20"/>
                <w:vertAlign w:val="superscript"/>
              </w:rPr>
              <w:t>[1]</w:t>
            </w:r>
          </w:p>
        </w:tc>
        <w:tc>
          <w:tcPr>
            <w:tcW w:w="10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E9F656" w14:textId="77777777" w:rsidR="00670FD4" w:rsidRDefault="00670FD4" w:rsidP="001925BA">
            <w:pPr>
              <w:spacing w:after="0" w:line="240" w:lineRule="auto"/>
              <w:ind w:firstLine="0"/>
              <w:jc w:val="center"/>
              <w:rPr>
                <w:rFonts w:eastAsia="Times New Roman" w:cs="Times New Roman"/>
                <w:sz w:val="20"/>
                <w:szCs w:val="20"/>
              </w:rPr>
            </w:pPr>
            <w:r>
              <w:rPr>
                <w:rFonts w:eastAsia="Times New Roman" w:cs="Times New Roman"/>
                <w:color w:val="000000"/>
                <w:sz w:val="20"/>
                <w:szCs w:val="20"/>
              </w:rPr>
              <w:t>484536</w:t>
            </w:r>
          </w:p>
        </w:tc>
        <w:tc>
          <w:tcPr>
            <w:tcW w:w="11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9C055A" w14:textId="77777777" w:rsidR="00670FD4" w:rsidRDefault="00670FD4" w:rsidP="001925BA">
            <w:pPr>
              <w:spacing w:after="0" w:line="240" w:lineRule="auto"/>
              <w:ind w:firstLine="0"/>
              <w:jc w:val="center"/>
              <w:rPr>
                <w:rFonts w:eastAsia="Times New Roman" w:cs="Times New Roman"/>
                <w:sz w:val="20"/>
                <w:szCs w:val="20"/>
              </w:rPr>
            </w:pPr>
            <w:r>
              <w:rPr>
                <w:rFonts w:eastAsia="Times New Roman" w:cs="Times New Roman"/>
                <w:color w:val="000000"/>
                <w:sz w:val="20"/>
                <w:szCs w:val="20"/>
              </w:rPr>
              <w:t>466624</w:t>
            </w:r>
          </w:p>
        </w:tc>
        <w:tc>
          <w:tcPr>
            <w:tcW w:w="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862BC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-3,70</w:t>
            </w:r>
          </w:p>
        </w:tc>
        <w:tc>
          <w:tcPr>
            <w:tcW w:w="9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4B7413" w14:textId="77777777" w:rsidR="00670FD4" w:rsidRDefault="00670FD4" w:rsidP="001925BA">
            <w:pPr>
              <w:spacing w:after="0" w:line="240" w:lineRule="auto"/>
              <w:ind w:firstLine="7"/>
              <w:jc w:val="center"/>
              <w:rPr>
                <w:rFonts w:eastAsia="Times New Roman" w:cs="Times New Roman"/>
                <w:sz w:val="20"/>
                <w:szCs w:val="20"/>
              </w:rPr>
            </w:pPr>
            <w:r>
              <w:rPr>
                <w:rFonts w:eastAsia="Times New Roman" w:cs="Times New Roman"/>
                <w:color w:val="000000"/>
                <w:sz w:val="20"/>
                <w:szCs w:val="20"/>
              </w:rPr>
              <w:t>431151</w:t>
            </w:r>
          </w:p>
        </w:tc>
        <w:tc>
          <w:tcPr>
            <w:tcW w:w="9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B0C881" w14:textId="77777777" w:rsidR="00670FD4" w:rsidRDefault="00670FD4" w:rsidP="001925BA">
            <w:pPr>
              <w:spacing w:after="0" w:line="240" w:lineRule="auto"/>
              <w:ind w:firstLine="0"/>
              <w:jc w:val="center"/>
              <w:rPr>
                <w:rFonts w:eastAsia="Times New Roman" w:cs="Times New Roman"/>
                <w:sz w:val="20"/>
                <w:szCs w:val="20"/>
              </w:rPr>
            </w:pPr>
            <w:r>
              <w:rPr>
                <w:rFonts w:eastAsia="Times New Roman" w:cs="Times New Roman"/>
                <w:color w:val="000000"/>
                <w:sz w:val="20"/>
                <w:szCs w:val="20"/>
              </w:rPr>
              <w:t>410227</w:t>
            </w:r>
          </w:p>
        </w:tc>
        <w:tc>
          <w:tcPr>
            <w:tcW w:w="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08E14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-4,85</w:t>
            </w:r>
          </w:p>
        </w:tc>
        <w:tc>
          <w:tcPr>
            <w:tcW w:w="8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B6D6D4" w14:textId="77777777" w:rsidR="00670FD4" w:rsidRDefault="00670FD4" w:rsidP="001925BA">
            <w:pPr>
              <w:spacing w:after="0" w:line="240" w:lineRule="auto"/>
              <w:ind w:hanging="2"/>
              <w:jc w:val="center"/>
              <w:rPr>
                <w:rFonts w:eastAsia="Times New Roman" w:cs="Times New Roman"/>
                <w:sz w:val="20"/>
                <w:szCs w:val="20"/>
              </w:rPr>
            </w:pPr>
            <w:r>
              <w:rPr>
                <w:rFonts w:eastAsia="Times New Roman" w:cs="Times New Roman"/>
                <w:color w:val="000000"/>
                <w:sz w:val="20"/>
                <w:szCs w:val="20"/>
              </w:rPr>
              <w:t>53385</w:t>
            </w:r>
          </w:p>
        </w:tc>
        <w:tc>
          <w:tcPr>
            <w:tcW w:w="9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5C56CA" w14:textId="77777777" w:rsidR="00670FD4" w:rsidRDefault="00670FD4" w:rsidP="001925BA">
            <w:pPr>
              <w:spacing w:after="0" w:line="240" w:lineRule="auto"/>
              <w:ind w:firstLine="0"/>
              <w:jc w:val="center"/>
              <w:rPr>
                <w:rFonts w:eastAsia="Times New Roman" w:cs="Times New Roman"/>
                <w:sz w:val="20"/>
                <w:szCs w:val="20"/>
              </w:rPr>
            </w:pPr>
            <w:r>
              <w:rPr>
                <w:rFonts w:eastAsia="Times New Roman" w:cs="Times New Roman"/>
                <w:color w:val="000000"/>
                <w:sz w:val="20"/>
                <w:szCs w:val="20"/>
              </w:rPr>
              <w:t>56397</w:t>
            </w:r>
          </w:p>
        </w:tc>
        <w:tc>
          <w:tcPr>
            <w:tcW w:w="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7A39B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+5,64</w:t>
            </w:r>
          </w:p>
        </w:tc>
      </w:tr>
      <w:tr w:rsidR="00670FD4" w14:paraId="4CB8820E" w14:textId="77777777" w:rsidTr="001925BA">
        <w:trPr>
          <w:trHeight w:val="20"/>
        </w:trPr>
        <w:tc>
          <w:tcPr>
            <w:tcW w:w="1056"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09E1C375" w14:textId="77777777" w:rsidR="00670FD4" w:rsidRDefault="00670FD4" w:rsidP="001925BA">
            <w:pPr>
              <w:spacing w:after="0" w:line="240" w:lineRule="auto"/>
              <w:ind w:firstLine="0"/>
              <w:jc w:val="center"/>
              <w:rPr>
                <w:rFonts w:eastAsia="Times New Roman" w:cs="Times New Roman"/>
                <w:sz w:val="20"/>
                <w:szCs w:val="20"/>
              </w:rPr>
            </w:pPr>
            <w:r>
              <w:rPr>
                <w:rFonts w:eastAsia="Times New Roman" w:cs="Times New Roman"/>
                <w:color w:val="000000"/>
                <w:sz w:val="20"/>
                <w:szCs w:val="20"/>
              </w:rPr>
              <w:t>Suprafața U.A.T. (ha)</w:t>
            </w:r>
            <w:r>
              <w:rPr>
                <w:rFonts w:eastAsia="Times New Roman" w:cs="Times New Roman"/>
                <w:color w:val="000000"/>
                <w:sz w:val="20"/>
                <w:szCs w:val="20"/>
                <w:vertAlign w:val="superscript"/>
              </w:rPr>
              <w:t>[2]</w:t>
            </w:r>
          </w:p>
        </w:tc>
        <w:tc>
          <w:tcPr>
            <w:tcW w:w="220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14159A" w14:textId="77777777" w:rsidR="00670FD4" w:rsidRDefault="00670FD4" w:rsidP="001925BA">
            <w:pPr>
              <w:spacing w:after="0" w:line="240" w:lineRule="auto"/>
              <w:ind w:firstLine="0"/>
              <w:jc w:val="center"/>
              <w:rPr>
                <w:rFonts w:eastAsia="Times New Roman" w:cs="Times New Roman"/>
                <w:sz w:val="20"/>
                <w:szCs w:val="20"/>
              </w:rPr>
            </w:pPr>
            <w:r>
              <w:rPr>
                <w:rFonts w:eastAsia="Times New Roman" w:cs="Times New Roman"/>
                <w:color w:val="000000"/>
                <w:sz w:val="20"/>
                <w:szCs w:val="20"/>
              </w:rPr>
              <w:t>357592,09</w:t>
            </w:r>
          </w:p>
        </w:tc>
        <w:tc>
          <w:tcPr>
            <w:tcW w:w="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8D945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w:t>
            </w:r>
          </w:p>
        </w:tc>
        <w:tc>
          <w:tcPr>
            <w:tcW w:w="183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803D1E" w14:textId="77777777" w:rsidR="00670FD4" w:rsidRDefault="00670FD4" w:rsidP="001925BA">
            <w:pPr>
              <w:spacing w:after="0" w:line="240" w:lineRule="auto"/>
              <w:ind w:firstLine="0"/>
              <w:jc w:val="center"/>
              <w:rPr>
                <w:rFonts w:eastAsia="Times New Roman" w:cs="Times New Roman"/>
                <w:sz w:val="20"/>
                <w:szCs w:val="20"/>
              </w:rPr>
            </w:pPr>
            <w:r>
              <w:rPr>
                <w:rFonts w:eastAsia="Times New Roman" w:cs="Times New Roman"/>
                <w:color w:val="000000"/>
                <w:sz w:val="20"/>
                <w:szCs w:val="20"/>
              </w:rPr>
              <w:t>63990,14</w:t>
            </w:r>
          </w:p>
        </w:tc>
        <w:tc>
          <w:tcPr>
            <w:tcW w:w="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B5A99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w:t>
            </w:r>
          </w:p>
        </w:tc>
        <w:tc>
          <w:tcPr>
            <w:tcW w:w="172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383C9B"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 xml:space="preserve"> 293601,95</w:t>
            </w:r>
          </w:p>
        </w:tc>
        <w:tc>
          <w:tcPr>
            <w:tcW w:w="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79E0F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w:t>
            </w:r>
          </w:p>
        </w:tc>
      </w:tr>
      <w:tr w:rsidR="00670FD4" w14:paraId="2F27E315" w14:textId="77777777" w:rsidTr="001925BA">
        <w:trPr>
          <w:trHeight w:val="20"/>
        </w:trPr>
        <w:tc>
          <w:tcPr>
            <w:tcW w:w="1056" w:type="dxa"/>
            <w:vMerge w:val="restart"/>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5D622581" w14:textId="77777777" w:rsidR="00670FD4" w:rsidRDefault="00670FD4" w:rsidP="001925BA">
            <w:pPr>
              <w:spacing w:after="0" w:line="240" w:lineRule="auto"/>
              <w:ind w:firstLine="0"/>
              <w:jc w:val="center"/>
              <w:rPr>
                <w:rFonts w:eastAsia="Times New Roman" w:cs="Times New Roman"/>
                <w:sz w:val="20"/>
                <w:szCs w:val="20"/>
              </w:rPr>
            </w:pPr>
            <w:r>
              <w:rPr>
                <w:rFonts w:eastAsia="Times New Roman" w:cs="Times New Roman"/>
                <w:color w:val="000000"/>
                <w:sz w:val="20"/>
                <w:szCs w:val="20"/>
              </w:rPr>
              <w:t>Suprafața teritoriului intravilan</w:t>
            </w:r>
          </w:p>
          <w:p w14:paraId="1945BE93" w14:textId="77777777" w:rsidR="00670FD4" w:rsidRDefault="00670FD4" w:rsidP="001925BA">
            <w:pPr>
              <w:spacing w:after="0" w:line="240" w:lineRule="auto"/>
              <w:ind w:firstLine="0"/>
              <w:jc w:val="center"/>
              <w:rPr>
                <w:rFonts w:eastAsia="Times New Roman" w:cs="Times New Roman"/>
                <w:sz w:val="20"/>
                <w:szCs w:val="20"/>
              </w:rPr>
            </w:pPr>
            <w:r>
              <w:rPr>
                <w:rFonts w:eastAsia="Times New Roman" w:cs="Times New Roman"/>
                <w:color w:val="000000"/>
                <w:sz w:val="20"/>
                <w:szCs w:val="20"/>
              </w:rPr>
              <w:t>(ha)</w:t>
            </w:r>
          </w:p>
        </w:tc>
        <w:tc>
          <w:tcPr>
            <w:tcW w:w="10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ACD8C8" w14:textId="77777777" w:rsidR="00670FD4" w:rsidRDefault="00670FD4" w:rsidP="001925BA">
            <w:pPr>
              <w:spacing w:after="0" w:line="240" w:lineRule="auto"/>
              <w:ind w:firstLine="0"/>
              <w:jc w:val="center"/>
              <w:rPr>
                <w:rFonts w:eastAsia="Times New Roman" w:cs="Times New Roman"/>
                <w:sz w:val="20"/>
                <w:szCs w:val="20"/>
              </w:rPr>
            </w:pPr>
            <w:r>
              <w:rPr>
                <w:rFonts w:eastAsia="Times New Roman" w:cs="Times New Roman"/>
                <w:color w:val="000000"/>
                <w:sz w:val="20"/>
                <w:szCs w:val="20"/>
              </w:rPr>
              <w:t>La data elaborării PUG</w:t>
            </w:r>
          </w:p>
        </w:tc>
        <w:tc>
          <w:tcPr>
            <w:tcW w:w="11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054028" w14:textId="77777777" w:rsidR="00670FD4" w:rsidRDefault="00670FD4" w:rsidP="001925BA">
            <w:pPr>
              <w:spacing w:after="0" w:line="240" w:lineRule="auto"/>
              <w:ind w:firstLine="0"/>
              <w:jc w:val="center"/>
              <w:rPr>
                <w:rFonts w:eastAsia="Times New Roman" w:cs="Times New Roman"/>
                <w:sz w:val="20"/>
                <w:szCs w:val="20"/>
              </w:rPr>
            </w:pPr>
            <w:r>
              <w:rPr>
                <w:rFonts w:eastAsia="Times New Roman" w:cs="Times New Roman"/>
                <w:color w:val="000000"/>
                <w:sz w:val="20"/>
                <w:szCs w:val="20"/>
              </w:rPr>
              <w:t>După aprobare PUG/ propusă pentru extindere</w:t>
            </w:r>
          </w:p>
        </w:tc>
        <w:tc>
          <w:tcPr>
            <w:tcW w:w="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7B0DA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w:t>
            </w:r>
          </w:p>
        </w:tc>
        <w:tc>
          <w:tcPr>
            <w:tcW w:w="9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C7B8AE" w14:textId="77777777" w:rsidR="00670FD4" w:rsidRDefault="00670FD4" w:rsidP="001925BA">
            <w:pPr>
              <w:spacing w:after="0" w:line="240" w:lineRule="auto"/>
              <w:ind w:firstLine="7"/>
              <w:jc w:val="center"/>
              <w:rPr>
                <w:rFonts w:eastAsia="Times New Roman" w:cs="Times New Roman"/>
                <w:sz w:val="20"/>
                <w:szCs w:val="20"/>
              </w:rPr>
            </w:pPr>
            <w:r>
              <w:rPr>
                <w:rFonts w:eastAsia="Times New Roman" w:cs="Times New Roman"/>
                <w:color w:val="000000"/>
                <w:sz w:val="20"/>
                <w:szCs w:val="20"/>
              </w:rPr>
              <w:t>La data elaborării</w:t>
            </w:r>
          </w:p>
          <w:p w14:paraId="2904AC1A" w14:textId="77777777" w:rsidR="00670FD4" w:rsidRDefault="00670FD4" w:rsidP="001925BA">
            <w:pPr>
              <w:spacing w:after="0" w:line="240" w:lineRule="auto"/>
              <w:ind w:firstLine="7"/>
              <w:jc w:val="center"/>
              <w:rPr>
                <w:rFonts w:eastAsia="Times New Roman" w:cs="Times New Roman"/>
                <w:sz w:val="20"/>
                <w:szCs w:val="20"/>
              </w:rPr>
            </w:pPr>
            <w:r>
              <w:rPr>
                <w:rFonts w:eastAsia="Times New Roman" w:cs="Times New Roman"/>
                <w:color w:val="000000"/>
                <w:sz w:val="20"/>
                <w:szCs w:val="20"/>
              </w:rPr>
              <w:t>PUG</w:t>
            </w:r>
          </w:p>
        </w:tc>
        <w:tc>
          <w:tcPr>
            <w:tcW w:w="9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4B2076" w14:textId="77777777" w:rsidR="00670FD4" w:rsidRDefault="00670FD4" w:rsidP="001925BA">
            <w:pPr>
              <w:spacing w:after="0" w:line="240" w:lineRule="auto"/>
              <w:ind w:firstLine="0"/>
              <w:jc w:val="center"/>
              <w:rPr>
                <w:rFonts w:eastAsia="Times New Roman" w:cs="Times New Roman"/>
                <w:sz w:val="20"/>
                <w:szCs w:val="20"/>
              </w:rPr>
            </w:pPr>
            <w:r>
              <w:rPr>
                <w:rFonts w:eastAsia="Times New Roman" w:cs="Times New Roman"/>
                <w:color w:val="000000"/>
                <w:sz w:val="20"/>
                <w:szCs w:val="20"/>
              </w:rPr>
              <w:t>După aprobare PUG/ propusă pentru extindere</w:t>
            </w:r>
          </w:p>
        </w:tc>
        <w:tc>
          <w:tcPr>
            <w:tcW w:w="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291F7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 xml:space="preserve"> %</w:t>
            </w:r>
          </w:p>
        </w:tc>
        <w:tc>
          <w:tcPr>
            <w:tcW w:w="8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A9E956" w14:textId="77777777" w:rsidR="00670FD4" w:rsidRDefault="00670FD4" w:rsidP="001925BA">
            <w:pPr>
              <w:spacing w:after="0" w:line="240" w:lineRule="auto"/>
              <w:ind w:hanging="2"/>
              <w:jc w:val="center"/>
              <w:rPr>
                <w:rFonts w:eastAsia="Times New Roman" w:cs="Times New Roman"/>
                <w:sz w:val="20"/>
                <w:szCs w:val="20"/>
              </w:rPr>
            </w:pPr>
            <w:r>
              <w:rPr>
                <w:rFonts w:eastAsia="Times New Roman" w:cs="Times New Roman"/>
                <w:color w:val="000000"/>
                <w:sz w:val="20"/>
                <w:szCs w:val="20"/>
              </w:rPr>
              <w:t>La data elab. PUG</w:t>
            </w:r>
          </w:p>
        </w:tc>
        <w:tc>
          <w:tcPr>
            <w:tcW w:w="9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69436F" w14:textId="77777777" w:rsidR="00670FD4" w:rsidRDefault="00670FD4" w:rsidP="001925BA">
            <w:pPr>
              <w:spacing w:after="0" w:line="240" w:lineRule="auto"/>
              <w:ind w:firstLine="0"/>
              <w:jc w:val="center"/>
              <w:rPr>
                <w:rFonts w:eastAsia="Times New Roman" w:cs="Times New Roman"/>
                <w:sz w:val="20"/>
                <w:szCs w:val="20"/>
              </w:rPr>
            </w:pPr>
            <w:r>
              <w:rPr>
                <w:rFonts w:eastAsia="Times New Roman" w:cs="Times New Roman"/>
                <w:color w:val="000000"/>
                <w:sz w:val="20"/>
                <w:szCs w:val="20"/>
              </w:rPr>
              <w:t>După aprobare PUG/ propusă pentru extindere</w:t>
            </w:r>
          </w:p>
        </w:tc>
        <w:tc>
          <w:tcPr>
            <w:tcW w:w="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4CE63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w:t>
            </w:r>
          </w:p>
        </w:tc>
      </w:tr>
      <w:tr w:rsidR="00670FD4" w14:paraId="74E1F11E" w14:textId="77777777" w:rsidTr="001925BA">
        <w:trPr>
          <w:trHeight w:val="20"/>
        </w:trPr>
        <w:tc>
          <w:tcPr>
            <w:tcW w:w="1056" w:type="dxa"/>
            <w:vMerge/>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283F6B15" w14:textId="77777777" w:rsidR="00670FD4" w:rsidRDefault="00670FD4" w:rsidP="001925BA">
            <w:pPr>
              <w:widowControl w:val="0"/>
              <w:pBdr>
                <w:top w:val="nil"/>
                <w:left w:val="nil"/>
                <w:bottom w:val="nil"/>
                <w:right w:val="nil"/>
                <w:between w:val="nil"/>
              </w:pBdr>
              <w:spacing w:after="0"/>
              <w:rPr>
                <w:rFonts w:eastAsia="Times New Roman" w:cs="Times New Roman"/>
                <w:sz w:val="20"/>
                <w:szCs w:val="20"/>
              </w:rPr>
            </w:pPr>
          </w:p>
        </w:tc>
        <w:tc>
          <w:tcPr>
            <w:tcW w:w="10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FBBEED" w14:textId="77777777" w:rsidR="00670FD4" w:rsidRDefault="00670FD4" w:rsidP="001925BA">
            <w:pPr>
              <w:spacing w:after="0" w:line="240" w:lineRule="auto"/>
              <w:ind w:firstLine="0"/>
              <w:jc w:val="center"/>
              <w:rPr>
                <w:rFonts w:eastAsia="Times New Roman" w:cs="Times New Roman"/>
                <w:sz w:val="20"/>
                <w:szCs w:val="20"/>
              </w:rPr>
            </w:pPr>
            <w:r>
              <w:rPr>
                <w:rFonts w:eastAsia="Times New Roman" w:cs="Times New Roman"/>
                <w:color w:val="000000"/>
                <w:sz w:val="20"/>
                <w:szCs w:val="20"/>
              </w:rPr>
              <w:t>19204,39</w:t>
            </w:r>
          </w:p>
        </w:tc>
        <w:tc>
          <w:tcPr>
            <w:tcW w:w="11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D849B7" w14:textId="77777777" w:rsidR="00670FD4" w:rsidRDefault="00670FD4" w:rsidP="001925BA">
            <w:pPr>
              <w:spacing w:after="0" w:line="240" w:lineRule="auto"/>
              <w:ind w:firstLine="0"/>
              <w:jc w:val="center"/>
              <w:rPr>
                <w:rFonts w:eastAsia="Times New Roman" w:cs="Times New Roman"/>
                <w:sz w:val="20"/>
                <w:szCs w:val="20"/>
              </w:rPr>
            </w:pPr>
            <w:r>
              <w:rPr>
                <w:rFonts w:eastAsia="Times New Roman" w:cs="Times New Roman"/>
                <w:color w:val="000000"/>
                <w:sz w:val="20"/>
                <w:szCs w:val="20"/>
              </w:rPr>
              <w:t>25447,49</w:t>
            </w:r>
          </w:p>
        </w:tc>
        <w:tc>
          <w:tcPr>
            <w:tcW w:w="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90AD2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+32,5</w:t>
            </w:r>
          </w:p>
        </w:tc>
        <w:tc>
          <w:tcPr>
            <w:tcW w:w="9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4E6E94" w14:textId="77777777" w:rsidR="00670FD4" w:rsidRDefault="00670FD4" w:rsidP="001925BA">
            <w:pPr>
              <w:spacing w:after="0" w:line="240" w:lineRule="auto"/>
              <w:ind w:firstLine="7"/>
              <w:jc w:val="center"/>
              <w:rPr>
                <w:rFonts w:eastAsia="Times New Roman" w:cs="Times New Roman"/>
                <w:sz w:val="20"/>
                <w:szCs w:val="20"/>
              </w:rPr>
            </w:pPr>
            <w:r>
              <w:rPr>
                <w:rFonts w:eastAsia="Times New Roman" w:cs="Times New Roman"/>
                <w:color w:val="000000"/>
                <w:sz w:val="20"/>
                <w:szCs w:val="20"/>
              </w:rPr>
              <w:t>12813,3</w:t>
            </w:r>
          </w:p>
        </w:tc>
        <w:tc>
          <w:tcPr>
            <w:tcW w:w="9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F50852" w14:textId="77777777" w:rsidR="00670FD4" w:rsidRDefault="00670FD4" w:rsidP="001925BA">
            <w:pPr>
              <w:spacing w:after="0" w:line="240" w:lineRule="auto"/>
              <w:ind w:firstLine="0"/>
              <w:jc w:val="center"/>
              <w:rPr>
                <w:rFonts w:eastAsia="Times New Roman" w:cs="Times New Roman"/>
                <w:sz w:val="20"/>
                <w:szCs w:val="20"/>
              </w:rPr>
            </w:pPr>
            <w:r>
              <w:rPr>
                <w:rFonts w:eastAsia="Times New Roman" w:cs="Times New Roman"/>
                <w:color w:val="000000"/>
                <w:sz w:val="20"/>
                <w:szCs w:val="20"/>
              </w:rPr>
              <w:t>14404,3</w:t>
            </w:r>
          </w:p>
        </w:tc>
        <w:tc>
          <w:tcPr>
            <w:tcW w:w="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4D027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+12,4</w:t>
            </w:r>
          </w:p>
        </w:tc>
        <w:tc>
          <w:tcPr>
            <w:tcW w:w="8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6540F1" w14:textId="77777777" w:rsidR="00670FD4" w:rsidRDefault="00670FD4" w:rsidP="001925BA">
            <w:pPr>
              <w:spacing w:after="0" w:line="240" w:lineRule="auto"/>
              <w:ind w:hanging="2"/>
              <w:jc w:val="center"/>
              <w:rPr>
                <w:rFonts w:eastAsia="Times New Roman" w:cs="Times New Roman"/>
                <w:sz w:val="20"/>
                <w:szCs w:val="20"/>
              </w:rPr>
            </w:pPr>
            <w:r>
              <w:rPr>
                <w:rFonts w:eastAsia="Times New Roman" w:cs="Times New Roman"/>
                <w:color w:val="000000"/>
                <w:sz w:val="20"/>
                <w:szCs w:val="20"/>
              </w:rPr>
              <w:t>6391,1</w:t>
            </w:r>
          </w:p>
        </w:tc>
        <w:tc>
          <w:tcPr>
            <w:tcW w:w="9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7914A0" w14:textId="77777777" w:rsidR="00670FD4" w:rsidRDefault="00670FD4" w:rsidP="001925BA">
            <w:pPr>
              <w:spacing w:after="0" w:line="240" w:lineRule="auto"/>
              <w:ind w:firstLine="0"/>
              <w:jc w:val="center"/>
              <w:rPr>
                <w:rFonts w:eastAsia="Times New Roman" w:cs="Times New Roman"/>
                <w:sz w:val="20"/>
                <w:szCs w:val="20"/>
              </w:rPr>
            </w:pPr>
            <w:r>
              <w:rPr>
                <w:rFonts w:eastAsia="Times New Roman" w:cs="Times New Roman"/>
                <w:color w:val="000000"/>
                <w:sz w:val="20"/>
                <w:szCs w:val="20"/>
              </w:rPr>
              <w:t>11043,2</w:t>
            </w:r>
          </w:p>
        </w:tc>
        <w:tc>
          <w:tcPr>
            <w:tcW w:w="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19050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+72,7</w:t>
            </w:r>
          </w:p>
        </w:tc>
      </w:tr>
    </w:tbl>
    <w:p w14:paraId="1AEC1279" w14:textId="77777777" w:rsidR="00670FD4" w:rsidRDefault="00670FD4" w:rsidP="00670FD4">
      <w:pPr>
        <w:spacing w:after="0"/>
        <w:rPr>
          <w:rFonts w:eastAsia="Times New Roman" w:cs="Times New Roman"/>
          <w:sz w:val="20"/>
          <w:szCs w:val="20"/>
        </w:rPr>
      </w:pPr>
      <w:r>
        <w:rPr>
          <w:rFonts w:eastAsia="Times New Roman" w:cs="Times New Roman"/>
          <w:b/>
          <w:color w:val="000000"/>
          <w:sz w:val="20"/>
          <w:szCs w:val="20"/>
        </w:rPr>
        <w:lastRenderedPageBreak/>
        <w:t xml:space="preserve"> [1] </w:t>
      </w:r>
      <w:r>
        <w:rPr>
          <w:rFonts w:eastAsia="Times New Roman" w:cs="Times New Roman"/>
          <w:b/>
          <w:i/>
          <w:color w:val="000000"/>
          <w:sz w:val="20"/>
          <w:szCs w:val="20"/>
        </w:rPr>
        <w:t>Date preluate din baza de date TEMPO ONLINE -INSSE, Populatia după domiciliu în anul 2010 și la 1 ianuarie 2022</w:t>
      </w:r>
    </w:p>
    <w:p w14:paraId="6D8D681F" w14:textId="77777777" w:rsidR="00670FD4" w:rsidRDefault="00670FD4" w:rsidP="00670FD4">
      <w:pPr>
        <w:spacing w:line="257" w:lineRule="auto"/>
        <w:rPr>
          <w:rFonts w:eastAsia="Times New Roman" w:cs="Times New Roman"/>
          <w:b/>
          <w:i/>
          <w:color w:val="1155CC"/>
          <w:sz w:val="20"/>
          <w:szCs w:val="20"/>
          <w:u w:val="single"/>
        </w:rPr>
      </w:pPr>
      <w:r>
        <w:rPr>
          <w:rFonts w:eastAsia="Times New Roman" w:cs="Times New Roman"/>
          <w:b/>
          <w:color w:val="000000"/>
          <w:sz w:val="20"/>
          <w:szCs w:val="20"/>
        </w:rPr>
        <w:t xml:space="preserve">[2] </w:t>
      </w:r>
      <w:r>
        <w:rPr>
          <w:rFonts w:eastAsia="Times New Roman" w:cs="Times New Roman"/>
          <w:b/>
          <w:i/>
          <w:color w:val="000000"/>
          <w:sz w:val="20"/>
          <w:szCs w:val="20"/>
        </w:rPr>
        <w:t>Suprafața UAT conform măsurătorilor limitelor UAT (2023) disponibile la</w:t>
      </w:r>
      <w:hyperlink r:id="rId56">
        <w:r>
          <w:rPr>
            <w:rFonts w:eastAsia="Times New Roman" w:cs="Times New Roman"/>
            <w:b/>
            <w:i/>
            <w:color w:val="000000"/>
            <w:sz w:val="20"/>
            <w:szCs w:val="20"/>
            <w:u w:val="single"/>
          </w:rPr>
          <w:t xml:space="preserve"> </w:t>
        </w:r>
      </w:hyperlink>
      <w:hyperlink r:id="rId57">
        <w:r>
          <w:rPr>
            <w:rFonts w:eastAsia="Times New Roman" w:cs="Times New Roman"/>
            <w:b/>
            <w:i/>
            <w:color w:val="1155CC"/>
            <w:sz w:val="20"/>
            <w:szCs w:val="20"/>
            <w:u w:val="single"/>
          </w:rPr>
          <w:t>https://geoportal.ancpi.ro/portal/apps/webappviewer/index.html?id=faeba2d173374445b1f13512bd477bb2</w:t>
        </w:r>
      </w:hyperlink>
    </w:p>
    <w:p w14:paraId="64E067FE" w14:textId="77777777" w:rsidR="00670FD4" w:rsidRDefault="00670FD4" w:rsidP="00670FD4">
      <w:pPr>
        <w:ind w:firstLine="567"/>
        <w:rPr>
          <w:rFonts w:eastAsia="Times New Roman" w:cs="Times New Roman"/>
        </w:rPr>
      </w:pPr>
    </w:p>
    <w:p w14:paraId="1002697F" w14:textId="77777777" w:rsidR="00670FD4" w:rsidRDefault="00670FD4" w:rsidP="00670FD4">
      <w:pPr>
        <w:spacing w:before="0"/>
        <w:ind w:firstLine="567"/>
        <w:rPr>
          <w:rFonts w:eastAsia="Times New Roman" w:cs="Times New Roman"/>
        </w:rPr>
      </w:pPr>
      <w:r>
        <w:rPr>
          <w:rFonts w:eastAsia="Times New Roman" w:cs="Times New Roman"/>
        </w:rPr>
        <w:t>Analiza documentațiilor PUG disponibile indică extinderea suprafețelor intravilane (construibile) în toate UAT-urile, astfel:</w:t>
      </w:r>
    </w:p>
    <w:p w14:paraId="4795E808" w14:textId="77777777" w:rsidR="00670FD4" w:rsidRDefault="00670FD4" w:rsidP="00670FD4">
      <w:pPr>
        <w:spacing w:before="0"/>
        <w:ind w:firstLine="567"/>
        <w:rPr>
          <w:rFonts w:eastAsia="Times New Roman" w:cs="Times New Roman"/>
        </w:rPr>
      </w:pPr>
      <w:r>
        <w:rPr>
          <w:rFonts w:eastAsia="Times New Roman" w:cs="Times New Roman"/>
        </w:rPr>
        <w:t>- în sectorul nordic, cea mai mare creștere este prevăzută în Sfântu Gheorghe (62,31%), urmat de C.A.Rosetti (18,89%) și Murighiol (16,51%). Pentru Corbu, Istria și Săcele nu sunt date disponibile pentru calcularea procentului de creștere;</w:t>
      </w:r>
    </w:p>
    <w:p w14:paraId="5CF34BE7" w14:textId="77777777" w:rsidR="00670FD4" w:rsidRDefault="00670FD4" w:rsidP="00670FD4">
      <w:pPr>
        <w:spacing w:before="0"/>
        <w:ind w:firstLine="567"/>
        <w:rPr>
          <w:rFonts w:eastAsia="Times New Roman" w:cs="Times New Roman"/>
        </w:rPr>
      </w:pPr>
      <w:r>
        <w:rPr>
          <w:rFonts w:eastAsia="Times New Roman" w:cs="Times New Roman"/>
        </w:rPr>
        <w:t>- în sectorul sudic cele mai mari procente de creștere au fost prevăzute în Costinești (97,70%), Tuzla (68,06%) și Năvodari (56,34%). Pentru Agigea, deși nu există date disponibile referitoare la suprafața intravilanul existent la data actualizării PUG (2009), extinderea aprobată este consistentă. Techirghiol și Năvodari au documentații de actualizare PUG în curs de avizare și conform datelor disponibile în Rapoartele de mediu aferente documentațiilor sunt prevăzute noi extinderi ale intravilanului de 34,74% (Techirghiol), și 45,92% (Năvodari). Mangalia este singurul UAT care are o documentație PUG actualizată recent (2019) prin care a aprobat o extindere a intravilanului cu 22,46% față de cel existent. Se constată menținerea tendinței de creștere/extindere a intravilanelor inclusiv în cazul noilor documentații PUG aflate în curs de actualizare.</w:t>
      </w:r>
    </w:p>
    <w:p w14:paraId="7CB3C451" w14:textId="77777777" w:rsidR="00670FD4" w:rsidRDefault="00670FD4" w:rsidP="00670FD4">
      <w:pPr>
        <w:spacing w:before="0"/>
        <w:ind w:firstLine="567"/>
        <w:rPr>
          <w:rFonts w:eastAsia="Times New Roman" w:cs="Times New Roman"/>
        </w:rPr>
      </w:pPr>
      <w:r>
        <w:rPr>
          <w:rFonts w:eastAsia="Times New Roman" w:cs="Times New Roman"/>
        </w:rPr>
        <w:t>Tendințe privind modul de ocupare a teritoriului în zona costieră</w:t>
      </w:r>
    </w:p>
    <w:p w14:paraId="177F4ABE" w14:textId="77777777" w:rsidR="00670FD4" w:rsidRDefault="00670FD4" w:rsidP="00670FD4">
      <w:pPr>
        <w:spacing w:before="0"/>
        <w:ind w:firstLine="567"/>
        <w:rPr>
          <w:rFonts w:eastAsia="Times New Roman" w:cs="Times New Roman"/>
        </w:rPr>
      </w:pPr>
      <w:r>
        <w:rPr>
          <w:rFonts w:eastAsia="Times New Roman" w:cs="Times New Roman"/>
        </w:rPr>
        <w:t>Analiza datelor privind evoluția demografică și extinderea teritoriilor construite și destinate construirii arată următoarele tendințe privind procesul de urbanizare în zona costieră, așa cum este definită în prezentul studiu:</w:t>
      </w:r>
    </w:p>
    <w:p w14:paraId="0963237C" w14:textId="77777777" w:rsidR="00670FD4" w:rsidRDefault="00670FD4" w:rsidP="00670FD4">
      <w:pPr>
        <w:spacing w:before="0"/>
        <w:ind w:firstLine="567"/>
        <w:rPr>
          <w:rFonts w:eastAsia="Times New Roman" w:cs="Times New Roman"/>
        </w:rPr>
      </w:pPr>
      <w:r>
        <w:rPr>
          <w:rFonts w:eastAsia="Times New Roman" w:cs="Times New Roman"/>
        </w:rPr>
        <w:t>- există o  tendință de scădere a numărului de locuitori în partea nordică a Deltei Dunării, probabil datorită lipsei unor infrastructuri pentru facilitarea accesului;</w:t>
      </w:r>
    </w:p>
    <w:p w14:paraId="3B54F1F6" w14:textId="77777777" w:rsidR="00670FD4" w:rsidRDefault="00670FD4" w:rsidP="00670FD4">
      <w:pPr>
        <w:spacing w:before="0"/>
        <w:ind w:firstLine="567"/>
        <w:rPr>
          <w:rFonts w:eastAsia="Times New Roman" w:cs="Times New Roman"/>
        </w:rPr>
      </w:pPr>
      <w:r>
        <w:rPr>
          <w:rFonts w:eastAsia="Times New Roman" w:cs="Times New Roman"/>
        </w:rPr>
        <w:t>- UAT-urile din zona complexului Razim-Sinoe, unde există posibilități de acces, sunt atractive pentru locuitori și investitori, existând programe de finanțare pentru pensiuni, de exemplu, ceea ce poate asigura, cel puțin menținerea ponderii existente a teritoriului ocupat efectiv cu construcții în total UAT;</w:t>
      </w:r>
    </w:p>
    <w:p w14:paraId="44D340C2" w14:textId="77777777" w:rsidR="00670FD4" w:rsidRDefault="00670FD4" w:rsidP="00670FD4">
      <w:pPr>
        <w:spacing w:before="0"/>
        <w:ind w:firstLine="567"/>
        <w:rPr>
          <w:rFonts w:eastAsia="Times New Roman" w:cs="Times New Roman"/>
        </w:rPr>
      </w:pPr>
      <w:r>
        <w:rPr>
          <w:rFonts w:eastAsia="Times New Roman" w:cs="Times New Roman"/>
        </w:rPr>
        <w:t>- s-au aprobat, prin PUG-uri, extinderi ale tuturor intravilanelor, în toate UAT-urile, inclusiv în cele unde numărul de locuitori este în scădere;</w:t>
      </w:r>
    </w:p>
    <w:p w14:paraId="77683CDF" w14:textId="77777777" w:rsidR="00670FD4" w:rsidRDefault="00670FD4" w:rsidP="00670FD4">
      <w:pPr>
        <w:spacing w:before="0"/>
        <w:ind w:firstLine="567"/>
        <w:rPr>
          <w:rFonts w:eastAsia="Times New Roman" w:cs="Times New Roman"/>
        </w:rPr>
      </w:pPr>
      <w:r>
        <w:rPr>
          <w:rFonts w:eastAsia="Times New Roman" w:cs="Times New Roman"/>
        </w:rPr>
        <w:t>- în UAT-urile din sectorul Năvodari-Agigea, tendința istorică a fost de extindere a suprafețelor de teren ocupate efectiv cu construcții în zonele limitrofe liniei țărmului. PUG-urile în curs de actualizare prevăd extinderea în continuare a intravilanelor la Năvodari;</w:t>
      </w:r>
    </w:p>
    <w:p w14:paraId="74F43484" w14:textId="77777777" w:rsidR="00670FD4" w:rsidRDefault="00670FD4" w:rsidP="00670FD4">
      <w:pPr>
        <w:spacing w:before="0"/>
        <w:ind w:firstLine="567"/>
        <w:rPr>
          <w:rFonts w:eastAsia="Times New Roman" w:cs="Times New Roman"/>
        </w:rPr>
      </w:pPr>
      <w:r>
        <w:rPr>
          <w:rFonts w:eastAsia="Times New Roman" w:cs="Times New Roman"/>
        </w:rPr>
        <w:t xml:space="preserve">- în zona Eforie–Limanu, nu ar mai fi posibile extinderi ale zonelor construite decât în UAT Tuzla și 23 August. În UAT Eforie, care are cea mai mare pondere a terenurilor ocupate efectiv cu construcții, s-au epuizat rezervele de teren pentru extinderi. Se extind intravilanele în Tuzla, Costinesti, iar Mangalia are prevăzută o extindere a intravilanului cu 22,46%. În UAT </w:t>
      </w:r>
      <w:r>
        <w:rPr>
          <w:rFonts w:eastAsia="Times New Roman" w:cs="Times New Roman"/>
        </w:rPr>
        <w:lastRenderedPageBreak/>
        <w:t>Limanu, construcții noi pentru facilități de primire turistică se vor putea realiza prin extinderea intravilanelor dintre localitățile 2 Mai și Vama Veche.</w:t>
      </w:r>
    </w:p>
    <w:p w14:paraId="578F8F62" w14:textId="77777777" w:rsidR="00670FD4" w:rsidRDefault="00670FD4" w:rsidP="00670FD4">
      <w:pPr>
        <w:spacing w:before="0"/>
        <w:ind w:firstLine="567"/>
        <w:rPr>
          <w:rFonts w:eastAsia="Times New Roman" w:cs="Times New Roman"/>
          <w:i/>
        </w:rPr>
      </w:pPr>
      <w:r>
        <w:rPr>
          <w:rFonts w:eastAsia="Times New Roman" w:cs="Times New Roman"/>
          <w:i/>
        </w:rPr>
        <w:t>Structura și tendințele dezvoltării zonelor funcționale din intravilanele din teritoriul zonei costiere</w:t>
      </w:r>
    </w:p>
    <w:p w14:paraId="397C7DF1" w14:textId="77777777" w:rsidR="00670FD4" w:rsidRDefault="00670FD4" w:rsidP="00670FD4">
      <w:pPr>
        <w:spacing w:before="0"/>
        <w:ind w:firstLine="567"/>
        <w:rPr>
          <w:rFonts w:eastAsia="Times New Roman" w:cs="Times New Roman"/>
        </w:rPr>
      </w:pPr>
      <w:r>
        <w:rPr>
          <w:rFonts w:eastAsia="Times New Roman" w:cs="Times New Roman"/>
        </w:rPr>
        <w:t>Zonificarea este procesul prin care se stabilește modul de alocare a resurselor de teren pentru diferite tipuri de activități care generează sectoarele de activitate care, la rândul lor, definesc zonele funcționale. Această alocare a resurselor de teren se face prin instrumentele cu caracter de reglementare, respectiv Planurile Urbanistice Generale, al căror stadiu de elaborare/aprobare este arătat în Tabelul 2.4.8.8.1. În Anexa 8 sunt prezentate tipuri de activități în funcție de modul de utilizare a terenurilor situate la limita de contact cu zona costieră – sectorul Sudic (Capul Midia – Vama Veche).</w:t>
      </w:r>
    </w:p>
    <w:p w14:paraId="77F84A22" w14:textId="77777777" w:rsidR="00670FD4" w:rsidRDefault="00670FD4" w:rsidP="00670FD4">
      <w:pPr>
        <w:spacing w:before="0"/>
        <w:ind w:firstLine="567"/>
        <w:rPr>
          <w:rFonts w:eastAsia="Times New Roman" w:cs="Times New Roman"/>
          <w:u w:val="single"/>
        </w:rPr>
      </w:pPr>
      <w:r>
        <w:rPr>
          <w:rFonts w:eastAsia="Times New Roman" w:cs="Times New Roman"/>
          <w:u w:val="single"/>
        </w:rPr>
        <w:t>Terenuri ocupate cu activități de locuire</w:t>
      </w:r>
    </w:p>
    <w:p w14:paraId="0B40F46A" w14:textId="77777777" w:rsidR="00670FD4" w:rsidRDefault="00670FD4" w:rsidP="00670FD4">
      <w:pPr>
        <w:spacing w:before="0"/>
        <w:ind w:firstLine="567"/>
        <w:rPr>
          <w:rFonts w:eastAsia="Times New Roman" w:cs="Times New Roman"/>
        </w:rPr>
      </w:pPr>
      <w:r>
        <w:rPr>
          <w:rFonts w:eastAsia="Times New Roman" w:cs="Times New Roman"/>
        </w:rPr>
        <w:t>În timp ce tendința generală în zona costieră este de scădere a numărului de locuitori, fondul total de locuinţe din zona costieră a crescut de la 296.701 unități în 1990, la 389.553 unități în 2021.</w:t>
      </w:r>
    </w:p>
    <w:p w14:paraId="55ED35F0" w14:textId="77777777" w:rsidR="00670FD4" w:rsidRDefault="00670FD4" w:rsidP="00670FD4">
      <w:pPr>
        <w:spacing w:before="0"/>
        <w:ind w:firstLine="567"/>
        <w:rPr>
          <w:rFonts w:eastAsia="Times New Roman" w:cs="Times New Roman"/>
        </w:rPr>
      </w:pPr>
      <w:r>
        <w:rPr>
          <w:rFonts w:eastAsia="Times New Roman" w:cs="Times New Roman"/>
        </w:rPr>
        <w:t>Analiza documentațiilor PUG disponibile indică creșterea suprafețelor de teren destinat activităților de locuire în toate UAT-urile (Tabel 2.4.8.8.5). În sectorul nordic al zonei costiere, cel mai mare procent de creștere a fost prevăzut în Sfântu Gheorghe (65,36 %), urmat de Murighiol (28,78 %) și C.A.Rosetti (21,88 %). Pentru Corbu, Istria și Săcele nu sunt date disponibile pentru calcularea procentului de creștere. Pentru Săcele conform datelor disponibile în Raportul de mediu pentru Actualizare PUG se propune o creștere cu 162,48 %. În sectorul sudic cele mai mari procente de creștere au fost prevăzute la Năvodari (87,45 %) și Agigea (62,01 %). Techirghiol și Năvodari au documentații de actualizare PUG în curs de avizare și conform datelor disponibile în Rapoartele de mediu aferente documentațiilor este prevăzută o creștere a suprafețelor de teren destinate locuințelor cu 26,94 % (Techirghiol) și o scădere cu -10,54 % (Năvodari). Mangalia a aprobat prin PUG 2019 o creștere cu 21 %.</w:t>
      </w:r>
    </w:p>
    <w:p w14:paraId="083B1135" w14:textId="77777777" w:rsidR="00670FD4" w:rsidRDefault="00670FD4" w:rsidP="00670FD4">
      <w:pPr>
        <w:ind w:firstLine="567"/>
        <w:rPr>
          <w:rFonts w:eastAsia="Times New Roman" w:cs="Times New Roman"/>
        </w:rPr>
      </w:pPr>
    </w:p>
    <w:p w14:paraId="5D0FC9A3" w14:textId="77777777" w:rsidR="00670FD4" w:rsidRDefault="00670FD4" w:rsidP="00670FD4">
      <w:pPr>
        <w:spacing w:line="240" w:lineRule="auto"/>
        <w:ind w:left="102"/>
        <w:jc w:val="center"/>
        <w:rPr>
          <w:rFonts w:eastAsia="Times New Roman" w:cs="Times New Roman"/>
        </w:rPr>
      </w:pPr>
      <w:bookmarkStart w:id="105" w:name="_heading=h.3fwokq0" w:colFirst="0" w:colLast="0"/>
      <w:bookmarkEnd w:id="105"/>
      <w:r>
        <w:rPr>
          <w:rFonts w:eastAsia="Times New Roman" w:cs="Times New Roman"/>
          <w:b/>
        </w:rPr>
        <w:t>Tabel 2.4.8.8.5 Zone cu activități de locuire (pe baza datelor din PUG-uri)</w:t>
      </w:r>
    </w:p>
    <w:tbl>
      <w:tblPr>
        <w:tblW w:w="9016" w:type="dxa"/>
        <w:jc w:val="center"/>
        <w:tblLayout w:type="fixed"/>
        <w:tblLook w:val="0400" w:firstRow="0" w:lastRow="0" w:firstColumn="0" w:lastColumn="0" w:noHBand="0" w:noVBand="1"/>
      </w:tblPr>
      <w:tblGrid>
        <w:gridCol w:w="1376"/>
        <w:gridCol w:w="1175"/>
        <w:gridCol w:w="959"/>
        <w:gridCol w:w="1398"/>
        <w:gridCol w:w="1328"/>
        <w:gridCol w:w="1324"/>
        <w:gridCol w:w="1456"/>
      </w:tblGrid>
      <w:tr w:rsidR="00670FD4" w:rsidRPr="00314C19" w14:paraId="15C580DE" w14:textId="77777777" w:rsidTr="001925BA">
        <w:trPr>
          <w:trHeight w:val="1175"/>
          <w:jc w:val="center"/>
        </w:trPr>
        <w:tc>
          <w:tcPr>
            <w:tcW w:w="1376" w:type="dxa"/>
            <w:tcBorders>
              <w:top w:val="single" w:sz="4"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41B75293" w14:textId="77777777" w:rsidR="00670FD4" w:rsidRPr="00314C19" w:rsidRDefault="00670FD4" w:rsidP="001925BA">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UAT</w:t>
            </w:r>
          </w:p>
        </w:tc>
        <w:tc>
          <w:tcPr>
            <w:tcW w:w="1175" w:type="dxa"/>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E79B82" w14:textId="77777777" w:rsidR="00670FD4" w:rsidRPr="00314C19" w:rsidRDefault="00670FD4" w:rsidP="001925BA">
            <w:pPr>
              <w:spacing w:after="0" w:line="240" w:lineRule="auto"/>
              <w:ind w:left="100" w:hanging="21"/>
              <w:rPr>
                <w:rFonts w:eastAsia="Times New Roman" w:cs="Times New Roman"/>
                <w:sz w:val="20"/>
                <w:szCs w:val="20"/>
              </w:rPr>
            </w:pPr>
            <w:r w:rsidRPr="00314C19">
              <w:rPr>
                <w:rFonts w:eastAsia="Times New Roman" w:cs="Times New Roman"/>
                <w:b/>
                <w:color w:val="000000"/>
                <w:sz w:val="20"/>
                <w:szCs w:val="20"/>
              </w:rPr>
              <w:t>Existent la data aprobării PUG (ha)</w:t>
            </w:r>
          </w:p>
        </w:tc>
        <w:tc>
          <w:tcPr>
            <w:tcW w:w="959" w:type="dxa"/>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45965B" w14:textId="77777777" w:rsidR="00670FD4" w:rsidRPr="00314C19" w:rsidRDefault="00670FD4" w:rsidP="001925BA">
            <w:pPr>
              <w:spacing w:after="0" w:line="240" w:lineRule="auto"/>
              <w:ind w:firstLine="38"/>
              <w:rPr>
                <w:rFonts w:eastAsia="Times New Roman" w:cs="Times New Roman"/>
                <w:sz w:val="20"/>
                <w:szCs w:val="20"/>
              </w:rPr>
            </w:pPr>
            <w:r w:rsidRPr="00314C19">
              <w:rPr>
                <w:rFonts w:eastAsia="Times New Roman" w:cs="Times New Roman"/>
                <w:b/>
                <w:color w:val="000000"/>
                <w:sz w:val="20"/>
                <w:szCs w:val="20"/>
              </w:rPr>
              <w:t>Aprobat prin PUG (ha)</w:t>
            </w:r>
          </w:p>
        </w:tc>
        <w:tc>
          <w:tcPr>
            <w:tcW w:w="1398" w:type="dxa"/>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A5E984" w14:textId="77777777" w:rsidR="00670FD4" w:rsidRPr="00314C19" w:rsidRDefault="00670FD4" w:rsidP="001925BA">
            <w:pPr>
              <w:spacing w:after="0" w:line="240" w:lineRule="auto"/>
              <w:ind w:left="100" w:hanging="29"/>
              <w:rPr>
                <w:rFonts w:eastAsia="Times New Roman" w:cs="Times New Roman"/>
                <w:sz w:val="20"/>
                <w:szCs w:val="20"/>
              </w:rPr>
            </w:pPr>
            <w:r w:rsidRPr="00314C19">
              <w:rPr>
                <w:rFonts w:eastAsia="Times New Roman" w:cs="Times New Roman"/>
                <w:b/>
                <w:color w:val="000000"/>
                <w:sz w:val="20"/>
                <w:szCs w:val="20"/>
              </w:rPr>
              <w:t>Aprobat prin PUZ extindere intravilan/ /modificare PUG (ha)</w:t>
            </w:r>
          </w:p>
        </w:tc>
        <w:tc>
          <w:tcPr>
            <w:tcW w:w="1328" w:type="dxa"/>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FC393B" w14:textId="77777777" w:rsidR="00670FD4" w:rsidRPr="00314C19" w:rsidRDefault="00670FD4" w:rsidP="001925BA">
            <w:pPr>
              <w:spacing w:after="0" w:line="240" w:lineRule="auto"/>
              <w:ind w:left="100" w:hanging="10"/>
              <w:rPr>
                <w:rFonts w:eastAsia="Times New Roman" w:cs="Times New Roman"/>
                <w:sz w:val="20"/>
                <w:szCs w:val="20"/>
              </w:rPr>
            </w:pPr>
            <w:r w:rsidRPr="00314C19">
              <w:rPr>
                <w:rFonts w:eastAsia="Times New Roman" w:cs="Times New Roman"/>
                <w:b/>
                <w:color w:val="000000"/>
                <w:sz w:val="20"/>
                <w:szCs w:val="20"/>
              </w:rPr>
              <w:t>Existentla data actualizării PUG (ha)</w:t>
            </w:r>
          </w:p>
        </w:tc>
        <w:tc>
          <w:tcPr>
            <w:tcW w:w="1324" w:type="dxa"/>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2C62D4" w14:textId="77777777" w:rsidR="00670FD4" w:rsidRPr="00314C19" w:rsidRDefault="00670FD4" w:rsidP="001925BA">
            <w:pPr>
              <w:spacing w:after="0" w:line="240" w:lineRule="auto"/>
              <w:ind w:left="100" w:hanging="62"/>
              <w:rPr>
                <w:rFonts w:eastAsia="Times New Roman" w:cs="Times New Roman"/>
                <w:sz w:val="20"/>
                <w:szCs w:val="20"/>
              </w:rPr>
            </w:pPr>
            <w:r w:rsidRPr="00314C19">
              <w:rPr>
                <w:rFonts w:eastAsia="Times New Roman" w:cs="Times New Roman"/>
                <w:b/>
                <w:color w:val="000000"/>
                <w:sz w:val="20"/>
                <w:szCs w:val="20"/>
              </w:rPr>
              <w:t>Propus prin PUG în curs de actualizare (ha)</w:t>
            </w:r>
          </w:p>
        </w:tc>
        <w:tc>
          <w:tcPr>
            <w:tcW w:w="1456" w:type="dxa"/>
            <w:tcBorders>
              <w:top w:val="single" w:sz="4"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03D8230E" w14:textId="77777777" w:rsidR="00670FD4" w:rsidRPr="00314C19" w:rsidRDefault="00670FD4" w:rsidP="001925BA">
            <w:pPr>
              <w:spacing w:after="0" w:line="240" w:lineRule="auto"/>
              <w:ind w:left="100" w:hanging="100"/>
              <w:rPr>
                <w:rFonts w:eastAsia="Times New Roman" w:cs="Times New Roman"/>
                <w:sz w:val="20"/>
                <w:szCs w:val="20"/>
              </w:rPr>
            </w:pPr>
            <w:r w:rsidRPr="00314C19">
              <w:rPr>
                <w:rFonts w:eastAsia="Times New Roman" w:cs="Times New Roman"/>
                <w:b/>
                <w:color w:val="000000"/>
                <w:sz w:val="20"/>
                <w:szCs w:val="20"/>
              </w:rPr>
              <w:t>Observații</w:t>
            </w:r>
          </w:p>
        </w:tc>
      </w:tr>
      <w:tr w:rsidR="00670FD4" w:rsidRPr="00314C19" w14:paraId="0643B145" w14:textId="77777777" w:rsidTr="001925BA">
        <w:trPr>
          <w:trHeight w:val="235"/>
          <w:jc w:val="center"/>
        </w:trPr>
        <w:tc>
          <w:tcPr>
            <w:tcW w:w="1376"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54ED81A4" w14:textId="77777777" w:rsidR="00670FD4" w:rsidRPr="00314C19" w:rsidRDefault="00670FD4" w:rsidP="001925BA">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C.A.Rosetti</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9344E0" w14:textId="77777777" w:rsidR="00670FD4" w:rsidRPr="00314C19" w:rsidRDefault="00670FD4" w:rsidP="001925BA">
            <w:pPr>
              <w:spacing w:after="0" w:line="240" w:lineRule="auto"/>
              <w:ind w:left="100" w:hanging="21"/>
              <w:rPr>
                <w:rFonts w:eastAsia="Times New Roman" w:cs="Times New Roman"/>
                <w:sz w:val="20"/>
                <w:szCs w:val="20"/>
              </w:rPr>
            </w:pPr>
            <w:r w:rsidRPr="00314C19">
              <w:rPr>
                <w:rFonts w:eastAsia="Times New Roman" w:cs="Times New Roman"/>
                <w:color w:val="000000"/>
                <w:sz w:val="20"/>
                <w:szCs w:val="20"/>
              </w:rPr>
              <w:t>513,02</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C6061D" w14:textId="77777777" w:rsidR="00670FD4" w:rsidRPr="00314C19" w:rsidRDefault="00670FD4" w:rsidP="001925BA">
            <w:pPr>
              <w:spacing w:after="0" w:line="240" w:lineRule="auto"/>
              <w:ind w:left="100" w:firstLine="38"/>
              <w:rPr>
                <w:rFonts w:eastAsia="Times New Roman" w:cs="Times New Roman"/>
                <w:sz w:val="20"/>
                <w:szCs w:val="20"/>
              </w:rPr>
            </w:pPr>
            <w:r w:rsidRPr="00314C19">
              <w:rPr>
                <w:rFonts w:eastAsia="Times New Roman" w:cs="Times New Roman"/>
                <w:color w:val="000000"/>
                <w:sz w:val="20"/>
                <w:szCs w:val="20"/>
              </w:rPr>
              <w:t>625,27</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E55DFA" w14:textId="77777777" w:rsidR="00670FD4" w:rsidRPr="00314C19" w:rsidRDefault="00670FD4" w:rsidP="001925BA">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5318AF" w14:textId="77777777" w:rsidR="00670FD4" w:rsidRPr="00314C19" w:rsidRDefault="00670FD4" w:rsidP="001925BA">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 </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E6DBC0" w14:textId="77777777" w:rsidR="00670FD4" w:rsidRPr="00314C19" w:rsidRDefault="00670FD4" w:rsidP="001925BA">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 </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608916FC" w14:textId="77777777" w:rsidR="00670FD4" w:rsidRPr="00314C19" w:rsidRDefault="00670FD4" w:rsidP="001925BA">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670FD4" w:rsidRPr="00314C19" w14:paraId="7E72658E" w14:textId="77777777" w:rsidTr="001925BA">
        <w:trPr>
          <w:trHeight w:val="229"/>
          <w:jc w:val="center"/>
        </w:trPr>
        <w:tc>
          <w:tcPr>
            <w:tcW w:w="1376"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6DF450DF" w14:textId="77777777" w:rsidR="00670FD4" w:rsidRPr="00314C19" w:rsidRDefault="00670FD4" w:rsidP="001925BA">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Sulina</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CF6CAD" w14:textId="77777777" w:rsidR="00670FD4" w:rsidRPr="00314C19" w:rsidRDefault="00670FD4" w:rsidP="001925BA">
            <w:pPr>
              <w:spacing w:after="0" w:line="240" w:lineRule="auto"/>
              <w:ind w:left="100" w:hanging="21"/>
              <w:rPr>
                <w:rFonts w:eastAsia="Times New Roman" w:cs="Times New Roman"/>
                <w:sz w:val="20"/>
                <w:szCs w:val="20"/>
              </w:rPr>
            </w:pPr>
            <w:r w:rsidRPr="00314C19">
              <w:rPr>
                <w:rFonts w:eastAsia="Times New Roman" w:cs="Times New Roman"/>
                <w:color w:val="000000"/>
                <w:sz w:val="20"/>
                <w:szCs w:val="20"/>
              </w:rPr>
              <w:t>70,94</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8917D1" w14:textId="77777777" w:rsidR="00670FD4" w:rsidRPr="00314C19" w:rsidRDefault="00670FD4" w:rsidP="001925BA">
            <w:pPr>
              <w:spacing w:after="0" w:line="240" w:lineRule="auto"/>
              <w:ind w:left="100" w:firstLine="38"/>
              <w:rPr>
                <w:rFonts w:eastAsia="Times New Roman" w:cs="Times New Roman"/>
                <w:sz w:val="20"/>
                <w:szCs w:val="20"/>
              </w:rPr>
            </w:pPr>
            <w:r w:rsidRPr="00314C19">
              <w:rPr>
                <w:rFonts w:eastAsia="Times New Roman" w:cs="Times New Roman"/>
                <w:color w:val="000000"/>
                <w:sz w:val="20"/>
                <w:szCs w:val="20"/>
              </w:rPr>
              <w:t>80,43</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638723" w14:textId="77777777" w:rsidR="00670FD4" w:rsidRPr="00314C19" w:rsidRDefault="00670FD4" w:rsidP="001925BA">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443E3B" w14:textId="77777777" w:rsidR="00670FD4" w:rsidRPr="00314C19" w:rsidRDefault="00670FD4" w:rsidP="001925BA">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 </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142238" w14:textId="77777777" w:rsidR="00670FD4" w:rsidRPr="00314C19" w:rsidRDefault="00670FD4" w:rsidP="001925BA">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 </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6B718E71" w14:textId="77777777" w:rsidR="00670FD4" w:rsidRPr="00314C19" w:rsidRDefault="00670FD4" w:rsidP="001925BA">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670FD4" w:rsidRPr="00314C19" w14:paraId="00B055DA" w14:textId="77777777" w:rsidTr="001925BA">
        <w:trPr>
          <w:trHeight w:val="223"/>
          <w:jc w:val="center"/>
        </w:trPr>
        <w:tc>
          <w:tcPr>
            <w:tcW w:w="1376"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05AEF6FE" w14:textId="77777777" w:rsidR="00670FD4" w:rsidRPr="00314C19" w:rsidRDefault="00670FD4" w:rsidP="001925BA">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Sf.Gheorghe</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46323C" w14:textId="77777777" w:rsidR="00670FD4" w:rsidRPr="00314C19" w:rsidRDefault="00670FD4" w:rsidP="001925BA">
            <w:pPr>
              <w:spacing w:after="0" w:line="240" w:lineRule="auto"/>
              <w:ind w:left="100" w:hanging="21"/>
              <w:rPr>
                <w:rFonts w:eastAsia="Times New Roman" w:cs="Times New Roman"/>
                <w:sz w:val="20"/>
                <w:szCs w:val="20"/>
              </w:rPr>
            </w:pPr>
            <w:r w:rsidRPr="00314C19">
              <w:rPr>
                <w:rFonts w:eastAsia="Times New Roman" w:cs="Times New Roman"/>
                <w:color w:val="000000"/>
                <w:sz w:val="20"/>
                <w:szCs w:val="20"/>
              </w:rPr>
              <w:t>51,64</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01F7F9" w14:textId="77777777" w:rsidR="00670FD4" w:rsidRPr="00314C19" w:rsidRDefault="00670FD4" w:rsidP="001925BA">
            <w:pPr>
              <w:spacing w:after="0" w:line="240" w:lineRule="auto"/>
              <w:ind w:left="100" w:firstLine="38"/>
              <w:rPr>
                <w:rFonts w:eastAsia="Times New Roman" w:cs="Times New Roman"/>
                <w:sz w:val="20"/>
                <w:szCs w:val="20"/>
              </w:rPr>
            </w:pPr>
            <w:r w:rsidRPr="00314C19">
              <w:rPr>
                <w:rFonts w:eastAsia="Times New Roman" w:cs="Times New Roman"/>
                <w:color w:val="000000"/>
                <w:sz w:val="20"/>
                <w:szCs w:val="20"/>
              </w:rPr>
              <w:t>85,39</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92CC92" w14:textId="77777777" w:rsidR="00670FD4" w:rsidRPr="00314C19" w:rsidRDefault="00670FD4" w:rsidP="001925BA">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BED0F5" w14:textId="77777777" w:rsidR="00670FD4" w:rsidRPr="00314C19" w:rsidRDefault="00670FD4" w:rsidP="001925BA">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 </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6331A1" w14:textId="77777777" w:rsidR="00670FD4" w:rsidRPr="00314C19" w:rsidRDefault="00670FD4" w:rsidP="001925BA">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 </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5B73B33F" w14:textId="77777777" w:rsidR="00670FD4" w:rsidRPr="00314C19" w:rsidRDefault="00670FD4" w:rsidP="001925BA">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670FD4" w:rsidRPr="00314C19" w14:paraId="3A24031B" w14:textId="77777777" w:rsidTr="001925BA">
        <w:trPr>
          <w:trHeight w:val="231"/>
          <w:jc w:val="center"/>
        </w:trPr>
        <w:tc>
          <w:tcPr>
            <w:tcW w:w="1376"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07DA3722" w14:textId="77777777" w:rsidR="00670FD4" w:rsidRPr="00314C19" w:rsidRDefault="00670FD4" w:rsidP="001925BA">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Murighiol</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81C9E6" w14:textId="77777777" w:rsidR="00670FD4" w:rsidRPr="00314C19" w:rsidRDefault="00670FD4" w:rsidP="001925BA">
            <w:pPr>
              <w:spacing w:after="0" w:line="240" w:lineRule="auto"/>
              <w:ind w:left="100" w:hanging="21"/>
              <w:rPr>
                <w:rFonts w:eastAsia="Times New Roman" w:cs="Times New Roman"/>
                <w:sz w:val="20"/>
                <w:szCs w:val="20"/>
              </w:rPr>
            </w:pPr>
            <w:r w:rsidRPr="00314C19">
              <w:rPr>
                <w:rFonts w:eastAsia="Times New Roman" w:cs="Times New Roman"/>
                <w:color w:val="000000"/>
                <w:sz w:val="20"/>
                <w:szCs w:val="20"/>
              </w:rPr>
              <w:t>500,14</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2B6AE3" w14:textId="77777777" w:rsidR="00670FD4" w:rsidRPr="00314C19" w:rsidRDefault="00670FD4" w:rsidP="001925BA">
            <w:pPr>
              <w:spacing w:after="0" w:line="240" w:lineRule="auto"/>
              <w:ind w:left="100" w:firstLine="38"/>
              <w:rPr>
                <w:rFonts w:eastAsia="Times New Roman" w:cs="Times New Roman"/>
                <w:sz w:val="20"/>
                <w:szCs w:val="20"/>
              </w:rPr>
            </w:pPr>
            <w:r w:rsidRPr="00314C19">
              <w:rPr>
                <w:rFonts w:eastAsia="Times New Roman" w:cs="Times New Roman"/>
                <w:color w:val="000000"/>
                <w:sz w:val="20"/>
                <w:szCs w:val="20"/>
              </w:rPr>
              <w:t>644,07</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B05F08" w14:textId="77777777" w:rsidR="00670FD4" w:rsidRPr="00314C19" w:rsidRDefault="00670FD4" w:rsidP="001925BA">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3A8434" w14:textId="77777777" w:rsidR="00670FD4" w:rsidRPr="00314C19" w:rsidRDefault="00670FD4" w:rsidP="001925BA">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 </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EEB7FA" w14:textId="77777777" w:rsidR="00670FD4" w:rsidRPr="00314C19" w:rsidRDefault="00670FD4" w:rsidP="001925BA">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 </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5414B9AD" w14:textId="77777777" w:rsidR="00670FD4" w:rsidRPr="00314C19" w:rsidRDefault="00670FD4" w:rsidP="001925BA">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670FD4" w:rsidRPr="00314C19" w14:paraId="056BD5FE" w14:textId="77777777" w:rsidTr="001925BA">
        <w:trPr>
          <w:trHeight w:val="336"/>
          <w:jc w:val="center"/>
        </w:trPr>
        <w:tc>
          <w:tcPr>
            <w:tcW w:w="1376"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1297F3CF" w14:textId="77777777" w:rsidR="00670FD4" w:rsidRPr="00314C19" w:rsidRDefault="00670FD4" w:rsidP="001925BA">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lastRenderedPageBreak/>
              <w:t>Jurilovca</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710D3C" w14:textId="77777777" w:rsidR="00670FD4" w:rsidRPr="00314C19" w:rsidRDefault="00670FD4" w:rsidP="001925BA">
            <w:pPr>
              <w:spacing w:after="0" w:line="240" w:lineRule="auto"/>
              <w:ind w:left="100" w:hanging="21"/>
              <w:rPr>
                <w:rFonts w:eastAsia="Times New Roman" w:cs="Times New Roman"/>
                <w:sz w:val="20"/>
                <w:szCs w:val="20"/>
              </w:rPr>
            </w:pPr>
            <w:r w:rsidRPr="00314C19">
              <w:rPr>
                <w:rFonts w:eastAsia="Times New Roman" w:cs="Times New Roman"/>
                <w:color w:val="000000"/>
                <w:sz w:val="20"/>
                <w:szCs w:val="20"/>
              </w:rPr>
              <w:t>455,63</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15AA1D" w14:textId="77777777" w:rsidR="00670FD4" w:rsidRPr="00314C19" w:rsidRDefault="00670FD4" w:rsidP="001925BA">
            <w:pPr>
              <w:spacing w:after="0" w:line="240" w:lineRule="auto"/>
              <w:ind w:left="100" w:firstLine="38"/>
              <w:rPr>
                <w:rFonts w:eastAsia="Times New Roman" w:cs="Times New Roman"/>
                <w:sz w:val="20"/>
                <w:szCs w:val="20"/>
              </w:rPr>
            </w:pPr>
            <w:r w:rsidRPr="00314C19">
              <w:rPr>
                <w:rFonts w:eastAsia="Times New Roman" w:cs="Times New Roman"/>
                <w:color w:val="000000"/>
                <w:sz w:val="20"/>
                <w:szCs w:val="20"/>
              </w:rPr>
              <w:t>467,99</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2BE2EA" w14:textId="77777777" w:rsidR="00670FD4" w:rsidRPr="00314C19" w:rsidRDefault="00670FD4" w:rsidP="001925BA">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AD16AE" w14:textId="77777777" w:rsidR="00670FD4" w:rsidRPr="00314C19" w:rsidRDefault="00670FD4" w:rsidP="001925BA">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 </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4BEBCD" w14:textId="77777777" w:rsidR="00670FD4" w:rsidRPr="00314C19" w:rsidRDefault="00670FD4" w:rsidP="001925BA">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 </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48A1E21A" w14:textId="77777777" w:rsidR="00670FD4" w:rsidRPr="00314C19" w:rsidRDefault="00670FD4" w:rsidP="001925BA">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670FD4" w:rsidRPr="00314C19" w14:paraId="642A5802" w14:textId="77777777" w:rsidTr="001925BA">
        <w:trPr>
          <w:trHeight w:val="410"/>
          <w:jc w:val="center"/>
        </w:trPr>
        <w:tc>
          <w:tcPr>
            <w:tcW w:w="1376"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14FD1CE2" w14:textId="77777777" w:rsidR="00670FD4" w:rsidRPr="00314C19" w:rsidRDefault="00670FD4" w:rsidP="001925BA">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Mihai Viteazu</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49D900" w14:textId="77777777" w:rsidR="00670FD4" w:rsidRPr="00314C19" w:rsidRDefault="00670FD4" w:rsidP="001925BA">
            <w:pPr>
              <w:spacing w:after="0" w:line="240" w:lineRule="auto"/>
              <w:ind w:left="100" w:hanging="21"/>
              <w:rPr>
                <w:rFonts w:eastAsia="Times New Roman" w:cs="Times New Roman"/>
                <w:sz w:val="20"/>
                <w:szCs w:val="20"/>
              </w:rPr>
            </w:pPr>
            <w:r w:rsidRPr="00314C19">
              <w:rPr>
                <w:rFonts w:eastAsia="Times New Roman" w:cs="Times New Roman"/>
                <w:i/>
                <w:color w:val="000000"/>
                <w:sz w:val="20"/>
                <w:szCs w:val="20"/>
              </w:rPr>
              <w:t>lipsă date</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16B91B" w14:textId="77777777" w:rsidR="00670FD4" w:rsidRPr="00314C19" w:rsidRDefault="00670FD4" w:rsidP="001925BA">
            <w:pPr>
              <w:spacing w:after="0" w:line="240" w:lineRule="auto"/>
              <w:ind w:left="100" w:firstLine="38"/>
              <w:rPr>
                <w:rFonts w:eastAsia="Times New Roman" w:cs="Times New Roman"/>
                <w:sz w:val="20"/>
                <w:szCs w:val="20"/>
              </w:rPr>
            </w:pPr>
            <w:r w:rsidRPr="00314C19">
              <w:rPr>
                <w:rFonts w:eastAsia="Times New Roman" w:cs="Times New Roman"/>
                <w:color w:val="000000"/>
                <w:sz w:val="20"/>
                <w:szCs w:val="20"/>
              </w:rPr>
              <w:t>414,59</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C80E0F" w14:textId="77777777" w:rsidR="00670FD4" w:rsidRPr="00314C19" w:rsidRDefault="00670FD4" w:rsidP="001925BA">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D039B4" w14:textId="77777777" w:rsidR="00670FD4" w:rsidRPr="00314C19" w:rsidRDefault="00670FD4" w:rsidP="001925BA">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 </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4289BB" w14:textId="77777777" w:rsidR="00670FD4" w:rsidRPr="00314C19" w:rsidRDefault="00670FD4" w:rsidP="001925BA">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 </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02AA8E86" w14:textId="77777777" w:rsidR="00670FD4" w:rsidRPr="00314C19" w:rsidRDefault="00670FD4" w:rsidP="001925BA">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670FD4" w:rsidRPr="00314C19" w14:paraId="12CB66F3" w14:textId="77777777" w:rsidTr="001925BA">
        <w:trPr>
          <w:trHeight w:val="410"/>
          <w:jc w:val="center"/>
        </w:trPr>
        <w:tc>
          <w:tcPr>
            <w:tcW w:w="1376"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477F40CF" w14:textId="77777777" w:rsidR="00670FD4" w:rsidRPr="00314C19" w:rsidRDefault="00670FD4" w:rsidP="001925BA">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Istria</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E62E3F" w14:textId="77777777" w:rsidR="00670FD4" w:rsidRPr="00314C19" w:rsidRDefault="00670FD4" w:rsidP="001925BA">
            <w:pPr>
              <w:spacing w:after="0" w:line="240" w:lineRule="auto"/>
              <w:ind w:left="100" w:hanging="21"/>
              <w:rPr>
                <w:rFonts w:eastAsia="Times New Roman" w:cs="Times New Roman"/>
                <w:sz w:val="20"/>
                <w:szCs w:val="20"/>
              </w:rPr>
            </w:pPr>
            <w:r w:rsidRPr="00314C19">
              <w:rPr>
                <w:rFonts w:eastAsia="Times New Roman" w:cs="Times New Roman"/>
                <w:i/>
                <w:color w:val="000000"/>
                <w:sz w:val="20"/>
                <w:szCs w:val="20"/>
              </w:rPr>
              <w:t>lipsă date</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891A0D" w14:textId="77777777" w:rsidR="00670FD4" w:rsidRPr="00314C19" w:rsidRDefault="00670FD4" w:rsidP="001925BA">
            <w:pPr>
              <w:spacing w:after="0" w:line="240" w:lineRule="auto"/>
              <w:ind w:left="100" w:firstLine="38"/>
              <w:rPr>
                <w:rFonts w:eastAsia="Times New Roman" w:cs="Times New Roman"/>
                <w:sz w:val="20"/>
                <w:szCs w:val="20"/>
              </w:rPr>
            </w:pPr>
            <w:r w:rsidRPr="00314C19">
              <w:rPr>
                <w:rFonts w:eastAsia="Times New Roman" w:cs="Times New Roman"/>
                <w:i/>
                <w:color w:val="000000"/>
                <w:sz w:val="20"/>
                <w:szCs w:val="20"/>
              </w:rPr>
              <w:t>lipsă date</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B9459B" w14:textId="77777777" w:rsidR="00670FD4" w:rsidRPr="00314C19" w:rsidRDefault="00670FD4" w:rsidP="001925BA">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B01FD4" w14:textId="77777777" w:rsidR="00670FD4" w:rsidRPr="00314C19" w:rsidRDefault="00670FD4" w:rsidP="001925BA">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 </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C1DDA9" w14:textId="77777777" w:rsidR="00670FD4" w:rsidRPr="00314C19" w:rsidRDefault="00670FD4" w:rsidP="001925BA">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 </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6B616778" w14:textId="77777777" w:rsidR="00670FD4" w:rsidRPr="00314C19" w:rsidRDefault="00670FD4" w:rsidP="001925BA">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670FD4" w:rsidRPr="00314C19" w14:paraId="4B680351" w14:textId="77777777" w:rsidTr="001925BA">
        <w:trPr>
          <w:trHeight w:val="410"/>
          <w:jc w:val="center"/>
        </w:trPr>
        <w:tc>
          <w:tcPr>
            <w:tcW w:w="1376"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2039319A" w14:textId="77777777" w:rsidR="00670FD4" w:rsidRPr="00314C19" w:rsidRDefault="00670FD4" w:rsidP="001925BA">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Săcele</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3092B2" w14:textId="77777777" w:rsidR="00670FD4" w:rsidRPr="00314C19" w:rsidRDefault="00670FD4" w:rsidP="001925BA">
            <w:pPr>
              <w:spacing w:after="0" w:line="240" w:lineRule="auto"/>
              <w:ind w:left="100" w:hanging="21"/>
              <w:rPr>
                <w:rFonts w:eastAsia="Times New Roman" w:cs="Times New Roman"/>
                <w:sz w:val="20"/>
                <w:szCs w:val="20"/>
              </w:rPr>
            </w:pPr>
            <w:r w:rsidRPr="00314C19">
              <w:rPr>
                <w:rFonts w:eastAsia="Times New Roman" w:cs="Times New Roman"/>
                <w:i/>
                <w:color w:val="000000"/>
                <w:sz w:val="20"/>
                <w:szCs w:val="20"/>
              </w:rPr>
              <w:t>lipsă date</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78A7E1" w14:textId="77777777" w:rsidR="00670FD4" w:rsidRPr="00314C19" w:rsidRDefault="00670FD4" w:rsidP="001925BA">
            <w:pPr>
              <w:spacing w:after="0" w:line="240" w:lineRule="auto"/>
              <w:ind w:left="100" w:firstLine="38"/>
              <w:rPr>
                <w:rFonts w:eastAsia="Times New Roman" w:cs="Times New Roman"/>
                <w:sz w:val="20"/>
                <w:szCs w:val="20"/>
              </w:rPr>
            </w:pPr>
            <w:r w:rsidRPr="00314C19">
              <w:rPr>
                <w:rFonts w:eastAsia="Times New Roman" w:cs="Times New Roman"/>
                <w:i/>
                <w:color w:val="000000"/>
                <w:sz w:val="20"/>
                <w:szCs w:val="20"/>
              </w:rPr>
              <w:t>lipsă date</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CD4E30" w14:textId="77777777" w:rsidR="00670FD4" w:rsidRPr="00314C19" w:rsidRDefault="00670FD4" w:rsidP="001925BA">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3D4D0B" w14:textId="77777777" w:rsidR="00670FD4" w:rsidRPr="00314C19" w:rsidRDefault="00670FD4" w:rsidP="001925BA">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95,72</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C19561" w14:textId="77777777" w:rsidR="00670FD4" w:rsidRPr="00314C19" w:rsidRDefault="00670FD4" w:rsidP="001925BA">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251,25</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4C8CAA24" w14:textId="77777777" w:rsidR="00670FD4" w:rsidRPr="00314C19" w:rsidRDefault="00670FD4" w:rsidP="001925BA">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670FD4" w:rsidRPr="00314C19" w14:paraId="2436068C" w14:textId="77777777" w:rsidTr="001925BA">
        <w:trPr>
          <w:trHeight w:val="410"/>
          <w:jc w:val="center"/>
        </w:trPr>
        <w:tc>
          <w:tcPr>
            <w:tcW w:w="1376"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705404E7" w14:textId="77777777" w:rsidR="00670FD4" w:rsidRPr="00314C19" w:rsidRDefault="00670FD4" w:rsidP="001925BA">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Corbu</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4D00E3" w14:textId="77777777" w:rsidR="00670FD4" w:rsidRPr="00314C19" w:rsidRDefault="00670FD4" w:rsidP="001925BA">
            <w:pPr>
              <w:spacing w:after="0" w:line="240" w:lineRule="auto"/>
              <w:ind w:left="100" w:hanging="21"/>
              <w:rPr>
                <w:rFonts w:eastAsia="Times New Roman" w:cs="Times New Roman"/>
                <w:sz w:val="20"/>
                <w:szCs w:val="20"/>
              </w:rPr>
            </w:pPr>
            <w:r w:rsidRPr="00314C19">
              <w:rPr>
                <w:rFonts w:eastAsia="Times New Roman" w:cs="Times New Roman"/>
                <w:i/>
                <w:color w:val="000000"/>
                <w:sz w:val="20"/>
                <w:szCs w:val="20"/>
              </w:rPr>
              <w:t>lipsă date</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27DEC1" w14:textId="77777777" w:rsidR="00670FD4" w:rsidRPr="00314C19" w:rsidRDefault="00670FD4" w:rsidP="001925BA">
            <w:pPr>
              <w:spacing w:after="0" w:line="240" w:lineRule="auto"/>
              <w:ind w:left="100" w:firstLine="38"/>
              <w:rPr>
                <w:rFonts w:eastAsia="Times New Roman" w:cs="Times New Roman"/>
                <w:sz w:val="20"/>
                <w:szCs w:val="20"/>
              </w:rPr>
            </w:pPr>
            <w:r w:rsidRPr="00314C19">
              <w:rPr>
                <w:rFonts w:eastAsia="Times New Roman" w:cs="Times New Roman"/>
                <w:i/>
                <w:color w:val="000000"/>
                <w:sz w:val="20"/>
                <w:szCs w:val="20"/>
              </w:rPr>
              <w:t>lipsă date</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99673B" w14:textId="77777777" w:rsidR="00670FD4" w:rsidRPr="00314C19" w:rsidRDefault="00670FD4" w:rsidP="001925BA">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1A2976" w14:textId="77777777" w:rsidR="00670FD4" w:rsidRPr="00314C19" w:rsidRDefault="00670FD4" w:rsidP="001925BA">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 </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B5646B" w14:textId="77777777" w:rsidR="00670FD4" w:rsidRPr="00314C19" w:rsidRDefault="00670FD4" w:rsidP="001925BA">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 </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22DA1A77" w14:textId="77777777" w:rsidR="00670FD4" w:rsidRPr="00314C19" w:rsidRDefault="00670FD4" w:rsidP="001925BA">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670FD4" w:rsidRPr="00314C19" w14:paraId="5CC8FC50" w14:textId="77777777" w:rsidTr="001925BA">
        <w:trPr>
          <w:trHeight w:val="185"/>
          <w:jc w:val="center"/>
        </w:trPr>
        <w:tc>
          <w:tcPr>
            <w:tcW w:w="1376"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47A5EEFE" w14:textId="77777777" w:rsidR="00670FD4" w:rsidRPr="00314C19" w:rsidRDefault="00670FD4" w:rsidP="001925BA">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Năvodari</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CE60B6" w14:textId="77777777" w:rsidR="00670FD4" w:rsidRPr="00314C19" w:rsidRDefault="00670FD4" w:rsidP="001925BA">
            <w:pPr>
              <w:spacing w:after="0" w:line="240" w:lineRule="auto"/>
              <w:ind w:left="100" w:hanging="21"/>
              <w:rPr>
                <w:rFonts w:eastAsia="Times New Roman" w:cs="Times New Roman"/>
                <w:sz w:val="20"/>
                <w:szCs w:val="20"/>
              </w:rPr>
            </w:pPr>
            <w:r w:rsidRPr="00314C19">
              <w:rPr>
                <w:rFonts w:eastAsia="Times New Roman" w:cs="Times New Roman"/>
                <w:color w:val="000000"/>
                <w:sz w:val="20"/>
                <w:szCs w:val="20"/>
              </w:rPr>
              <w:t>253,91</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61092C" w14:textId="77777777" w:rsidR="00670FD4" w:rsidRPr="00314C19" w:rsidRDefault="00670FD4" w:rsidP="001925BA">
            <w:pPr>
              <w:spacing w:after="0" w:line="240" w:lineRule="auto"/>
              <w:ind w:left="100" w:firstLine="38"/>
              <w:rPr>
                <w:rFonts w:eastAsia="Times New Roman" w:cs="Times New Roman"/>
                <w:sz w:val="20"/>
                <w:szCs w:val="20"/>
              </w:rPr>
            </w:pPr>
            <w:r w:rsidRPr="00314C19">
              <w:rPr>
                <w:rFonts w:eastAsia="Times New Roman" w:cs="Times New Roman"/>
                <w:color w:val="000000"/>
                <w:sz w:val="20"/>
                <w:szCs w:val="20"/>
              </w:rPr>
              <w:t>475,96</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A9BBC5" w14:textId="77777777" w:rsidR="00670FD4" w:rsidRPr="00314C19" w:rsidRDefault="00670FD4" w:rsidP="001925BA">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9545CB" w14:textId="77777777" w:rsidR="00670FD4" w:rsidRPr="00314C19" w:rsidRDefault="00670FD4" w:rsidP="001925BA">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447,25</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A32C54" w14:textId="77777777" w:rsidR="00670FD4" w:rsidRPr="00314C19" w:rsidRDefault="00670FD4" w:rsidP="001925BA">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400,09</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25E8531B" w14:textId="77777777" w:rsidR="00670FD4" w:rsidRPr="00314C19" w:rsidRDefault="00670FD4" w:rsidP="001925BA">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670FD4" w:rsidRPr="00314C19" w14:paraId="2BC22466" w14:textId="77777777" w:rsidTr="001925BA">
        <w:trPr>
          <w:trHeight w:val="364"/>
          <w:jc w:val="center"/>
        </w:trPr>
        <w:tc>
          <w:tcPr>
            <w:tcW w:w="1376"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25846A2C" w14:textId="77777777" w:rsidR="00670FD4" w:rsidRPr="00314C19" w:rsidRDefault="00670FD4" w:rsidP="001925BA">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Constanța</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E9DD0B" w14:textId="77777777" w:rsidR="00670FD4" w:rsidRPr="00314C19" w:rsidRDefault="00670FD4" w:rsidP="001925BA">
            <w:pPr>
              <w:spacing w:after="0" w:line="240" w:lineRule="auto"/>
              <w:ind w:left="100" w:hanging="21"/>
              <w:rPr>
                <w:rFonts w:eastAsia="Times New Roman" w:cs="Times New Roman"/>
                <w:sz w:val="20"/>
                <w:szCs w:val="20"/>
              </w:rPr>
            </w:pPr>
            <w:r w:rsidRPr="00314C19">
              <w:rPr>
                <w:rFonts w:eastAsia="Times New Roman" w:cs="Times New Roman"/>
                <w:color w:val="000000"/>
                <w:sz w:val="20"/>
                <w:szCs w:val="20"/>
              </w:rPr>
              <w:t>1632,76</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D1DEA4" w14:textId="77777777" w:rsidR="00670FD4" w:rsidRPr="00314C19" w:rsidRDefault="00670FD4" w:rsidP="001925BA">
            <w:pPr>
              <w:spacing w:after="0" w:line="240" w:lineRule="auto"/>
              <w:ind w:left="100" w:firstLine="38"/>
              <w:rPr>
                <w:rFonts w:eastAsia="Times New Roman" w:cs="Times New Roman"/>
                <w:sz w:val="20"/>
                <w:szCs w:val="20"/>
              </w:rPr>
            </w:pPr>
            <w:r w:rsidRPr="00314C19">
              <w:rPr>
                <w:rFonts w:eastAsia="Times New Roman" w:cs="Times New Roman"/>
                <w:i/>
                <w:color w:val="000000"/>
                <w:sz w:val="20"/>
                <w:szCs w:val="20"/>
              </w:rPr>
              <w:t>lipsă date</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5705C8" w14:textId="77777777" w:rsidR="00670FD4" w:rsidRPr="00314C19" w:rsidRDefault="00670FD4" w:rsidP="001925BA">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859916" w14:textId="77777777" w:rsidR="00670FD4" w:rsidRPr="00314C19" w:rsidRDefault="00670FD4" w:rsidP="001925BA">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2012,01</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4E82CA" w14:textId="77777777" w:rsidR="00670FD4" w:rsidRPr="00314C19" w:rsidRDefault="00670FD4" w:rsidP="001925BA">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 </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7EFC2FC9" w14:textId="77777777" w:rsidR="00670FD4" w:rsidRPr="00314C19" w:rsidRDefault="00670FD4" w:rsidP="001925BA">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670FD4" w:rsidRPr="00314C19" w14:paraId="529FB82E" w14:textId="77777777" w:rsidTr="001925BA">
        <w:trPr>
          <w:trHeight w:val="410"/>
          <w:jc w:val="center"/>
        </w:trPr>
        <w:tc>
          <w:tcPr>
            <w:tcW w:w="1376"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51FB2E5A" w14:textId="77777777" w:rsidR="00670FD4" w:rsidRPr="00314C19" w:rsidRDefault="00670FD4" w:rsidP="001925BA">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Agigea</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2E0F9C" w14:textId="77777777" w:rsidR="00670FD4" w:rsidRPr="00314C19" w:rsidRDefault="00670FD4" w:rsidP="001925BA">
            <w:pPr>
              <w:spacing w:after="0" w:line="240" w:lineRule="auto"/>
              <w:ind w:left="100" w:hanging="21"/>
              <w:rPr>
                <w:rFonts w:eastAsia="Times New Roman" w:cs="Times New Roman"/>
                <w:sz w:val="20"/>
                <w:szCs w:val="20"/>
              </w:rPr>
            </w:pPr>
            <w:r w:rsidRPr="00314C19">
              <w:rPr>
                <w:rFonts w:eastAsia="Times New Roman" w:cs="Times New Roman"/>
                <w:i/>
                <w:color w:val="000000"/>
                <w:sz w:val="20"/>
                <w:szCs w:val="20"/>
              </w:rPr>
              <w:t>lipsă date</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199023" w14:textId="77777777" w:rsidR="00670FD4" w:rsidRPr="00314C19" w:rsidRDefault="00670FD4" w:rsidP="001925BA">
            <w:pPr>
              <w:spacing w:after="0" w:line="240" w:lineRule="auto"/>
              <w:ind w:left="100" w:firstLine="38"/>
              <w:rPr>
                <w:rFonts w:eastAsia="Times New Roman" w:cs="Times New Roman"/>
                <w:sz w:val="20"/>
                <w:szCs w:val="20"/>
              </w:rPr>
            </w:pPr>
            <w:r w:rsidRPr="00314C19">
              <w:rPr>
                <w:rFonts w:eastAsia="Times New Roman" w:cs="Times New Roman"/>
                <w:i/>
                <w:color w:val="000000"/>
                <w:sz w:val="20"/>
                <w:szCs w:val="20"/>
              </w:rPr>
              <w:t>lipsă date</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BB7EF5" w14:textId="77777777" w:rsidR="00670FD4" w:rsidRPr="00314C19" w:rsidRDefault="00670FD4" w:rsidP="001925BA">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025ABC" w14:textId="77777777" w:rsidR="00670FD4" w:rsidRPr="00314C19" w:rsidRDefault="00670FD4" w:rsidP="001925BA">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 </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5FE76A" w14:textId="77777777" w:rsidR="00670FD4" w:rsidRPr="00314C19" w:rsidRDefault="00670FD4" w:rsidP="001925BA">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 </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583DB6EE" w14:textId="77777777" w:rsidR="00670FD4" w:rsidRPr="00314C19" w:rsidRDefault="00670FD4" w:rsidP="001925BA">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670FD4" w:rsidRPr="00314C19" w14:paraId="1F1BEBD2" w14:textId="77777777" w:rsidTr="001925BA">
        <w:trPr>
          <w:trHeight w:val="410"/>
          <w:jc w:val="center"/>
        </w:trPr>
        <w:tc>
          <w:tcPr>
            <w:tcW w:w="1376"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54698FE1" w14:textId="77777777" w:rsidR="00670FD4" w:rsidRPr="00314C19" w:rsidRDefault="00670FD4" w:rsidP="001925BA">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Techirghiol</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C19C67" w14:textId="77777777" w:rsidR="00670FD4" w:rsidRPr="00314C19" w:rsidRDefault="00670FD4" w:rsidP="001925BA">
            <w:pPr>
              <w:spacing w:after="0" w:line="240" w:lineRule="auto"/>
              <w:ind w:left="100" w:hanging="21"/>
              <w:rPr>
                <w:rFonts w:eastAsia="Times New Roman" w:cs="Times New Roman"/>
                <w:sz w:val="20"/>
                <w:szCs w:val="20"/>
              </w:rPr>
            </w:pPr>
            <w:r w:rsidRPr="00314C19">
              <w:rPr>
                <w:rFonts w:eastAsia="Times New Roman" w:cs="Times New Roman"/>
                <w:i/>
                <w:color w:val="000000"/>
                <w:sz w:val="20"/>
                <w:szCs w:val="20"/>
              </w:rPr>
              <w:t>lipsă date</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9A0A50" w14:textId="77777777" w:rsidR="00670FD4" w:rsidRPr="00314C19" w:rsidRDefault="00670FD4" w:rsidP="001925BA">
            <w:pPr>
              <w:spacing w:after="0" w:line="240" w:lineRule="auto"/>
              <w:ind w:left="100" w:firstLine="38"/>
              <w:rPr>
                <w:rFonts w:eastAsia="Times New Roman" w:cs="Times New Roman"/>
                <w:sz w:val="20"/>
                <w:szCs w:val="20"/>
              </w:rPr>
            </w:pPr>
            <w:r w:rsidRPr="00314C19">
              <w:rPr>
                <w:rFonts w:eastAsia="Times New Roman" w:cs="Times New Roman"/>
                <w:i/>
                <w:color w:val="000000"/>
                <w:sz w:val="20"/>
                <w:szCs w:val="20"/>
              </w:rPr>
              <w:t>lipsă date</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8A7250" w14:textId="77777777" w:rsidR="00670FD4" w:rsidRPr="00314C19" w:rsidRDefault="00670FD4" w:rsidP="001925BA">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5012F9" w14:textId="77777777" w:rsidR="00670FD4" w:rsidRPr="00314C19" w:rsidRDefault="00670FD4" w:rsidP="001925BA">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388,13</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F49EDF" w14:textId="77777777" w:rsidR="00670FD4" w:rsidRPr="00314C19" w:rsidRDefault="00670FD4" w:rsidP="001925BA">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492,69</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7D7F7E44" w14:textId="77777777" w:rsidR="00670FD4" w:rsidRPr="00314C19" w:rsidRDefault="00670FD4" w:rsidP="001925BA">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670FD4" w:rsidRPr="00314C19" w14:paraId="32254E14" w14:textId="77777777" w:rsidTr="001925BA">
        <w:trPr>
          <w:trHeight w:val="188"/>
          <w:jc w:val="center"/>
        </w:trPr>
        <w:tc>
          <w:tcPr>
            <w:tcW w:w="1376"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0D329E1A" w14:textId="77777777" w:rsidR="00670FD4" w:rsidRPr="00314C19" w:rsidRDefault="00670FD4" w:rsidP="001925BA">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Eforie</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E7F182" w14:textId="77777777" w:rsidR="00670FD4" w:rsidRPr="00314C19" w:rsidRDefault="00670FD4" w:rsidP="001925BA">
            <w:pPr>
              <w:spacing w:after="0" w:line="240" w:lineRule="auto"/>
              <w:ind w:left="100" w:hanging="21"/>
              <w:rPr>
                <w:rFonts w:eastAsia="Times New Roman" w:cs="Times New Roman"/>
                <w:sz w:val="20"/>
                <w:szCs w:val="20"/>
              </w:rPr>
            </w:pPr>
            <w:r w:rsidRPr="00314C19">
              <w:rPr>
                <w:rFonts w:eastAsia="Times New Roman" w:cs="Times New Roman"/>
                <w:color w:val="000000"/>
                <w:sz w:val="20"/>
                <w:szCs w:val="20"/>
              </w:rPr>
              <w:t>139</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28EC8F" w14:textId="77777777" w:rsidR="00670FD4" w:rsidRPr="00314C19" w:rsidRDefault="00670FD4" w:rsidP="001925BA">
            <w:pPr>
              <w:spacing w:after="0" w:line="240" w:lineRule="auto"/>
              <w:ind w:left="100" w:firstLine="38"/>
              <w:rPr>
                <w:rFonts w:eastAsia="Times New Roman" w:cs="Times New Roman"/>
                <w:sz w:val="20"/>
                <w:szCs w:val="20"/>
              </w:rPr>
            </w:pPr>
            <w:r w:rsidRPr="00314C19">
              <w:rPr>
                <w:rFonts w:eastAsia="Times New Roman" w:cs="Times New Roman"/>
                <w:color w:val="000000"/>
                <w:sz w:val="20"/>
                <w:szCs w:val="20"/>
              </w:rPr>
              <w:t>225,2</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07E5BD" w14:textId="77777777" w:rsidR="00670FD4" w:rsidRPr="00314C19" w:rsidRDefault="00670FD4" w:rsidP="001925BA">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0581EC" w14:textId="77777777" w:rsidR="00670FD4" w:rsidRPr="00314C19" w:rsidRDefault="00670FD4" w:rsidP="001925BA">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 </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55E153" w14:textId="77777777" w:rsidR="00670FD4" w:rsidRPr="00314C19" w:rsidRDefault="00670FD4" w:rsidP="001925BA">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 </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5CB1F588" w14:textId="77777777" w:rsidR="00670FD4" w:rsidRPr="00314C19" w:rsidRDefault="00670FD4" w:rsidP="001925BA">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670FD4" w:rsidRPr="00314C19" w14:paraId="1B8F73EE" w14:textId="77777777" w:rsidTr="001925BA">
        <w:trPr>
          <w:trHeight w:val="166"/>
          <w:jc w:val="center"/>
        </w:trPr>
        <w:tc>
          <w:tcPr>
            <w:tcW w:w="1376"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5C312FC7" w14:textId="77777777" w:rsidR="00670FD4" w:rsidRPr="00314C19" w:rsidRDefault="00670FD4" w:rsidP="001925BA">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Tuzla</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02CF51" w14:textId="77777777" w:rsidR="00670FD4" w:rsidRPr="00314C19" w:rsidRDefault="00670FD4" w:rsidP="001925BA">
            <w:pPr>
              <w:spacing w:after="0" w:line="240" w:lineRule="auto"/>
              <w:ind w:left="100" w:hanging="21"/>
              <w:rPr>
                <w:rFonts w:eastAsia="Times New Roman" w:cs="Times New Roman"/>
                <w:sz w:val="20"/>
                <w:szCs w:val="20"/>
              </w:rPr>
            </w:pPr>
            <w:r w:rsidRPr="00314C19">
              <w:rPr>
                <w:rFonts w:eastAsia="Times New Roman" w:cs="Times New Roman"/>
                <w:i/>
                <w:color w:val="000000"/>
                <w:sz w:val="20"/>
                <w:szCs w:val="20"/>
              </w:rPr>
              <w:t>lipsă date</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D83118" w14:textId="77777777" w:rsidR="00670FD4" w:rsidRPr="00314C19" w:rsidRDefault="00670FD4" w:rsidP="001925BA">
            <w:pPr>
              <w:spacing w:after="0" w:line="240" w:lineRule="auto"/>
              <w:ind w:left="100" w:firstLine="38"/>
              <w:rPr>
                <w:rFonts w:eastAsia="Times New Roman" w:cs="Times New Roman"/>
                <w:sz w:val="20"/>
                <w:szCs w:val="20"/>
              </w:rPr>
            </w:pPr>
            <w:r w:rsidRPr="00314C19">
              <w:rPr>
                <w:rFonts w:eastAsia="Times New Roman" w:cs="Times New Roman"/>
                <w:color w:val="000000"/>
                <w:sz w:val="20"/>
                <w:szCs w:val="20"/>
              </w:rPr>
              <w:t>392,78</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E010F4" w14:textId="77777777" w:rsidR="00670FD4" w:rsidRPr="00314C19" w:rsidRDefault="00670FD4" w:rsidP="001925BA">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F7330F" w14:textId="77777777" w:rsidR="00670FD4" w:rsidRPr="00314C19" w:rsidRDefault="00670FD4" w:rsidP="001925BA">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 </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6EBF29" w14:textId="77777777" w:rsidR="00670FD4" w:rsidRPr="00314C19" w:rsidRDefault="00670FD4" w:rsidP="001925BA">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 </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73A85345" w14:textId="77777777" w:rsidR="00670FD4" w:rsidRPr="00314C19" w:rsidRDefault="00670FD4" w:rsidP="001925BA">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670FD4" w:rsidRPr="00314C19" w14:paraId="4664D31F" w14:textId="77777777" w:rsidTr="001925BA">
        <w:trPr>
          <w:trHeight w:val="143"/>
          <w:jc w:val="center"/>
        </w:trPr>
        <w:tc>
          <w:tcPr>
            <w:tcW w:w="1376"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695F40A8" w14:textId="77777777" w:rsidR="00670FD4" w:rsidRPr="00314C19" w:rsidRDefault="00670FD4" w:rsidP="001925BA">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Costinești</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406D03" w14:textId="77777777" w:rsidR="00670FD4" w:rsidRPr="00314C19" w:rsidRDefault="00670FD4" w:rsidP="001925BA">
            <w:pPr>
              <w:spacing w:after="0" w:line="240" w:lineRule="auto"/>
              <w:ind w:left="100" w:hanging="21"/>
              <w:rPr>
                <w:rFonts w:eastAsia="Times New Roman" w:cs="Times New Roman"/>
                <w:sz w:val="20"/>
                <w:szCs w:val="20"/>
              </w:rPr>
            </w:pPr>
            <w:r w:rsidRPr="00314C19">
              <w:rPr>
                <w:rFonts w:eastAsia="Times New Roman" w:cs="Times New Roman"/>
                <w:i/>
                <w:color w:val="000000"/>
                <w:sz w:val="20"/>
                <w:szCs w:val="20"/>
              </w:rPr>
              <w:t>lipsă date</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A2C8DB" w14:textId="77777777" w:rsidR="00670FD4" w:rsidRPr="00314C19" w:rsidRDefault="00670FD4" w:rsidP="001925BA">
            <w:pPr>
              <w:spacing w:after="0" w:line="240" w:lineRule="auto"/>
              <w:ind w:left="100" w:firstLine="38"/>
              <w:rPr>
                <w:rFonts w:eastAsia="Times New Roman" w:cs="Times New Roman"/>
                <w:sz w:val="20"/>
                <w:szCs w:val="20"/>
              </w:rPr>
            </w:pPr>
            <w:r w:rsidRPr="00314C19">
              <w:rPr>
                <w:rFonts w:eastAsia="Times New Roman" w:cs="Times New Roman"/>
                <w:color w:val="000000"/>
                <w:sz w:val="20"/>
                <w:szCs w:val="20"/>
              </w:rPr>
              <w:t>116,09</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005F50" w14:textId="77777777" w:rsidR="00670FD4" w:rsidRPr="00314C19" w:rsidRDefault="00670FD4" w:rsidP="001925BA">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554D51" w14:textId="77777777" w:rsidR="00670FD4" w:rsidRPr="00314C19" w:rsidRDefault="00670FD4" w:rsidP="001925BA">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 </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83DA50" w14:textId="77777777" w:rsidR="00670FD4" w:rsidRPr="00314C19" w:rsidRDefault="00670FD4" w:rsidP="001925BA">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 </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755B309C" w14:textId="77777777" w:rsidR="00670FD4" w:rsidRPr="00314C19" w:rsidRDefault="00670FD4" w:rsidP="001925BA">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670FD4" w:rsidRPr="00314C19" w14:paraId="1C63A654" w14:textId="77777777" w:rsidTr="001925BA">
        <w:trPr>
          <w:trHeight w:val="410"/>
          <w:jc w:val="center"/>
        </w:trPr>
        <w:tc>
          <w:tcPr>
            <w:tcW w:w="1376"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25042F3E" w14:textId="77777777" w:rsidR="00670FD4" w:rsidRPr="00314C19" w:rsidRDefault="00670FD4" w:rsidP="001925BA">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23 August</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953557" w14:textId="77777777" w:rsidR="00670FD4" w:rsidRPr="00314C19" w:rsidRDefault="00670FD4" w:rsidP="001925BA">
            <w:pPr>
              <w:spacing w:after="0" w:line="240" w:lineRule="auto"/>
              <w:ind w:left="100" w:hanging="21"/>
              <w:rPr>
                <w:rFonts w:eastAsia="Times New Roman" w:cs="Times New Roman"/>
                <w:sz w:val="20"/>
                <w:szCs w:val="20"/>
              </w:rPr>
            </w:pPr>
            <w:r w:rsidRPr="00314C19">
              <w:rPr>
                <w:rFonts w:eastAsia="Times New Roman" w:cs="Times New Roman"/>
                <w:i/>
                <w:color w:val="000000"/>
                <w:sz w:val="20"/>
                <w:szCs w:val="20"/>
              </w:rPr>
              <w:t>lipsă date</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2C1FF2" w14:textId="77777777" w:rsidR="00670FD4" w:rsidRPr="00314C19" w:rsidRDefault="00670FD4" w:rsidP="001925BA">
            <w:pPr>
              <w:spacing w:after="0" w:line="240" w:lineRule="auto"/>
              <w:ind w:left="100" w:firstLine="38"/>
              <w:rPr>
                <w:rFonts w:eastAsia="Times New Roman" w:cs="Times New Roman"/>
                <w:sz w:val="20"/>
                <w:szCs w:val="20"/>
              </w:rPr>
            </w:pPr>
            <w:r w:rsidRPr="00314C19">
              <w:rPr>
                <w:rFonts w:eastAsia="Times New Roman" w:cs="Times New Roman"/>
                <w:i/>
                <w:color w:val="000000"/>
                <w:sz w:val="20"/>
                <w:szCs w:val="20"/>
              </w:rPr>
              <w:t>lipsă date</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D282D8" w14:textId="77777777" w:rsidR="00670FD4" w:rsidRPr="00314C19" w:rsidRDefault="00670FD4" w:rsidP="001925BA">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132,19</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F28317" w14:textId="77777777" w:rsidR="00670FD4" w:rsidRPr="00314C19" w:rsidRDefault="00670FD4" w:rsidP="001925BA">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 </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9BF57A" w14:textId="77777777" w:rsidR="00670FD4" w:rsidRPr="00314C19" w:rsidRDefault="00670FD4" w:rsidP="001925BA">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 </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3025275B" w14:textId="77777777" w:rsidR="00670FD4" w:rsidRPr="00314C19" w:rsidRDefault="00670FD4" w:rsidP="001925BA">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670FD4" w:rsidRPr="00314C19" w14:paraId="17B89252" w14:textId="77777777" w:rsidTr="001925BA">
        <w:trPr>
          <w:trHeight w:val="277"/>
          <w:jc w:val="center"/>
        </w:trPr>
        <w:tc>
          <w:tcPr>
            <w:tcW w:w="1376"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35F096F1" w14:textId="77777777" w:rsidR="00670FD4" w:rsidRPr="00314C19" w:rsidRDefault="00670FD4" w:rsidP="001925BA">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Mangalia</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DB7EC1" w14:textId="77777777" w:rsidR="00670FD4" w:rsidRPr="00314C19" w:rsidRDefault="00670FD4" w:rsidP="001925BA">
            <w:pPr>
              <w:spacing w:after="0" w:line="240" w:lineRule="auto"/>
              <w:ind w:left="100" w:hanging="21"/>
              <w:rPr>
                <w:rFonts w:eastAsia="Times New Roman" w:cs="Times New Roman"/>
                <w:sz w:val="20"/>
                <w:szCs w:val="20"/>
              </w:rPr>
            </w:pPr>
            <w:r w:rsidRPr="00314C19">
              <w:rPr>
                <w:rFonts w:eastAsia="Times New Roman" w:cs="Times New Roman"/>
                <w:color w:val="000000"/>
                <w:sz w:val="20"/>
                <w:szCs w:val="20"/>
              </w:rPr>
              <w:t>334,99</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9A9ED6" w14:textId="77777777" w:rsidR="00670FD4" w:rsidRPr="00314C19" w:rsidRDefault="00670FD4" w:rsidP="001925BA">
            <w:pPr>
              <w:spacing w:after="0" w:line="240" w:lineRule="auto"/>
              <w:ind w:left="100" w:firstLine="38"/>
              <w:rPr>
                <w:rFonts w:eastAsia="Times New Roman" w:cs="Times New Roman"/>
                <w:sz w:val="20"/>
                <w:szCs w:val="20"/>
              </w:rPr>
            </w:pPr>
            <w:r w:rsidRPr="00314C19">
              <w:rPr>
                <w:rFonts w:eastAsia="Times New Roman" w:cs="Times New Roman"/>
                <w:color w:val="000000"/>
                <w:sz w:val="20"/>
                <w:szCs w:val="20"/>
              </w:rPr>
              <w:t>405,37</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CC40B9" w14:textId="77777777" w:rsidR="00670FD4" w:rsidRPr="00314C19" w:rsidRDefault="00670FD4" w:rsidP="001925BA">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DBCFE6" w14:textId="77777777" w:rsidR="00670FD4" w:rsidRPr="00314C19" w:rsidRDefault="00670FD4" w:rsidP="001925BA">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 </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C38A76" w14:textId="77777777" w:rsidR="00670FD4" w:rsidRPr="00314C19" w:rsidRDefault="00670FD4" w:rsidP="001925BA">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 </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0FA3BDE4" w14:textId="77777777" w:rsidR="00670FD4" w:rsidRPr="00314C19" w:rsidRDefault="00670FD4" w:rsidP="001925BA">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670FD4" w:rsidRPr="00314C19" w14:paraId="67E54C0F" w14:textId="77777777" w:rsidTr="001925BA">
        <w:trPr>
          <w:trHeight w:val="1550"/>
          <w:jc w:val="center"/>
        </w:trPr>
        <w:tc>
          <w:tcPr>
            <w:tcW w:w="1376" w:type="dxa"/>
            <w:tcBorders>
              <w:top w:val="single" w:sz="8" w:space="0" w:color="000000"/>
              <w:left w:val="single" w:sz="4" w:space="0" w:color="000000"/>
              <w:bottom w:val="single" w:sz="4" w:space="0" w:color="000000"/>
              <w:right w:val="single" w:sz="8" w:space="0" w:color="000000"/>
            </w:tcBorders>
            <w:shd w:val="clear" w:color="auto" w:fill="FFFFFF"/>
            <w:tcMar>
              <w:top w:w="100" w:type="dxa"/>
              <w:left w:w="100" w:type="dxa"/>
              <w:bottom w:w="100" w:type="dxa"/>
              <w:right w:w="100" w:type="dxa"/>
            </w:tcMar>
          </w:tcPr>
          <w:p w14:paraId="1ED21A00" w14:textId="77777777" w:rsidR="00670FD4" w:rsidRPr="00314C19" w:rsidRDefault="00670FD4" w:rsidP="001925BA">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Limanu</w:t>
            </w:r>
          </w:p>
        </w:tc>
        <w:tc>
          <w:tcPr>
            <w:tcW w:w="1175"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7D3C2D0A" w14:textId="77777777" w:rsidR="00670FD4" w:rsidRPr="00314C19" w:rsidRDefault="00670FD4" w:rsidP="001925BA">
            <w:pPr>
              <w:spacing w:after="0" w:line="240" w:lineRule="auto"/>
              <w:ind w:left="100" w:hanging="21"/>
              <w:rPr>
                <w:rFonts w:eastAsia="Times New Roman" w:cs="Times New Roman"/>
                <w:sz w:val="20"/>
                <w:szCs w:val="20"/>
              </w:rPr>
            </w:pPr>
            <w:r w:rsidRPr="00314C19">
              <w:rPr>
                <w:rFonts w:eastAsia="Times New Roman" w:cs="Times New Roman"/>
                <w:color w:val="000000"/>
                <w:sz w:val="20"/>
                <w:szCs w:val="20"/>
              </w:rPr>
              <w:t>222,19</w:t>
            </w:r>
          </w:p>
        </w:tc>
        <w:tc>
          <w:tcPr>
            <w:tcW w:w="959"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0898DDEF" w14:textId="77777777" w:rsidR="00670FD4" w:rsidRPr="00314C19" w:rsidRDefault="00670FD4" w:rsidP="001925BA">
            <w:pPr>
              <w:spacing w:after="0" w:line="240" w:lineRule="auto"/>
              <w:ind w:left="100" w:firstLine="38"/>
              <w:rPr>
                <w:rFonts w:eastAsia="Times New Roman" w:cs="Times New Roman"/>
                <w:sz w:val="20"/>
                <w:szCs w:val="20"/>
              </w:rPr>
            </w:pPr>
            <w:r w:rsidRPr="00314C19">
              <w:rPr>
                <w:rFonts w:eastAsia="Times New Roman" w:cs="Times New Roman"/>
                <w:color w:val="000000"/>
                <w:sz w:val="20"/>
                <w:szCs w:val="20"/>
              </w:rPr>
              <w:t>335,97</w:t>
            </w:r>
          </w:p>
        </w:tc>
        <w:tc>
          <w:tcPr>
            <w:tcW w:w="1398"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6B86D2B1" w14:textId="77777777" w:rsidR="00670FD4" w:rsidRPr="00314C19" w:rsidRDefault="00670FD4" w:rsidP="001925BA">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74,57</w:t>
            </w:r>
          </w:p>
        </w:tc>
        <w:tc>
          <w:tcPr>
            <w:tcW w:w="1328"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2E4DCB56" w14:textId="77777777" w:rsidR="00670FD4" w:rsidRPr="00314C19" w:rsidRDefault="00670FD4" w:rsidP="001925BA">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 </w:t>
            </w:r>
          </w:p>
        </w:tc>
        <w:tc>
          <w:tcPr>
            <w:tcW w:w="1324"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797E5F9B" w14:textId="77777777" w:rsidR="00670FD4" w:rsidRPr="00314C19" w:rsidRDefault="00670FD4" w:rsidP="001925BA">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 </w:t>
            </w:r>
          </w:p>
        </w:tc>
        <w:tc>
          <w:tcPr>
            <w:tcW w:w="1456" w:type="dxa"/>
            <w:tcBorders>
              <w:top w:val="single" w:sz="8" w:space="0" w:color="000000"/>
              <w:left w:val="single" w:sz="8" w:space="0" w:color="000000"/>
              <w:bottom w:val="single" w:sz="4" w:space="0" w:color="000000"/>
              <w:right w:val="single" w:sz="4" w:space="0" w:color="000000"/>
            </w:tcBorders>
            <w:tcMar>
              <w:top w:w="100" w:type="dxa"/>
              <w:left w:w="100" w:type="dxa"/>
              <w:bottom w:w="100" w:type="dxa"/>
              <w:right w:w="100" w:type="dxa"/>
            </w:tcMar>
          </w:tcPr>
          <w:p w14:paraId="0026B473" w14:textId="77777777" w:rsidR="00670FD4" w:rsidRPr="00314C19" w:rsidRDefault="00670FD4" w:rsidP="001925BA">
            <w:pPr>
              <w:spacing w:after="0" w:line="240" w:lineRule="auto"/>
              <w:ind w:hanging="100"/>
              <w:rPr>
                <w:rFonts w:eastAsia="Times New Roman" w:cs="Times New Roman"/>
                <w:sz w:val="20"/>
                <w:szCs w:val="20"/>
              </w:rPr>
            </w:pPr>
            <w:r w:rsidRPr="00314C19">
              <w:rPr>
                <w:rFonts w:eastAsia="Times New Roman" w:cs="Times New Roman"/>
                <w:color w:val="000000"/>
                <w:sz w:val="20"/>
                <w:szCs w:val="20"/>
              </w:rPr>
              <w:t>Din suprafața zonei de locuit aprobată prin PUG, suprafața de 37,12 Ha este modificată prin PUZ în zonă cu destinație turistică</w:t>
            </w:r>
          </w:p>
        </w:tc>
      </w:tr>
    </w:tbl>
    <w:p w14:paraId="62A3C2B3" w14:textId="77777777" w:rsidR="00670FD4" w:rsidRDefault="00670FD4" w:rsidP="00670FD4"/>
    <w:p w14:paraId="3F7140CB" w14:textId="77777777" w:rsidR="00670FD4" w:rsidRDefault="00670FD4" w:rsidP="00670FD4">
      <w:pPr>
        <w:ind w:firstLine="567"/>
        <w:rPr>
          <w:rFonts w:eastAsia="Times New Roman" w:cs="Times New Roman"/>
          <w:u w:val="single"/>
        </w:rPr>
      </w:pPr>
      <w:r>
        <w:rPr>
          <w:rFonts w:eastAsia="Times New Roman" w:cs="Times New Roman"/>
          <w:u w:val="single"/>
        </w:rPr>
        <w:t>Terenuri ocupate cu activități în sectorul turistic</w:t>
      </w:r>
    </w:p>
    <w:p w14:paraId="76CF7792" w14:textId="77777777" w:rsidR="00670FD4" w:rsidRDefault="00670FD4" w:rsidP="00670FD4">
      <w:pPr>
        <w:ind w:firstLine="567"/>
        <w:rPr>
          <w:rFonts w:eastAsia="Times New Roman" w:cs="Times New Roman"/>
        </w:rPr>
      </w:pPr>
      <w:r>
        <w:rPr>
          <w:rFonts w:eastAsia="Times New Roman" w:cs="Times New Roman"/>
        </w:rPr>
        <w:lastRenderedPageBreak/>
        <w:t>Numărul unităților de primire turistică înregistrează un trend descrescător, de la 150.251 unități în 1992 la 93.503 unități în 2022. În partea nordică, cu excepția orașului Sulina, numărul de unități de primire turistică crește în toate UAT-urile, cel mai semnificativ la Murighiol, de la 258 în 1992, la 2.351 în 2022. În total, numărul de unități de primire turistică în sectorul nordic crește de la 1.020 în 1992, la 4.031 în 2022.</w:t>
      </w:r>
    </w:p>
    <w:p w14:paraId="102B155A" w14:textId="77777777" w:rsidR="00670FD4" w:rsidRDefault="00670FD4" w:rsidP="00670FD4">
      <w:pPr>
        <w:ind w:firstLine="567"/>
        <w:rPr>
          <w:rFonts w:eastAsia="Times New Roman" w:cs="Times New Roman"/>
        </w:rPr>
      </w:pPr>
      <w:r>
        <w:rPr>
          <w:rFonts w:eastAsia="Times New Roman" w:cs="Times New Roman"/>
        </w:rPr>
        <w:t>Trendul general este determinat de scăderea numărului de unități de primire turistică în sectorul sudic, de la 149.231 în 1992, la 89.472 în 2022. În condițiile în care este vizibilă extinderea zonelor turistice la nord de stațiunea Mamaia și în special în zona Mamaia Sat – Tabăra Năvodari, scăderea din sectorul sudic pare inexplicabilă. Trebuie ținut însă cont că în zonele respective din Mamaia - Năvodari s-a investit foarte mult în apart-hoteluri și în vile/case de vacanță care, este posibil să nu fie toate înregistrate formal ca unități de primire turistică.</w:t>
      </w:r>
    </w:p>
    <w:p w14:paraId="5FDED42B" w14:textId="77777777" w:rsidR="00670FD4" w:rsidRDefault="00670FD4" w:rsidP="00670FD4">
      <w:pPr>
        <w:ind w:firstLine="567"/>
        <w:rPr>
          <w:rFonts w:eastAsia="Times New Roman" w:cs="Times New Roman"/>
        </w:rPr>
      </w:pPr>
      <w:r>
        <w:rPr>
          <w:rFonts w:eastAsia="Times New Roman" w:cs="Times New Roman"/>
        </w:rPr>
        <w:t>Analiza documentațiilor PUG disponibile indică o creștere a suprafețelor de teren destinat activităților turistice în toate UAT-urile (Tabel 2.4.8.8.6). În sectorul nordic, zonele cu activități turistice sunt incluse în suprafața zonelor de instituții și servicii de interes public, așadar nu sunt disponibile date care privesc strict suprafața acestora. Se constată însă o creștere a suprafeței alocată zonelor de instituții și servicii de interes public în C.A.Rosetti (86,81%) și Murighiol (65,44%). Suprafața a fost menținută la Sulina, Sf. Gheorghe și Jurilovca. Pentru Istria și Corbu nu sunt date disponibile.</w:t>
      </w:r>
    </w:p>
    <w:p w14:paraId="027E517D" w14:textId="77777777" w:rsidR="00670FD4" w:rsidRDefault="00670FD4" w:rsidP="00670FD4">
      <w:pPr>
        <w:ind w:firstLine="567"/>
        <w:rPr>
          <w:rFonts w:eastAsia="Times New Roman" w:cs="Times New Roman"/>
        </w:rPr>
      </w:pPr>
      <w:r>
        <w:rPr>
          <w:rFonts w:eastAsia="Times New Roman" w:cs="Times New Roman"/>
        </w:rPr>
        <w:t>În sectorul sudic, zonele cu activități turistice sunt menționate distinct în cadrul bilanțului teritorial cu excepția Techirghiol (documentație PUG în curs de avizare) și Mangalia (cea mai recentă documentație PUG actualizată în anul 2019). În toate UAT-urile cu date PUG disponibile suprafața alocată zonelor pentru activități turistice a crescut: Eforie (cu 52,58%), Năvodari (cu 37,08%) și Mangalia (cu 21,39%). Techirghiol și Năvodari au documentații de actualizare PUG în curs de avizare și conform datelor disponibile în Rapoartele de mediu aferente documentațiilor este prevăzută o creștere a suprafețelor de teren destinate activităților turistice cu 119 % (Techirghiol) și cu 198,61% (Năvodari). Mangalia a aprobat prin PUG 2019 o creștere cu 21,39%. Limanu, deși nu a prognozat prin PUG o creștere a suprafeței de teren pentru activități turistice, ulterior a modificat destinația unei zone cu suprafață de 37,12 ha din zonă destinată activităților de locuire în zonă destinată activităților turistice, adică o creștere cu 632,15% față de PUG. Această zonă este situată între Vama Veche și 2 Mai și trebuie menționat că reglementările nu au produs încă efecte în teren.</w:t>
      </w:r>
    </w:p>
    <w:p w14:paraId="4308D00C" w14:textId="77777777" w:rsidR="00670FD4" w:rsidRDefault="00670FD4" w:rsidP="00670FD4">
      <w:pPr>
        <w:ind w:firstLine="567"/>
        <w:rPr>
          <w:rFonts w:eastAsia="Times New Roman" w:cs="Times New Roman"/>
        </w:rPr>
      </w:pPr>
      <w:r>
        <w:rPr>
          <w:rFonts w:eastAsia="Times New Roman" w:cs="Times New Roman"/>
        </w:rPr>
        <w:t>În sectorul sudic, în bilanțurile teritoriale ale zonelor din intravilan se constată existența unor zone mixte (activități de locuire și turistice) (Tabel 2.4.8.8.7). În Limanu, suprafața alocată pentru astfel de activități a crescut prin PUG cu 355,53%. În cazul Năvodari care are documentația PUG în curs de actualizare, conform datelor din Raportul de mediu se propune o creștere a suprafeței față de cea existentă cu 3,94%, iar în cazul Techirghiol aflat în situație similară creșterea este cu 26,94%.</w:t>
      </w:r>
    </w:p>
    <w:p w14:paraId="44223993" w14:textId="77777777" w:rsidR="00670FD4" w:rsidRDefault="00670FD4" w:rsidP="00670FD4">
      <w:pPr>
        <w:ind w:firstLine="567"/>
        <w:rPr>
          <w:rFonts w:eastAsia="Times New Roman" w:cs="Times New Roman"/>
        </w:rPr>
      </w:pPr>
    </w:p>
    <w:p w14:paraId="70078561" w14:textId="77777777" w:rsidR="00670FD4" w:rsidRDefault="00670FD4" w:rsidP="00670FD4">
      <w:pPr>
        <w:spacing w:line="240" w:lineRule="auto"/>
        <w:jc w:val="center"/>
        <w:rPr>
          <w:rFonts w:eastAsia="Times New Roman" w:cs="Times New Roman"/>
        </w:rPr>
      </w:pPr>
      <w:bookmarkStart w:id="106" w:name="_heading=h.1v1yuxt" w:colFirst="0" w:colLast="0"/>
      <w:bookmarkEnd w:id="106"/>
      <w:r>
        <w:rPr>
          <w:rFonts w:eastAsia="Times New Roman" w:cs="Times New Roman"/>
          <w:b/>
        </w:rPr>
        <w:t>Tabel 2.4.8.8.6 Zone cu activități turistice (date conform PUG) </w:t>
      </w:r>
    </w:p>
    <w:tbl>
      <w:tblPr>
        <w:tblW w:w="9016" w:type="dxa"/>
        <w:jc w:val="center"/>
        <w:tblLayout w:type="fixed"/>
        <w:tblLook w:val="0400" w:firstRow="0" w:lastRow="0" w:firstColumn="0" w:lastColumn="0" w:noHBand="0" w:noVBand="1"/>
      </w:tblPr>
      <w:tblGrid>
        <w:gridCol w:w="1254"/>
        <w:gridCol w:w="1216"/>
        <w:gridCol w:w="1082"/>
        <w:gridCol w:w="1421"/>
        <w:gridCol w:w="1375"/>
        <w:gridCol w:w="1345"/>
        <w:gridCol w:w="1323"/>
      </w:tblGrid>
      <w:tr w:rsidR="00670FD4" w14:paraId="19738744" w14:textId="77777777" w:rsidTr="001925BA">
        <w:trPr>
          <w:trHeight w:val="670"/>
          <w:jc w:val="center"/>
        </w:trPr>
        <w:tc>
          <w:tcPr>
            <w:tcW w:w="1254" w:type="dxa"/>
            <w:tcBorders>
              <w:top w:val="single" w:sz="4" w:space="0" w:color="000000"/>
              <w:left w:val="single" w:sz="4" w:space="0" w:color="000000"/>
              <w:bottom w:val="single" w:sz="8" w:space="0" w:color="000000"/>
              <w:right w:val="single" w:sz="8" w:space="0" w:color="000000"/>
            </w:tcBorders>
            <w:shd w:val="clear" w:color="auto" w:fill="BFBFBF"/>
            <w:tcMar>
              <w:top w:w="100" w:type="dxa"/>
              <w:left w:w="100" w:type="dxa"/>
              <w:bottom w:w="100" w:type="dxa"/>
              <w:right w:w="100" w:type="dxa"/>
            </w:tcMar>
          </w:tcPr>
          <w:p w14:paraId="6B94D74B" w14:textId="77777777" w:rsidR="00670FD4" w:rsidRDefault="00670FD4" w:rsidP="001925BA">
            <w:pPr>
              <w:spacing w:after="0" w:line="240" w:lineRule="auto"/>
              <w:ind w:left="100" w:hanging="63"/>
              <w:jc w:val="center"/>
              <w:rPr>
                <w:rFonts w:eastAsia="Times New Roman" w:cs="Times New Roman"/>
                <w:b/>
                <w:sz w:val="20"/>
                <w:szCs w:val="20"/>
              </w:rPr>
            </w:pPr>
            <w:r>
              <w:rPr>
                <w:rFonts w:eastAsia="Times New Roman" w:cs="Times New Roman"/>
                <w:b/>
                <w:color w:val="000000"/>
                <w:sz w:val="20"/>
                <w:szCs w:val="20"/>
              </w:rPr>
              <w:lastRenderedPageBreak/>
              <w:t>UAT</w:t>
            </w:r>
          </w:p>
        </w:tc>
        <w:tc>
          <w:tcPr>
            <w:tcW w:w="1216" w:type="dxa"/>
            <w:tcBorders>
              <w:top w:val="single" w:sz="4"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4814383B" w14:textId="77777777" w:rsidR="00670FD4" w:rsidRDefault="00670FD4" w:rsidP="001925BA">
            <w:pPr>
              <w:spacing w:after="0" w:line="240" w:lineRule="auto"/>
              <w:ind w:left="100" w:hanging="41"/>
              <w:rPr>
                <w:rFonts w:eastAsia="Times New Roman" w:cs="Times New Roman"/>
                <w:b/>
                <w:sz w:val="20"/>
                <w:szCs w:val="20"/>
              </w:rPr>
            </w:pPr>
            <w:r>
              <w:rPr>
                <w:rFonts w:eastAsia="Times New Roman" w:cs="Times New Roman"/>
                <w:b/>
                <w:color w:val="000000"/>
                <w:sz w:val="20"/>
                <w:szCs w:val="20"/>
              </w:rPr>
              <w:t>Existent la data aprobării PUG (ha)</w:t>
            </w:r>
          </w:p>
        </w:tc>
        <w:tc>
          <w:tcPr>
            <w:tcW w:w="1082" w:type="dxa"/>
            <w:tcBorders>
              <w:top w:val="single" w:sz="4"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4ABDFD22" w14:textId="77777777" w:rsidR="00670FD4" w:rsidRDefault="00670FD4" w:rsidP="001925BA">
            <w:pPr>
              <w:spacing w:after="0" w:line="240" w:lineRule="auto"/>
              <w:ind w:hanging="23"/>
              <w:rPr>
                <w:rFonts w:eastAsia="Times New Roman" w:cs="Times New Roman"/>
                <w:b/>
                <w:sz w:val="20"/>
                <w:szCs w:val="20"/>
              </w:rPr>
            </w:pPr>
            <w:r>
              <w:rPr>
                <w:rFonts w:eastAsia="Times New Roman" w:cs="Times New Roman"/>
                <w:b/>
                <w:color w:val="000000"/>
                <w:sz w:val="20"/>
                <w:szCs w:val="20"/>
              </w:rPr>
              <w:t>Aprobat prin PUG (ha)</w:t>
            </w:r>
          </w:p>
        </w:tc>
        <w:tc>
          <w:tcPr>
            <w:tcW w:w="1421" w:type="dxa"/>
            <w:tcBorders>
              <w:top w:val="single" w:sz="4"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75A4E90D" w14:textId="77777777" w:rsidR="00670FD4" w:rsidRDefault="00670FD4" w:rsidP="001925BA">
            <w:pPr>
              <w:spacing w:after="0" w:line="240" w:lineRule="auto"/>
              <w:ind w:left="100" w:hanging="100"/>
              <w:rPr>
                <w:rFonts w:eastAsia="Times New Roman" w:cs="Times New Roman"/>
                <w:b/>
                <w:sz w:val="20"/>
                <w:szCs w:val="20"/>
              </w:rPr>
            </w:pPr>
            <w:r>
              <w:rPr>
                <w:rFonts w:eastAsia="Times New Roman" w:cs="Times New Roman"/>
                <w:b/>
                <w:color w:val="000000"/>
                <w:sz w:val="20"/>
                <w:szCs w:val="20"/>
              </w:rPr>
              <w:t>Aprobat prin PUZ extindere intravilan/ modificare PUG (ha)</w:t>
            </w:r>
          </w:p>
        </w:tc>
        <w:tc>
          <w:tcPr>
            <w:tcW w:w="1375" w:type="dxa"/>
            <w:tcBorders>
              <w:top w:val="single" w:sz="4"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528D808C" w14:textId="77777777" w:rsidR="00670FD4" w:rsidRDefault="00670FD4" w:rsidP="001925BA">
            <w:pPr>
              <w:spacing w:after="0" w:line="240" w:lineRule="auto"/>
              <w:ind w:left="100" w:hanging="75"/>
              <w:rPr>
                <w:rFonts w:eastAsia="Times New Roman" w:cs="Times New Roman"/>
                <w:b/>
                <w:sz w:val="20"/>
                <w:szCs w:val="20"/>
              </w:rPr>
            </w:pPr>
            <w:r>
              <w:rPr>
                <w:rFonts w:eastAsia="Times New Roman" w:cs="Times New Roman"/>
                <w:b/>
                <w:color w:val="000000"/>
                <w:sz w:val="20"/>
                <w:szCs w:val="20"/>
              </w:rPr>
              <w:t>Existente la data actualizării PUG (ha)</w:t>
            </w:r>
          </w:p>
        </w:tc>
        <w:tc>
          <w:tcPr>
            <w:tcW w:w="1345" w:type="dxa"/>
            <w:tcBorders>
              <w:top w:val="single" w:sz="4"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19895932" w14:textId="77777777" w:rsidR="00670FD4" w:rsidRDefault="00670FD4" w:rsidP="001925BA">
            <w:pPr>
              <w:spacing w:after="0" w:line="240" w:lineRule="auto"/>
              <w:ind w:firstLine="0"/>
              <w:rPr>
                <w:rFonts w:eastAsia="Times New Roman" w:cs="Times New Roman"/>
                <w:b/>
                <w:sz w:val="20"/>
                <w:szCs w:val="20"/>
              </w:rPr>
            </w:pPr>
            <w:r>
              <w:rPr>
                <w:rFonts w:eastAsia="Times New Roman" w:cs="Times New Roman"/>
                <w:b/>
                <w:color w:val="000000"/>
                <w:sz w:val="20"/>
                <w:szCs w:val="20"/>
              </w:rPr>
              <w:t>Propus</w:t>
            </w:r>
          </w:p>
          <w:p w14:paraId="452FA0F1" w14:textId="77777777" w:rsidR="00670FD4" w:rsidRDefault="00670FD4" w:rsidP="001925BA">
            <w:pPr>
              <w:spacing w:after="0" w:line="240" w:lineRule="auto"/>
              <w:ind w:firstLine="0"/>
              <w:rPr>
                <w:rFonts w:eastAsia="Times New Roman" w:cs="Times New Roman"/>
                <w:b/>
                <w:sz w:val="20"/>
                <w:szCs w:val="20"/>
              </w:rPr>
            </w:pPr>
            <w:r>
              <w:rPr>
                <w:rFonts w:eastAsia="Times New Roman" w:cs="Times New Roman"/>
                <w:b/>
                <w:color w:val="000000"/>
                <w:sz w:val="20"/>
                <w:szCs w:val="20"/>
              </w:rPr>
              <w:t>prin PUG în curs de actualizare (ha)</w:t>
            </w:r>
          </w:p>
        </w:tc>
        <w:tc>
          <w:tcPr>
            <w:tcW w:w="1323" w:type="dxa"/>
            <w:tcBorders>
              <w:top w:val="single" w:sz="4" w:space="0" w:color="000000"/>
              <w:left w:val="single" w:sz="8" w:space="0" w:color="000000"/>
              <w:bottom w:val="single" w:sz="8" w:space="0" w:color="000000"/>
              <w:right w:val="single" w:sz="4" w:space="0" w:color="000000"/>
            </w:tcBorders>
            <w:shd w:val="clear" w:color="auto" w:fill="BFBFBF"/>
            <w:tcMar>
              <w:top w:w="100" w:type="dxa"/>
              <w:left w:w="100" w:type="dxa"/>
              <w:bottom w:w="100" w:type="dxa"/>
              <w:right w:w="100" w:type="dxa"/>
            </w:tcMar>
          </w:tcPr>
          <w:p w14:paraId="4F3E05DB" w14:textId="77777777" w:rsidR="00670FD4" w:rsidRDefault="00670FD4" w:rsidP="001925BA">
            <w:pPr>
              <w:spacing w:after="0" w:line="240" w:lineRule="auto"/>
              <w:ind w:left="100" w:hanging="101"/>
              <w:jc w:val="left"/>
              <w:rPr>
                <w:rFonts w:eastAsia="Times New Roman" w:cs="Times New Roman"/>
                <w:b/>
                <w:sz w:val="20"/>
                <w:szCs w:val="20"/>
              </w:rPr>
            </w:pPr>
            <w:r>
              <w:rPr>
                <w:rFonts w:eastAsia="Times New Roman" w:cs="Times New Roman"/>
                <w:b/>
                <w:color w:val="000000"/>
                <w:sz w:val="20"/>
                <w:szCs w:val="20"/>
              </w:rPr>
              <w:t>Observațiii</w:t>
            </w:r>
          </w:p>
        </w:tc>
      </w:tr>
      <w:tr w:rsidR="00670FD4" w14:paraId="53BF6B98" w14:textId="77777777" w:rsidTr="001925BA">
        <w:trPr>
          <w:trHeight w:val="615"/>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0018F3FA" w14:textId="77777777" w:rsidR="00670FD4" w:rsidRDefault="00670FD4" w:rsidP="001925BA">
            <w:pPr>
              <w:spacing w:after="0" w:line="240" w:lineRule="auto"/>
              <w:ind w:left="100" w:hanging="63"/>
              <w:rPr>
                <w:rFonts w:eastAsia="Times New Roman" w:cs="Times New Roman"/>
                <w:sz w:val="20"/>
                <w:szCs w:val="20"/>
              </w:rPr>
            </w:pPr>
            <w:r>
              <w:rPr>
                <w:rFonts w:eastAsia="Times New Roman" w:cs="Times New Roman"/>
                <w:color w:val="000000"/>
                <w:sz w:val="20"/>
                <w:szCs w:val="20"/>
              </w:rPr>
              <w:t>C.A.Rosetti</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54811B" w14:textId="77777777" w:rsidR="00670FD4" w:rsidRDefault="00670FD4" w:rsidP="001925BA">
            <w:pPr>
              <w:spacing w:after="0" w:line="240" w:lineRule="auto"/>
              <w:ind w:hanging="41"/>
              <w:rPr>
                <w:rFonts w:eastAsia="Times New Roman" w:cs="Times New Roman"/>
                <w:sz w:val="20"/>
                <w:szCs w:val="20"/>
              </w:rPr>
            </w:pPr>
            <w:r>
              <w:rPr>
                <w:rFonts w:eastAsia="Times New Roman" w:cs="Times New Roman"/>
                <w:color w:val="000000"/>
                <w:sz w:val="20"/>
                <w:szCs w:val="20"/>
              </w:rPr>
              <w:t>5,46</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E9C6FF" w14:textId="77777777" w:rsidR="00670FD4" w:rsidRDefault="00670FD4" w:rsidP="001925BA">
            <w:pPr>
              <w:spacing w:after="0" w:line="240" w:lineRule="auto"/>
              <w:ind w:left="100" w:hanging="23"/>
              <w:rPr>
                <w:rFonts w:eastAsia="Times New Roman" w:cs="Times New Roman"/>
                <w:sz w:val="20"/>
                <w:szCs w:val="20"/>
              </w:rPr>
            </w:pPr>
            <w:r>
              <w:rPr>
                <w:rFonts w:eastAsia="Times New Roman" w:cs="Times New Roman"/>
                <w:color w:val="000000"/>
                <w:sz w:val="20"/>
                <w:szCs w:val="20"/>
              </w:rPr>
              <w:t>10,20</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83F21C"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color w:val="000000"/>
                <w:sz w:val="20"/>
                <w:szCs w:val="20"/>
              </w:rPr>
              <w:t> </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EC1555" w14:textId="77777777" w:rsidR="00670FD4" w:rsidRDefault="00670FD4" w:rsidP="001925BA">
            <w:pPr>
              <w:spacing w:after="0" w:line="240" w:lineRule="auto"/>
              <w:ind w:left="100" w:hanging="75"/>
              <w:rPr>
                <w:rFonts w:eastAsia="Times New Roman" w:cs="Times New Roman"/>
                <w:sz w:val="20"/>
                <w:szCs w:val="20"/>
              </w:rPr>
            </w:pPr>
            <w:r>
              <w:rPr>
                <w:rFonts w:eastAsia="Times New Roman" w:cs="Times New Roman"/>
                <w:color w:val="000000"/>
                <w:sz w:val="20"/>
                <w:szCs w:val="20"/>
              </w:rPr>
              <w:t> </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FB2CC8"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color w:val="000000"/>
                <w:sz w:val="20"/>
                <w:szCs w:val="20"/>
              </w:rPr>
              <w:t> </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78F1B265" w14:textId="77777777" w:rsidR="00670FD4" w:rsidRDefault="00670FD4" w:rsidP="001925BA">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Instituții și servicii</w:t>
            </w:r>
          </w:p>
          <w:p w14:paraId="6B55C04E" w14:textId="77777777" w:rsidR="00670FD4" w:rsidRDefault="00670FD4" w:rsidP="001925BA">
            <w:pPr>
              <w:spacing w:after="0" w:line="240" w:lineRule="auto"/>
              <w:ind w:hanging="101"/>
              <w:jc w:val="left"/>
              <w:rPr>
                <w:rFonts w:eastAsia="Times New Roman" w:cs="Times New Roman"/>
                <w:sz w:val="20"/>
                <w:szCs w:val="20"/>
              </w:rPr>
            </w:pPr>
            <w:r>
              <w:rPr>
                <w:rFonts w:eastAsia="Times New Roman" w:cs="Times New Roman"/>
                <w:color w:val="000000"/>
                <w:sz w:val="20"/>
                <w:szCs w:val="20"/>
              </w:rPr>
              <w:t>de interes public</w:t>
            </w:r>
          </w:p>
        </w:tc>
      </w:tr>
      <w:tr w:rsidR="00670FD4" w14:paraId="0E8A667C" w14:textId="77777777" w:rsidTr="001925BA">
        <w:trPr>
          <w:trHeight w:val="585"/>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718F786A" w14:textId="77777777" w:rsidR="00670FD4" w:rsidRDefault="00670FD4" w:rsidP="001925BA">
            <w:pPr>
              <w:spacing w:after="0" w:line="240" w:lineRule="auto"/>
              <w:ind w:left="100" w:hanging="63"/>
              <w:rPr>
                <w:rFonts w:eastAsia="Times New Roman" w:cs="Times New Roman"/>
                <w:sz w:val="20"/>
                <w:szCs w:val="20"/>
              </w:rPr>
            </w:pPr>
            <w:r>
              <w:rPr>
                <w:rFonts w:eastAsia="Times New Roman" w:cs="Times New Roman"/>
                <w:color w:val="000000"/>
                <w:sz w:val="20"/>
                <w:szCs w:val="20"/>
              </w:rPr>
              <w:t>Sulina</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0B5E50" w14:textId="77777777" w:rsidR="00670FD4" w:rsidRDefault="00670FD4" w:rsidP="001925BA">
            <w:pPr>
              <w:spacing w:after="0" w:line="240" w:lineRule="auto"/>
              <w:ind w:left="100" w:hanging="41"/>
              <w:rPr>
                <w:rFonts w:eastAsia="Times New Roman" w:cs="Times New Roman"/>
                <w:sz w:val="20"/>
                <w:szCs w:val="20"/>
              </w:rPr>
            </w:pPr>
            <w:r>
              <w:rPr>
                <w:rFonts w:eastAsia="Times New Roman" w:cs="Times New Roman"/>
                <w:color w:val="000000"/>
                <w:sz w:val="20"/>
                <w:szCs w:val="20"/>
              </w:rPr>
              <w:t>10,39</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2DFACD" w14:textId="77777777" w:rsidR="00670FD4" w:rsidRDefault="00670FD4" w:rsidP="001925BA">
            <w:pPr>
              <w:spacing w:after="0" w:line="240" w:lineRule="auto"/>
              <w:ind w:left="100" w:hanging="23"/>
              <w:rPr>
                <w:rFonts w:eastAsia="Times New Roman" w:cs="Times New Roman"/>
                <w:sz w:val="20"/>
                <w:szCs w:val="20"/>
              </w:rPr>
            </w:pPr>
            <w:r>
              <w:rPr>
                <w:rFonts w:eastAsia="Times New Roman" w:cs="Times New Roman"/>
                <w:color w:val="000000"/>
                <w:sz w:val="20"/>
                <w:szCs w:val="20"/>
              </w:rPr>
              <w:t>10,39</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FB7F37"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color w:val="000000"/>
                <w:sz w:val="20"/>
                <w:szCs w:val="20"/>
              </w:rPr>
              <w:t> </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4C144E" w14:textId="77777777" w:rsidR="00670FD4" w:rsidRDefault="00670FD4" w:rsidP="001925BA">
            <w:pPr>
              <w:spacing w:after="0" w:line="240" w:lineRule="auto"/>
              <w:ind w:left="100" w:hanging="75"/>
              <w:rPr>
                <w:rFonts w:eastAsia="Times New Roman" w:cs="Times New Roman"/>
                <w:sz w:val="20"/>
                <w:szCs w:val="20"/>
              </w:rPr>
            </w:pPr>
            <w:r>
              <w:rPr>
                <w:rFonts w:eastAsia="Times New Roman" w:cs="Times New Roman"/>
                <w:color w:val="000000"/>
                <w:sz w:val="20"/>
                <w:szCs w:val="20"/>
              </w:rPr>
              <w:t> </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B3DE6F"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color w:val="000000"/>
                <w:sz w:val="20"/>
                <w:szCs w:val="20"/>
              </w:rPr>
              <w:t> </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4C6929F5" w14:textId="77777777" w:rsidR="00670FD4" w:rsidRDefault="00670FD4" w:rsidP="001925BA">
            <w:pPr>
              <w:spacing w:after="0" w:line="240" w:lineRule="auto"/>
              <w:ind w:hanging="101"/>
              <w:jc w:val="left"/>
              <w:rPr>
                <w:rFonts w:eastAsia="Times New Roman" w:cs="Times New Roman"/>
                <w:sz w:val="20"/>
                <w:szCs w:val="20"/>
              </w:rPr>
            </w:pPr>
            <w:r>
              <w:rPr>
                <w:rFonts w:eastAsia="Times New Roman" w:cs="Times New Roman"/>
                <w:color w:val="000000"/>
                <w:sz w:val="20"/>
                <w:szCs w:val="20"/>
              </w:rPr>
              <w:t>Instituții și servicii</w:t>
            </w:r>
          </w:p>
          <w:p w14:paraId="797B697A" w14:textId="77777777" w:rsidR="00670FD4" w:rsidRDefault="00670FD4" w:rsidP="001925BA">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de interes public</w:t>
            </w:r>
          </w:p>
        </w:tc>
      </w:tr>
      <w:tr w:rsidR="00670FD4" w14:paraId="15A73038" w14:textId="77777777" w:rsidTr="001925BA">
        <w:trPr>
          <w:trHeight w:val="570"/>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6E8A4B95" w14:textId="77777777" w:rsidR="00670FD4" w:rsidRDefault="00670FD4" w:rsidP="001925BA">
            <w:pPr>
              <w:spacing w:after="0" w:line="240" w:lineRule="auto"/>
              <w:ind w:left="100" w:hanging="63"/>
              <w:rPr>
                <w:rFonts w:eastAsia="Times New Roman" w:cs="Times New Roman"/>
                <w:sz w:val="20"/>
                <w:szCs w:val="20"/>
              </w:rPr>
            </w:pPr>
            <w:r>
              <w:rPr>
                <w:rFonts w:eastAsia="Times New Roman" w:cs="Times New Roman"/>
                <w:color w:val="000000"/>
                <w:sz w:val="20"/>
                <w:szCs w:val="20"/>
              </w:rPr>
              <w:t>Sf. Gheorghe</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82773C" w14:textId="77777777" w:rsidR="00670FD4" w:rsidRDefault="00670FD4" w:rsidP="001925BA">
            <w:pPr>
              <w:spacing w:after="0" w:line="240" w:lineRule="auto"/>
              <w:ind w:left="100" w:hanging="41"/>
              <w:rPr>
                <w:rFonts w:eastAsia="Times New Roman" w:cs="Times New Roman"/>
                <w:sz w:val="20"/>
                <w:szCs w:val="20"/>
              </w:rPr>
            </w:pPr>
            <w:r>
              <w:rPr>
                <w:rFonts w:eastAsia="Times New Roman" w:cs="Times New Roman"/>
                <w:color w:val="000000"/>
                <w:sz w:val="20"/>
                <w:szCs w:val="20"/>
              </w:rPr>
              <w:t>2,61</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25060D" w14:textId="77777777" w:rsidR="00670FD4" w:rsidRDefault="00670FD4" w:rsidP="001925BA">
            <w:pPr>
              <w:spacing w:after="0" w:line="240" w:lineRule="auto"/>
              <w:ind w:left="100" w:hanging="23"/>
              <w:rPr>
                <w:rFonts w:eastAsia="Times New Roman" w:cs="Times New Roman"/>
                <w:sz w:val="20"/>
                <w:szCs w:val="20"/>
              </w:rPr>
            </w:pPr>
            <w:r>
              <w:rPr>
                <w:rFonts w:eastAsia="Times New Roman" w:cs="Times New Roman"/>
                <w:color w:val="000000"/>
                <w:sz w:val="20"/>
                <w:szCs w:val="20"/>
              </w:rPr>
              <w:t>2,61</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65DE9D"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color w:val="000000"/>
                <w:sz w:val="20"/>
                <w:szCs w:val="20"/>
              </w:rPr>
              <w:t> </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1A0839" w14:textId="77777777" w:rsidR="00670FD4" w:rsidRDefault="00670FD4" w:rsidP="001925BA">
            <w:pPr>
              <w:spacing w:after="0" w:line="240" w:lineRule="auto"/>
              <w:ind w:left="100" w:hanging="75"/>
              <w:rPr>
                <w:rFonts w:eastAsia="Times New Roman" w:cs="Times New Roman"/>
                <w:sz w:val="20"/>
                <w:szCs w:val="20"/>
              </w:rPr>
            </w:pPr>
            <w:r>
              <w:rPr>
                <w:rFonts w:eastAsia="Times New Roman" w:cs="Times New Roman"/>
                <w:color w:val="000000"/>
                <w:sz w:val="20"/>
                <w:szCs w:val="20"/>
              </w:rPr>
              <w:t> </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BA4EB8"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color w:val="000000"/>
                <w:sz w:val="20"/>
                <w:szCs w:val="20"/>
              </w:rPr>
              <w:t> </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676AC4C7" w14:textId="77777777" w:rsidR="00670FD4" w:rsidRDefault="00670FD4" w:rsidP="001925BA">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Instituții și servicii</w:t>
            </w:r>
          </w:p>
          <w:p w14:paraId="060C01A1" w14:textId="77777777" w:rsidR="00670FD4" w:rsidRDefault="00670FD4" w:rsidP="001925BA">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de interes public</w:t>
            </w:r>
          </w:p>
        </w:tc>
      </w:tr>
      <w:tr w:rsidR="00670FD4" w14:paraId="721AE886" w14:textId="77777777" w:rsidTr="001925BA">
        <w:trPr>
          <w:trHeight w:val="630"/>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49F186B2" w14:textId="77777777" w:rsidR="00670FD4" w:rsidRDefault="00670FD4" w:rsidP="001925BA">
            <w:pPr>
              <w:spacing w:after="0" w:line="240" w:lineRule="auto"/>
              <w:ind w:left="100" w:hanging="63"/>
              <w:rPr>
                <w:rFonts w:eastAsia="Times New Roman" w:cs="Times New Roman"/>
                <w:sz w:val="20"/>
                <w:szCs w:val="20"/>
              </w:rPr>
            </w:pPr>
            <w:r>
              <w:rPr>
                <w:rFonts w:eastAsia="Times New Roman" w:cs="Times New Roman"/>
                <w:color w:val="000000"/>
                <w:sz w:val="20"/>
                <w:szCs w:val="20"/>
              </w:rPr>
              <w:t>Murighiol</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C936E6" w14:textId="77777777" w:rsidR="00670FD4" w:rsidRDefault="00670FD4" w:rsidP="001925BA">
            <w:pPr>
              <w:spacing w:after="0" w:line="240" w:lineRule="auto"/>
              <w:ind w:left="100" w:hanging="41"/>
              <w:rPr>
                <w:rFonts w:eastAsia="Times New Roman" w:cs="Times New Roman"/>
                <w:sz w:val="20"/>
                <w:szCs w:val="20"/>
              </w:rPr>
            </w:pPr>
            <w:r>
              <w:rPr>
                <w:rFonts w:eastAsia="Times New Roman" w:cs="Times New Roman"/>
                <w:color w:val="000000"/>
                <w:sz w:val="20"/>
                <w:szCs w:val="20"/>
              </w:rPr>
              <w:t>8,16</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4C0666" w14:textId="77777777" w:rsidR="00670FD4" w:rsidRDefault="00670FD4" w:rsidP="001925BA">
            <w:pPr>
              <w:spacing w:after="0" w:line="240" w:lineRule="auto"/>
              <w:ind w:left="100" w:hanging="23"/>
              <w:rPr>
                <w:rFonts w:eastAsia="Times New Roman" w:cs="Times New Roman"/>
                <w:sz w:val="20"/>
                <w:szCs w:val="20"/>
              </w:rPr>
            </w:pPr>
            <w:r>
              <w:rPr>
                <w:rFonts w:eastAsia="Times New Roman" w:cs="Times New Roman"/>
                <w:color w:val="000000"/>
                <w:sz w:val="20"/>
                <w:szCs w:val="20"/>
              </w:rPr>
              <w:t>13,50</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9E3FAA"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color w:val="000000"/>
                <w:sz w:val="20"/>
                <w:szCs w:val="20"/>
              </w:rPr>
              <w:t> </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FD109B" w14:textId="77777777" w:rsidR="00670FD4" w:rsidRDefault="00670FD4" w:rsidP="001925BA">
            <w:pPr>
              <w:spacing w:after="0" w:line="240" w:lineRule="auto"/>
              <w:ind w:left="100" w:hanging="75"/>
              <w:rPr>
                <w:rFonts w:eastAsia="Times New Roman" w:cs="Times New Roman"/>
                <w:sz w:val="20"/>
                <w:szCs w:val="20"/>
              </w:rPr>
            </w:pPr>
            <w:r>
              <w:rPr>
                <w:rFonts w:eastAsia="Times New Roman" w:cs="Times New Roman"/>
                <w:color w:val="000000"/>
                <w:sz w:val="20"/>
                <w:szCs w:val="20"/>
              </w:rPr>
              <w:t> </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72FED3"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color w:val="000000"/>
                <w:sz w:val="20"/>
                <w:szCs w:val="20"/>
              </w:rPr>
              <w:t> </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54A6A970" w14:textId="77777777" w:rsidR="00670FD4" w:rsidRDefault="00670FD4" w:rsidP="001925BA">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Instituții și servicii</w:t>
            </w:r>
          </w:p>
          <w:p w14:paraId="18BEFDCA" w14:textId="77777777" w:rsidR="00670FD4" w:rsidRDefault="00670FD4" w:rsidP="001925BA">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de interes public</w:t>
            </w:r>
          </w:p>
        </w:tc>
      </w:tr>
      <w:tr w:rsidR="00670FD4" w14:paraId="44138625" w14:textId="77777777" w:rsidTr="001925BA">
        <w:trPr>
          <w:trHeight w:val="660"/>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0D575B16" w14:textId="77777777" w:rsidR="00670FD4" w:rsidRDefault="00670FD4" w:rsidP="001925BA">
            <w:pPr>
              <w:spacing w:after="0" w:line="240" w:lineRule="auto"/>
              <w:ind w:left="100" w:hanging="63"/>
              <w:rPr>
                <w:rFonts w:eastAsia="Times New Roman" w:cs="Times New Roman"/>
                <w:sz w:val="20"/>
                <w:szCs w:val="20"/>
              </w:rPr>
            </w:pPr>
            <w:r>
              <w:rPr>
                <w:rFonts w:eastAsia="Times New Roman" w:cs="Times New Roman"/>
                <w:color w:val="000000"/>
                <w:sz w:val="20"/>
                <w:szCs w:val="20"/>
              </w:rPr>
              <w:t>Jurilovca</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4E1EF3" w14:textId="77777777" w:rsidR="00670FD4" w:rsidRDefault="00670FD4" w:rsidP="001925BA">
            <w:pPr>
              <w:spacing w:after="0" w:line="240" w:lineRule="auto"/>
              <w:ind w:left="100" w:hanging="41"/>
              <w:rPr>
                <w:rFonts w:eastAsia="Times New Roman" w:cs="Times New Roman"/>
                <w:sz w:val="20"/>
                <w:szCs w:val="20"/>
              </w:rPr>
            </w:pPr>
            <w:r>
              <w:rPr>
                <w:rFonts w:eastAsia="Times New Roman" w:cs="Times New Roman"/>
                <w:color w:val="000000"/>
                <w:sz w:val="20"/>
                <w:szCs w:val="20"/>
              </w:rPr>
              <w:t>5,89</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0646D1" w14:textId="77777777" w:rsidR="00670FD4" w:rsidRDefault="00670FD4" w:rsidP="001925BA">
            <w:pPr>
              <w:spacing w:after="0" w:line="240" w:lineRule="auto"/>
              <w:ind w:left="100" w:hanging="23"/>
              <w:rPr>
                <w:rFonts w:eastAsia="Times New Roman" w:cs="Times New Roman"/>
                <w:sz w:val="20"/>
                <w:szCs w:val="20"/>
              </w:rPr>
            </w:pPr>
            <w:r>
              <w:rPr>
                <w:rFonts w:eastAsia="Times New Roman" w:cs="Times New Roman"/>
                <w:color w:val="000000"/>
                <w:sz w:val="20"/>
                <w:szCs w:val="20"/>
              </w:rPr>
              <w:t>5,89</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D78131"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color w:val="000000"/>
                <w:sz w:val="20"/>
                <w:szCs w:val="20"/>
              </w:rPr>
              <w:t> </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83F04B" w14:textId="77777777" w:rsidR="00670FD4" w:rsidRDefault="00670FD4" w:rsidP="001925BA">
            <w:pPr>
              <w:spacing w:after="0" w:line="240" w:lineRule="auto"/>
              <w:ind w:left="100" w:hanging="75"/>
              <w:rPr>
                <w:rFonts w:eastAsia="Times New Roman" w:cs="Times New Roman"/>
                <w:sz w:val="20"/>
                <w:szCs w:val="20"/>
              </w:rPr>
            </w:pPr>
            <w:r>
              <w:rPr>
                <w:rFonts w:eastAsia="Times New Roman" w:cs="Times New Roman"/>
                <w:color w:val="000000"/>
                <w:sz w:val="20"/>
                <w:szCs w:val="20"/>
              </w:rPr>
              <w:t> </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A64FA0"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color w:val="000000"/>
                <w:sz w:val="20"/>
                <w:szCs w:val="20"/>
              </w:rPr>
              <w:t> </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134999ED" w14:textId="77777777" w:rsidR="00670FD4" w:rsidRDefault="00670FD4" w:rsidP="001925BA">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Instituții și servicii</w:t>
            </w:r>
          </w:p>
          <w:p w14:paraId="09A2C2B0" w14:textId="77777777" w:rsidR="00670FD4" w:rsidRDefault="00670FD4" w:rsidP="001925BA">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de interes public</w:t>
            </w:r>
          </w:p>
        </w:tc>
      </w:tr>
      <w:tr w:rsidR="00670FD4" w14:paraId="024F11B5" w14:textId="77777777" w:rsidTr="001925BA">
        <w:trPr>
          <w:trHeight w:val="398"/>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3C0E19BA" w14:textId="77777777" w:rsidR="00670FD4" w:rsidRDefault="00670FD4" w:rsidP="001925BA">
            <w:pPr>
              <w:spacing w:after="0" w:line="240" w:lineRule="auto"/>
              <w:ind w:left="100" w:hanging="63"/>
              <w:rPr>
                <w:rFonts w:eastAsia="Times New Roman" w:cs="Times New Roman"/>
                <w:sz w:val="20"/>
                <w:szCs w:val="20"/>
              </w:rPr>
            </w:pPr>
            <w:r>
              <w:rPr>
                <w:rFonts w:eastAsia="Times New Roman" w:cs="Times New Roman"/>
                <w:color w:val="000000"/>
                <w:sz w:val="20"/>
                <w:szCs w:val="20"/>
              </w:rPr>
              <w:t>Mihai Viteazu</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FDB7B6" w14:textId="77777777" w:rsidR="00670FD4" w:rsidRDefault="00670FD4" w:rsidP="001925BA">
            <w:pPr>
              <w:spacing w:after="0" w:line="240" w:lineRule="auto"/>
              <w:ind w:left="100" w:hanging="41"/>
              <w:rPr>
                <w:rFonts w:eastAsia="Times New Roman" w:cs="Times New Roman"/>
                <w:sz w:val="20"/>
                <w:szCs w:val="20"/>
              </w:rPr>
            </w:pPr>
            <w:r>
              <w:rPr>
                <w:rFonts w:eastAsia="Times New Roman" w:cs="Times New Roman"/>
                <w:i/>
                <w:color w:val="000000"/>
                <w:sz w:val="20"/>
                <w:szCs w:val="20"/>
              </w:rPr>
              <w:t>lipsă date</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7D6B01" w14:textId="77777777" w:rsidR="00670FD4" w:rsidRDefault="00670FD4" w:rsidP="001925BA">
            <w:pPr>
              <w:spacing w:after="0" w:line="240" w:lineRule="auto"/>
              <w:ind w:left="100" w:hanging="23"/>
              <w:rPr>
                <w:rFonts w:eastAsia="Times New Roman" w:cs="Times New Roman"/>
                <w:sz w:val="20"/>
                <w:szCs w:val="20"/>
              </w:rPr>
            </w:pPr>
            <w:r>
              <w:rPr>
                <w:rFonts w:eastAsia="Times New Roman" w:cs="Times New Roman"/>
                <w:color w:val="000000"/>
                <w:sz w:val="20"/>
                <w:szCs w:val="20"/>
              </w:rPr>
              <w:t>6,50</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7ECD71"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color w:val="000000"/>
                <w:sz w:val="20"/>
                <w:szCs w:val="20"/>
              </w:rPr>
              <w:t> </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9C5E36" w14:textId="77777777" w:rsidR="00670FD4" w:rsidRDefault="00670FD4" w:rsidP="001925BA">
            <w:pPr>
              <w:spacing w:after="0" w:line="240" w:lineRule="auto"/>
              <w:ind w:left="100" w:hanging="75"/>
              <w:rPr>
                <w:rFonts w:eastAsia="Times New Roman" w:cs="Times New Roman"/>
                <w:sz w:val="20"/>
                <w:szCs w:val="20"/>
              </w:rPr>
            </w:pPr>
            <w:r>
              <w:rPr>
                <w:rFonts w:eastAsia="Times New Roman" w:cs="Times New Roman"/>
                <w:color w:val="000000"/>
                <w:sz w:val="20"/>
                <w:szCs w:val="20"/>
              </w:rPr>
              <w:t> </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D7289E"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color w:val="000000"/>
                <w:sz w:val="20"/>
                <w:szCs w:val="20"/>
              </w:rPr>
              <w:t> </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363DF790" w14:textId="77777777" w:rsidR="00670FD4" w:rsidRDefault="00670FD4" w:rsidP="001925BA">
            <w:pPr>
              <w:spacing w:after="0" w:line="240" w:lineRule="auto"/>
              <w:ind w:hanging="101"/>
              <w:jc w:val="left"/>
              <w:rPr>
                <w:rFonts w:eastAsia="Times New Roman" w:cs="Times New Roman"/>
                <w:sz w:val="20"/>
                <w:szCs w:val="20"/>
              </w:rPr>
            </w:pPr>
          </w:p>
        </w:tc>
      </w:tr>
      <w:tr w:rsidR="00670FD4" w14:paraId="40F532FA" w14:textId="77777777" w:rsidTr="001925BA">
        <w:trPr>
          <w:trHeight w:val="358"/>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2E66EE53" w14:textId="77777777" w:rsidR="00670FD4" w:rsidRDefault="00670FD4" w:rsidP="001925BA">
            <w:pPr>
              <w:spacing w:after="0" w:line="240" w:lineRule="auto"/>
              <w:ind w:left="100" w:hanging="63"/>
              <w:rPr>
                <w:rFonts w:eastAsia="Times New Roman" w:cs="Times New Roman"/>
                <w:sz w:val="20"/>
                <w:szCs w:val="20"/>
              </w:rPr>
            </w:pPr>
            <w:r>
              <w:rPr>
                <w:rFonts w:eastAsia="Times New Roman" w:cs="Times New Roman"/>
                <w:color w:val="000000"/>
                <w:sz w:val="20"/>
                <w:szCs w:val="20"/>
              </w:rPr>
              <w:t>Istria</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D1A804" w14:textId="77777777" w:rsidR="00670FD4" w:rsidRDefault="00670FD4" w:rsidP="001925BA">
            <w:pPr>
              <w:spacing w:after="0" w:line="240" w:lineRule="auto"/>
              <w:ind w:left="100" w:hanging="41"/>
              <w:rPr>
                <w:rFonts w:eastAsia="Times New Roman" w:cs="Times New Roman"/>
                <w:sz w:val="20"/>
                <w:szCs w:val="20"/>
              </w:rPr>
            </w:pPr>
            <w:r>
              <w:rPr>
                <w:rFonts w:eastAsia="Times New Roman" w:cs="Times New Roman"/>
                <w:i/>
                <w:color w:val="000000"/>
                <w:sz w:val="20"/>
                <w:szCs w:val="20"/>
              </w:rPr>
              <w:t>lipsă date</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278555" w14:textId="77777777" w:rsidR="00670FD4" w:rsidRDefault="00670FD4" w:rsidP="001925BA">
            <w:pPr>
              <w:spacing w:after="0" w:line="240" w:lineRule="auto"/>
              <w:ind w:left="100" w:hanging="23"/>
              <w:rPr>
                <w:rFonts w:eastAsia="Times New Roman" w:cs="Times New Roman"/>
                <w:sz w:val="20"/>
                <w:szCs w:val="20"/>
              </w:rPr>
            </w:pPr>
            <w:r>
              <w:rPr>
                <w:rFonts w:eastAsia="Times New Roman" w:cs="Times New Roman"/>
                <w:i/>
                <w:color w:val="000000"/>
                <w:sz w:val="20"/>
                <w:szCs w:val="20"/>
              </w:rPr>
              <w:t>lipsă date</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32EC97"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color w:val="000000"/>
                <w:sz w:val="20"/>
                <w:szCs w:val="20"/>
              </w:rPr>
              <w:t> </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AB271C" w14:textId="77777777" w:rsidR="00670FD4" w:rsidRDefault="00670FD4" w:rsidP="001925BA">
            <w:pPr>
              <w:spacing w:after="0" w:line="240" w:lineRule="auto"/>
              <w:ind w:left="100" w:hanging="75"/>
              <w:rPr>
                <w:rFonts w:eastAsia="Times New Roman" w:cs="Times New Roman"/>
                <w:sz w:val="20"/>
                <w:szCs w:val="20"/>
              </w:rPr>
            </w:pPr>
            <w:r>
              <w:rPr>
                <w:rFonts w:eastAsia="Times New Roman" w:cs="Times New Roman"/>
                <w:color w:val="000000"/>
                <w:sz w:val="20"/>
                <w:szCs w:val="20"/>
              </w:rPr>
              <w:t> </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08373C"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color w:val="000000"/>
                <w:sz w:val="20"/>
                <w:szCs w:val="20"/>
              </w:rPr>
              <w:t> </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113BDF60" w14:textId="77777777" w:rsidR="00670FD4" w:rsidRDefault="00670FD4" w:rsidP="001925BA">
            <w:pPr>
              <w:spacing w:after="0" w:line="240" w:lineRule="auto"/>
              <w:ind w:hanging="101"/>
              <w:jc w:val="left"/>
              <w:rPr>
                <w:rFonts w:eastAsia="Times New Roman" w:cs="Times New Roman"/>
                <w:sz w:val="20"/>
                <w:szCs w:val="20"/>
              </w:rPr>
            </w:pPr>
          </w:p>
        </w:tc>
      </w:tr>
      <w:tr w:rsidR="00670FD4" w14:paraId="78E00FF3" w14:textId="77777777" w:rsidTr="001925BA">
        <w:trPr>
          <w:trHeight w:val="690"/>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19B17724" w14:textId="77777777" w:rsidR="00670FD4" w:rsidRDefault="00670FD4" w:rsidP="001925BA">
            <w:pPr>
              <w:spacing w:after="0" w:line="240" w:lineRule="auto"/>
              <w:ind w:left="100" w:hanging="63"/>
              <w:rPr>
                <w:rFonts w:eastAsia="Times New Roman" w:cs="Times New Roman"/>
                <w:sz w:val="20"/>
                <w:szCs w:val="20"/>
              </w:rPr>
            </w:pPr>
            <w:r>
              <w:rPr>
                <w:rFonts w:eastAsia="Times New Roman" w:cs="Times New Roman"/>
                <w:color w:val="000000"/>
                <w:sz w:val="20"/>
                <w:szCs w:val="20"/>
              </w:rPr>
              <w:t>Săcele</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345D25" w14:textId="77777777" w:rsidR="00670FD4" w:rsidRDefault="00670FD4" w:rsidP="001925BA">
            <w:pPr>
              <w:spacing w:after="0" w:line="240" w:lineRule="auto"/>
              <w:ind w:left="100" w:hanging="41"/>
              <w:rPr>
                <w:rFonts w:eastAsia="Times New Roman" w:cs="Times New Roman"/>
                <w:sz w:val="20"/>
                <w:szCs w:val="20"/>
              </w:rPr>
            </w:pPr>
            <w:r>
              <w:rPr>
                <w:rFonts w:eastAsia="Times New Roman" w:cs="Times New Roman"/>
                <w:i/>
                <w:color w:val="000000"/>
                <w:sz w:val="20"/>
                <w:szCs w:val="20"/>
              </w:rPr>
              <w:t>lipsă date</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E62FB5" w14:textId="77777777" w:rsidR="00670FD4" w:rsidRDefault="00670FD4" w:rsidP="001925BA">
            <w:pPr>
              <w:spacing w:after="0" w:line="240" w:lineRule="auto"/>
              <w:ind w:left="100" w:hanging="23"/>
              <w:rPr>
                <w:rFonts w:eastAsia="Times New Roman" w:cs="Times New Roman"/>
                <w:sz w:val="20"/>
                <w:szCs w:val="20"/>
              </w:rPr>
            </w:pPr>
            <w:r>
              <w:rPr>
                <w:rFonts w:eastAsia="Times New Roman" w:cs="Times New Roman"/>
                <w:i/>
                <w:color w:val="000000"/>
                <w:sz w:val="20"/>
                <w:szCs w:val="20"/>
              </w:rPr>
              <w:t>lipsă date</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C0EF5E"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color w:val="000000"/>
                <w:sz w:val="20"/>
                <w:szCs w:val="20"/>
              </w:rPr>
              <w:t> </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ABE754" w14:textId="77777777" w:rsidR="00670FD4" w:rsidRDefault="00670FD4" w:rsidP="001925BA">
            <w:pPr>
              <w:spacing w:after="0" w:line="240" w:lineRule="auto"/>
              <w:ind w:left="100" w:hanging="75"/>
              <w:rPr>
                <w:rFonts w:eastAsia="Times New Roman" w:cs="Times New Roman"/>
                <w:sz w:val="20"/>
                <w:szCs w:val="20"/>
              </w:rPr>
            </w:pPr>
            <w:r>
              <w:rPr>
                <w:rFonts w:eastAsia="Times New Roman" w:cs="Times New Roman"/>
                <w:color w:val="000000"/>
                <w:sz w:val="20"/>
                <w:szCs w:val="20"/>
              </w:rPr>
              <w:t>2,46</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D656DB"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color w:val="000000"/>
                <w:sz w:val="20"/>
                <w:szCs w:val="20"/>
              </w:rPr>
              <w:t>2,27ha*</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2ECF0B7E" w14:textId="77777777" w:rsidR="00670FD4" w:rsidRDefault="00670FD4" w:rsidP="001925BA">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Instituții și servicii</w:t>
            </w:r>
          </w:p>
          <w:p w14:paraId="57F8A508" w14:textId="77777777" w:rsidR="00670FD4" w:rsidRDefault="00670FD4" w:rsidP="001925BA">
            <w:pPr>
              <w:spacing w:after="0" w:line="240" w:lineRule="auto"/>
              <w:ind w:firstLine="0"/>
              <w:jc w:val="left"/>
              <w:rPr>
                <w:rFonts w:eastAsia="Times New Roman" w:cs="Times New Roman"/>
                <w:sz w:val="20"/>
                <w:szCs w:val="20"/>
              </w:rPr>
            </w:pPr>
            <w:r>
              <w:rPr>
                <w:rFonts w:eastAsia="Times New Roman" w:cs="Times New Roman"/>
                <w:color w:val="000000"/>
                <w:sz w:val="20"/>
                <w:szCs w:val="20"/>
              </w:rPr>
              <w:t>de interes public</w:t>
            </w:r>
          </w:p>
        </w:tc>
      </w:tr>
      <w:tr w:rsidR="00670FD4" w14:paraId="64AF4271" w14:textId="77777777" w:rsidTr="001925BA">
        <w:trPr>
          <w:trHeight w:val="436"/>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46D0DAA2" w14:textId="77777777" w:rsidR="00670FD4" w:rsidRDefault="00670FD4" w:rsidP="001925BA">
            <w:pPr>
              <w:spacing w:after="0" w:line="240" w:lineRule="auto"/>
              <w:ind w:left="100" w:hanging="63"/>
              <w:rPr>
                <w:rFonts w:eastAsia="Times New Roman" w:cs="Times New Roman"/>
                <w:sz w:val="20"/>
                <w:szCs w:val="20"/>
              </w:rPr>
            </w:pPr>
            <w:r>
              <w:rPr>
                <w:rFonts w:eastAsia="Times New Roman" w:cs="Times New Roman"/>
                <w:color w:val="000000"/>
                <w:sz w:val="20"/>
                <w:szCs w:val="20"/>
              </w:rPr>
              <w:t>Corbu</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604E58" w14:textId="77777777" w:rsidR="00670FD4" w:rsidRDefault="00670FD4" w:rsidP="001925BA">
            <w:pPr>
              <w:spacing w:after="0" w:line="240" w:lineRule="auto"/>
              <w:ind w:left="100" w:hanging="41"/>
              <w:rPr>
                <w:rFonts w:eastAsia="Times New Roman" w:cs="Times New Roman"/>
                <w:sz w:val="20"/>
                <w:szCs w:val="20"/>
              </w:rPr>
            </w:pPr>
            <w:r>
              <w:rPr>
                <w:rFonts w:eastAsia="Times New Roman" w:cs="Times New Roman"/>
                <w:i/>
                <w:color w:val="000000"/>
                <w:sz w:val="20"/>
                <w:szCs w:val="20"/>
              </w:rPr>
              <w:t>lipsă date</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AA6979" w14:textId="77777777" w:rsidR="00670FD4" w:rsidRDefault="00670FD4" w:rsidP="001925BA">
            <w:pPr>
              <w:spacing w:after="0" w:line="240" w:lineRule="auto"/>
              <w:ind w:left="100" w:hanging="23"/>
              <w:rPr>
                <w:rFonts w:eastAsia="Times New Roman" w:cs="Times New Roman"/>
                <w:sz w:val="20"/>
                <w:szCs w:val="20"/>
              </w:rPr>
            </w:pPr>
            <w:r>
              <w:rPr>
                <w:rFonts w:eastAsia="Times New Roman" w:cs="Times New Roman"/>
                <w:i/>
                <w:color w:val="000000"/>
                <w:sz w:val="20"/>
                <w:szCs w:val="20"/>
              </w:rPr>
              <w:t>lipsă date</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9D2931" w14:textId="77777777" w:rsidR="00670FD4" w:rsidRDefault="00670FD4" w:rsidP="001925BA">
            <w:pPr>
              <w:spacing w:after="0" w:line="240" w:lineRule="auto"/>
              <w:ind w:hanging="100"/>
              <w:rPr>
                <w:rFonts w:eastAsia="Times New Roman" w:cs="Times New Roman"/>
                <w:sz w:val="20"/>
                <w:szCs w:val="20"/>
              </w:rPr>
            </w:pP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41F54B" w14:textId="77777777" w:rsidR="00670FD4" w:rsidRDefault="00670FD4" w:rsidP="001925BA">
            <w:pPr>
              <w:spacing w:after="0" w:line="240" w:lineRule="auto"/>
              <w:ind w:left="100" w:hanging="75"/>
              <w:rPr>
                <w:rFonts w:eastAsia="Times New Roman" w:cs="Times New Roman"/>
                <w:sz w:val="20"/>
                <w:szCs w:val="20"/>
              </w:rPr>
            </w:pPr>
            <w:r>
              <w:rPr>
                <w:rFonts w:eastAsia="Times New Roman" w:cs="Times New Roman"/>
                <w:color w:val="000000"/>
                <w:sz w:val="20"/>
                <w:szCs w:val="20"/>
              </w:rPr>
              <w:t> </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6C3CCC"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color w:val="000000"/>
                <w:sz w:val="20"/>
                <w:szCs w:val="20"/>
              </w:rPr>
              <w:t> </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6265565E" w14:textId="77777777" w:rsidR="00670FD4" w:rsidRDefault="00670FD4" w:rsidP="001925BA">
            <w:pPr>
              <w:spacing w:after="0" w:line="240" w:lineRule="auto"/>
              <w:ind w:hanging="101"/>
              <w:jc w:val="left"/>
              <w:rPr>
                <w:rFonts w:eastAsia="Times New Roman" w:cs="Times New Roman"/>
                <w:sz w:val="20"/>
                <w:szCs w:val="20"/>
              </w:rPr>
            </w:pPr>
          </w:p>
        </w:tc>
      </w:tr>
      <w:tr w:rsidR="00670FD4" w14:paraId="2A0FF716" w14:textId="77777777" w:rsidTr="001925BA">
        <w:trPr>
          <w:trHeight w:val="455"/>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3294D147" w14:textId="77777777" w:rsidR="00670FD4" w:rsidRDefault="00670FD4" w:rsidP="001925BA">
            <w:pPr>
              <w:spacing w:after="0" w:line="240" w:lineRule="auto"/>
              <w:ind w:left="100" w:hanging="63"/>
              <w:rPr>
                <w:rFonts w:eastAsia="Times New Roman" w:cs="Times New Roman"/>
                <w:sz w:val="20"/>
                <w:szCs w:val="20"/>
              </w:rPr>
            </w:pPr>
            <w:r>
              <w:rPr>
                <w:rFonts w:eastAsia="Times New Roman" w:cs="Times New Roman"/>
                <w:color w:val="000000"/>
                <w:sz w:val="20"/>
                <w:szCs w:val="20"/>
              </w:rPr>
              <w:t>Năvodari</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2D5DAC" w14:textId="77777777" w:rsidR="00670FD4" w:rsidRDefault="00670FD4" w:rsidP="001925BA">
            <w:pPr>
              <w:spacing w:after="0" w:line="240" w:lineRule="auto"/>
              <w:ind w:left="100" w:hanging="41"/>
              <w:rPr>
                <w:rFonts w:eastAsia="Times New Roman" w:cs="Times New Roman"/>
                <w:sz w:val="20"/>
                <w:szCs w:val="20"/>
              </w:rPr>
            </w:pPr>
            <w:r>
              <w:rPr>
                <w:rFonts w:eastAsia="Times New Roman" w:cs="Times New Roman"/>
                <w:color w:val="000000"/>
                <w:sz w:val="20"/>
                <w:szCs w:val="20"/>
              </w:rPr>
              <w:t>198,30</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6F50E5" w14:textId="77777777" w:rsidR="00670FD4" w:rsidRDefault="00670FD4" w:rsidP="001925BA">
            <w:pPr>
              <w:spacing w:after="0" w:line="240" w:lineRule="auto"/>
              <w:ind w:left="100" w:hanging="23"/>
              <w:rPr>
                <w:rFonts w:eastAsia="Times New Roman" w:cs="Times New Roman"/>
                <w:sz w:val="20"/>
                <w:szCs w:val="20"/>
              </w:rPr>
            </w:pPr>
            <w:r>
              <w:rPr>
                <w:rFonts w:eastAsia="Times New Roman" w:cs="Times New Roman"/>
                <w:color w:val="000000"/>
                <w:sz w:val="20"/>
                <w:szCs w:val="20"/>
              </w:rPr>
              <w:t>271,83</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7F50FC"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color w:val="000000"/>
                <w:sz w:val="20"/>
                <w:szCs w:val="20"/>
              </w:rPr>
              <w:t> </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52ADAF" w14:textId="77777777" w:rsidR="00670FD4" w:rsidRDefault="00670FD4" w:rsidP="001925BA">
            <w:pPr>
              <w:spacing w:after="0" w:line="240" w:lineRule="auto"/>
              <w:ind w:left="100" w:hanging="75"/>
              <w:rPr>
                <w:rFonts w:eastAsia="Times New Roman" w:cs="Times New Roman"/>
                <w:sz w:val="20"/>
                <w:szCs w:val="20"/>
              </w:rPr>
            </w:pPr>
            <w:r>
              <w:rPr>
                <w:rFonts w:eastAsia="Times New Roman" w:cs="Times New Roman"/>
                <w:color w:val="000000"/>
                <w:sz w:val="20"/>
                <w:szCs w:val="20"/>
              </w:rPr>
              <w:t>124,10</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DE001F"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color w:val="000000"/>
                <w:sz w:val="20"/>
                <w:szCs w:val="20"/>
              </w:rPr>
              <w:t>370,58</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3AB76E51" w14:textId="77777777" w:rsidR="00670FD4" w:rsidRDefault="00670FD4" w:rsidP="001925BA">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Zone pentru activități turistice</w:t>
            </w:r>
          </w:p>
        </w:tc>
      </w:tr>
      <w:tr w:rsidR="00670FD4" w14:paraId="0A671174" w14:textId="77777777" w:rsidTr="001925BA">
        <w:trPr>
          <w:trHeight w:val="455"/>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4186E2C8" w14:textId="77777777" w:rsidR="00670FD4" w:rsidRDefault="00670FD4" w:rsidP="001925BA">
            <w:pPr>
              <w:spacing w:after="0" w:line="240" w:lineRule="auto"/>
              <w:ind w:left="100" w:hanging="63"/>
              <w:rPr>
                <w:rFonts w:eastAsia="Times New Roman" w:cs="Times New Roman"/>
                <w:sz w:val="20"/>
                <w:szCs w:val="20"/>
              </w:rPr>
            </w:pPr>
            <w:r>
              <w:rPr>
                <w:rFonts w:eastAsia="Times New Roman" w:cs="Times New Roman"/>
                <w:color w:val="000000"/>
                <w:sz w:val="20"/>
                <w:szCs w:val="20"/>
              </w:rPr>
              <w:lastRenderedPageBreak/>
              <w:t>Constanța</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B6D9B0" w14:textId="77777777" w:rsidR="00670FD4" w:rsidRDefault="00670FD4" w:rsidP="001925BA">
            <w:pPr>
              <w:spacing w:after="0" w:line="240" w:lineRule="auto"/>
              <w:ind w:left="100" w:hanging="41"/>
              <w:rPr>
                <w:rFonts w:eastAsia="Times New Roman" w:cs="Times New Roman"/>
                <w:sz w:val="20"/>
                <w:szCs w:val="20"/>
              </w:rPr>
            </w:pPr>
            <w:r>
              <w:rPr>
                <w:rFonts w:eastAsia="Times New Roman" w:cs="Times New Roman"/>
                <w:i/>
                <w:color w:val="000000"/>
                <w:sz w:val="20"/>
                <w:szCs w:val="20"/>
              </w:rPr>
              <w:t>lipsă date</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CA1644" w14:textId="77777777" w:rsidR="00670FD4" w:rsidRDefault="00670FD4" w:rsidP="001925BA">
            <w:pPr>
              <w:spacing w:after="0" w:line="240" w:lineRule="auto"/>
              <w:ind w:left="100" w:hanging="23"/>
              <w:rPr>
                <w:rFonts w:eastAsia="Times New Roman" w:cs="Times New Roman"/>
                <w:sz w:val="20"/>
                <w:szCs w:val="20"/>
              </w:rPr>
            </w:pPr>
            <w:r>
              <w:rPr>
                <w:rFonts w:eastAsia="Times New Roman" w:cs="Times New Roman"/>
                <w:color w:val="000000"/>
                <w:sz w:val="20"/>
                <w:szCs w:val="20"/>
              </w:rPr>
              <w:t>333,45</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C52D1C"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color w:val="000000"/>
                <w:sz w:val="20"/>
                <w:szCs w:val="20"/>
              </w:rPr>
              <w:t> </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604F23" w14:textId="77777777" w:rsidR="00670FD4" w:rsidRDefault="00670FD4" w:rsidP="001925BA">
            <w:pPr>
              <w:spacing w:after="0" w:line="240" w:lineRule="auto"/>
              <w:ind w:left="100" w:hanging="75"/>
              <w:rPr>
                <w:rFonts w:eastAsia="Times New Roman" w:cs="Times New Roman"/>
                <w:sz w:val="20"/>
                <w:szCs w:val="20"/>
              </w:rPr>
            </w:pPr>
            <w:r>
              <w:rPr>
                <w:rFonts w:eastAsia="Times New Roman" w:cs="Times New Roman"/>
                <w:color w:val="000000"/>
                <w:sz w:val="20"/>
                <w:szCs w:val="20"/>
              </w:rPr>
              <w:t>300,54</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C89B86"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color w:val="000000"/>
                <w:sz w:val="20"/>
                <w:szCs w:val="20"/>
              </w:rPr>
              <w:t> </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25034B28" w14:textId="77777777" w:rsidR="00670FD4" w:rsidRDefault="00670FD4" w:rsidP="001925BA">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Zone pentru activități turistice</w:t>
            </w:r>
          </w:p>
        </w:tc>
      </w:tr>
      <w:tr w:rsidR="00670FD4" w14:paraId="10F4B525" w14:textId="77777777" w:rsidTr="001925BA">
        <w:trPr>
          <w:trHeight w:val="230"/>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2F155367" w14:textId="77777777" w:rsidR="00670FD4" w:rsidRDefault="00670FD4" w:rsidP="001925BA">
            <w:pPr>
              <w:spacing w:after="0" w:line="240" w:lineRule="auto"/>
              <w:ind w:left="100" w:hanging="63"/>
              <w:rPr>
                <w:rFonts w:eastAsia="Times New Roman" w:cs="Times New Roman"/>
                <w:sz w:val="20"/>
                <w:szCs w:val="20"/>
              </w:rPr>
            </w:pPr>
            <w:r>
              <w:rPr>
                <w:rFonts w:eastAsia="Times New Roman" w:cs="Times New Roman"/>
                <w:color w:val="000000"/>
                <w:sz w:val="20"/>
                <w:szCs w:val="20"/>
              </w:rPr>
              <w:t>Agigea</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2D5C1A" w14:textId="77777777" w:rsidR="00670FD4" w:rsidRDefault="00670FD4" w:rsidP="001925BA">
            <w:pPr>
              <w:spacing w:after="0" w:line="240" w:lineRule="auto"/>
              <w:ind w:left="100" w:hanging="41"/>
              <w:rPr>
                <w:rFonts w:eastAsia="Times New Roman" w:cs="Times New Roman"/>
                <w:sz w:val="20"/>
                <w:szCs w:val="20"/>
              </w:rPr>
            </w:pPr>
            <w:r>
              <w:rPr>
                <w:rFonts w:eastAsia="Times New Roman" w:cs="Times New Roman"/>
                <w:i/>
                <w:color w:val="000000"/>
                <w:sz w:val="20"/>
                <w:szCs w:val="20"/>
              </w:rPr>
              <w:t>lipsă date</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332870" w14:textId="77777777" w:rsidR="00670FD4" w:rsidRDefault="00670FD4" w:rsidP="001925BA">
            <w:pPr>
              <w:spacing w:after="0" w:line="240" w:lineRule="auto"/>
              <w:ind w:left="100" w:hanging="23"/>
              <w:rPr>
                <w:rFonts w:eastAsia="Times New Roman" w:cs="Times New Roman"/>
                <w:sz w:val="20"/>
                <w:szCs w:val="20"/>
              </w:rPr>
            </w:pPr>
            <w:r>
              <w:rPr>
                <w:rFonts w:eastAsia="Times New Roman" w:cs="Times New Roman"/>
                <w:i/>
                <w:color w:val="000000"/>
                <w:sz w:val="20"/>
                <w:szCs w:val="20"/>
              </w:rPr>
              <w:t>lipsă date</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A3261C"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color w:val="000000"/>
                <w:sz w:val="20"/>
                <w:szCs w:val="20"/>
              </w:rPr>
              <w:t> </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F9B658" w14:textId="77777777" w:rsidR="00670FD4" w:rsidRDefault="00670FD4" w:rsidP="001925BA">
            <w:pPr>
              <w:spacing w:after="0" w:line="240" w:lineRule="auto"/>
              <w:ind w:left="100" w:hanging="75"/>
              <w:rPr>
                <w:rFonts w:eastAsia="Times New Roman" w:cs="Times New Roman"/>
                <w:sz w:val="20"/>
                <w:szCs w:val="20"/>
              </w:rPr>
            </w:pPr>
            <w:r>
              <w:rPr>
                <w:rFonts w:eastAsia="Times New Roman" w:cs="Times New Roman"/>
                <w:color w:val="000000"/>
                <w:sz w:val="20"/>
                <w:szCs w:val="20"/>
              </w:rPr>
              <w:t> </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D53452"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color w:val="000000"/>
                <w:sz w:val="20"/>
                <w:szCs w:val="20"/>
              </w:rPr>
              <w:t> </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41450C46" w14:textId="77777777" w:rsidR="00670FD4" w:rsidRDefault="00670FD4" w:rsidP="001925BA">
            <w:pPr>
              <w:spacing w:after="0" w:line="240" w:lineRule="auto"/>
              <w:ind w:hanging="101"/>
              <w:jc w:val="left"/>
              <w:rPr>
                <w:rFonts w:eastAsia="Times New Roman" w:cs="Times New Roman"/>
                <w:sz w:val="20"/>
                <w:szCs w:val="20"/>
              </w:rPr>
            </w:pPr>
          </w:p>
        </w:tc>
      </w:tr>
      <w:tr w:rsidR="00670FD4" w14:paraId="4538CD41" w14:textId="77777777" w:rsidTr="001925BA">
        <w:trPr>
          <w:trHeight w:val="448"/>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16D60C82" w14:textId="77777777" w:rsidR="00670FD4" w:rsidRDefault="00670FD4" w:rsidP="001925BA">
            <w:pPr>
              <w:spacing w:after="0" w:line="240" w:lineRule="auto"/>
              <w:ind w:left="100" w:hanging="63"/>
              <w:rPr>
                <w:rFonts w:eastAsia="Times New Roman" w:cs="Times New Roman"/>
                <w:sz w:val="20"/>
                <w:szCs w:val="20"/>
              </w:rPr>
            </w:pPr>
            <w:r>
              <w:rPr>
                <w:rFonts w:eastAsia="Times New Roman" w:cs="Times New Roman"/>
                <w:color w:val="000000"/>
                <w:sz w:val="20"/>
                <w:szCs w:val="20"/>
              </w:rPr>
              <w:t>Techirghiol</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AA9651" w14:textId="77777777" w:rsidR="00670FD4" w:rsidRDefault="00670FD4" w:rsidP="001925BA">
            <w:pPr>
              <w:spacing w:after="0" w:line="240" w:lineRule="auto"/>
              <w:ind w:left="100" w:hanging="41"/>
              <w:rPr>
                <w:rFonts w:eastAsia="Times New Roman" w:cs="Times New Roman"/>
                <w:sz w:val="20"/>
                <w:szCs w:val="20"/>
              </w:rPr>
            </w:pPr>
            <w:r>
              <w:rPr>
                <w:rFonts w:eastAsia="Times New Roman" w:cs="Times New Roman"/>
                <w:i/>
                <w:color w:val="000000"/>
                <w:sz w:val="20"/>
                <w:szCs w:val="20"/>
              </w:rPr>
              <w:t>lipsă date</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557905" w14:textId="77777777" w:rsidR="00670FD4" w:rsidRDefault="00670FD4" w:rsidP="001925BA">
            <w:pPr>
              <w:spacing w:after="0" w:line="240" w:lineRule="auto"/>
              <w:ind w:left="100" w:hanging="23"/>
              <w:rPr>
                <w:rFonts w:eastAsia="Times New Roman" w:cs="Times New Roman"/>
                <w:sz w:val="20"/>
                <w:szCs w:val="20"/>
              </w:rPr>
            </w:pPr>
            <w:r>
              <w:rPr>
                <w:rFonts w:eastAsia="Times New Roman" w:cs="Times New Roman"/>
                <w:i/>
                <w:color w:val="000000"/>
                <w:sz w:val="20"/>
                <w:szCs w:val="20"/>
              </w:rPr>
              <w:t>lipsă date</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107542"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color w:val="000000"/>
                <w:sz w:val="20"/>
                <w:szCs w:val="20"/>
              </w:rPr>
              <w:t> </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6F208C" w14:textId="77777777" w:rsidR="00670FD4" w:rsidRDefault="00670FD4" w:rsidP="001925BA">
            <w:pPr>
              <w:spacing w:after="0" w:line="240" w:lineRule="auto"/>
              <w:ind w:left="100" w:hanging="75"/>
              <w:rPr>
                <w:rFonts w:eastAsia="Times New Roman" w:cs="Times New Roman"/>
                <w:sz w:val="20"/>
                <w:szCs w:val="20"/>
              </w:rPr>
            </w:pPr>
            <w:r>
              <w:rPr>
                <w:rFonts w:eastAsia="Times New Roman" w:cs="Times New Roman"/>
                <w:color w:val="000000"/>
                <w:sz w:val="20"/>
                <w:szCs w:val="20"/>
              </w:rPr>
              <w:t>11,00</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405DD8"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color w:val="000000"/>
                <w:sz w:val="20"/>
                <w:szCs w:val="20"/>
              </w:rPr>
              <w:t>24,09</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455D1025" w14:textId="77777777" w:rsidR="00670FD4" w:rsidRDefault="00670FD4" w:rsidP="001925BA">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Instituții și servicii</w:t>
            </w:r>
          </w:p>
          <w:p w14:paraId="1E412BC4" w14:textId="77777777" w:rsidR="00670FD4" w:rsidRDefault="00670FD4" w:rsidP="001925BA">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de interes public</w:t>
            </w:r>
          </w:p>
        </w:tc>
      </w:tr>
      <w:tr w:rsidR="00670FD4" w14:paraId="29A5A875" w14:textId="77777777" w:rsidTr="001925BA">
        <w:trPr>
          <w:trHeight w:val="455"/>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2F27024B" w14:textId="77777777" w:rsidR="00670FD4" w:rsidRDefault="00670FD4" w:rsidP="001925BA">
            <w:pPr>
              <w:spacing w:after="0" w:line="240" w:lineRule="auto"/>
              <w:ind w:left="100" w:hanging="63"/>
              <w:rPr>
                <w:rFonts w:eastAsia="Times New Roman" w:cs="Times New Roman"/>
                <w:sz w:val="20"/>
                <w:szCs w:val="20"/>
              </w:rPr>
            </w:pPr>
            <w:r>
              <w:rPr>
                <w:rFonts w:eastAsia="Times New Roman" w:cs="Times New Roman"/>
                <w:color w:val="000000"/>
                <w:sz w:val="20"/>
                <w:szCs w:val="20"/>
              </w:rPr>
              <w:t>Eforie</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8FBC42" w14:textId="77777777" w:rsidR="00670FD4" w:rsidRDefault="00670FD4" w:rsidP="001925BA">
            <w:pPr>
              <w:spacing w:after="0" w:line="240" w:lineRule="auto"/>
              <w:ind w:left="100" w:hanging="41"/>
              <w:rPr>
                <w:rFonts w:eastAsia="Times New Roman" w:cs="Times New Roman"/>
                <w:sz w:val="20"/>
                <w:szCs w:val="20"/>
              </w:rPr>
            </w:pPr>
            <w:r>
              <w:rPr>
                <w:rFonts w:eastAsia="Times New Roman" w:cs="Times New Roman"/>
                <w:color w:val="000000"/>
                <w:sz w:val="20"/>
                <w:szCs w:val="20"/>
              </w:rPr>
              <w:t>155,00</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35EE9E" w14:textId="77777777" w:rsidR="00670FD4" w:rsidRDefault="00670FD4" w:rsidP="001925BA">
            <w:pPr>
              <w:spacing w:after="0" w:line="240" w:lineRule="auto"/>
              <w:ind w:left="100" w:hanging="23"/>
              <w:rPr>
                <w:rFonts w:eastAsia="Times New Roman" w:cs="Times New Roman"/>
                <w:sz w:val="20"/>
                <w:szCs w:val="20"/>
              </w:rPr>
            </w:pPr>
            <w:r>
              <w:rPr>
                <w:rFonts w:eastAsia="Times New Roman" w:cs="Times New Roman"/>
                <w:color w:val="000000"/>
                <w:sz w:val="20"/>
                <w:szCs w:val="20"/>
              </w:rPr>
              <w:t>236,50</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0FF78B"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color w:val="000000"/>
                <w:sz w:val="20"/>
                <w:szCs w:val="20"/>
              </w:rPr>
              <w:t> </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9868AA" w14:textId="77777777" w:rsidR="00670FD4" w:rsidRDefault="00670FD4" w:rsidP="001925BA">
            <w:pPr>
              <w:spacing w:after="0" w:line="240" w:lineRule="auto"/>
              <w:ind w:left="100" w:hanging="75"/>
              <w:rPr>
                <w:rFonts w:eastAsia="Times New Roman" w:cs="Times New Roman"/>
                <w:sz w:val="20"/>
                <w:szCs w:val="20"/>
              </w:rPr>
            </w:pPr>
            <w:r>
              <w:rPr>
                <w:rFonts w:eastAsia="Times New Roman" w:cs="Times New Roman"/>
                <w:color w:val="000000"/>
                <w:sz w:val="20"/>
                <w:szCs w:val="20"/>
              </w:rPr>
              <w:t> </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F3FB13"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color w:val="000000"/>
                <w:sz w:val="20"/>
                <w:szCs w:val="20"/>
              </w:rPr>
              <w:t> </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21F40662" w14:textId="77777777" w:rsidR="00670FD4" w:rsidRDefault="00670FD4" w:rsidP="001925BA">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Zone pentru activități turistice</w:t>
            </w:r>
          </w:p>
        </w:tc>
      </w:tr>
      <w:tr w:rsidR="00670FD4" w14:paraId="5EC2D2CB" w14:textId="77777777" w:rsidTr="001925BA">
        <w:trPr>
          <w:trHeight w:val="455"/>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533C5596" w14:textId="77777777" w:rsidR="00670FD4" w:rsidRDefault="00670FD4" w:rsidP="001925BA">
            <w:pPr>
              <w:spacing w:after="0" w:line="240" w:lineRule="auto"/>
              <w:ind w:left="100" w:hanging="63"/>
              <w:rPr>
                <w:rFonts w:eastAsia="Times New Roman" w:cs="Times New Roman"/>
                <w:sz w:val="20"/>
                <w:szCs w:val="20"/>
              </w:rPr>
            </w:pPr>
            <w:r>
              <w:rPr>
                <w:rFonts w:eastAsia="Times New Roman" w:cs="Times New Roman"/>
                <w:color w:val="000000"/>
                <w:sz w:val="20"/>
                <w:szCs w:val="20"/>
              </w:rPr>
              <w:t>Tuzla</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AC4777" w14:textId="77777777" w:rsidR="00670FD4" w:rsidRDefault="00670FD4" w:rsidP="001925BA">
            <w:pPr>
              <w:spacing w:after="0" w:line="240" w:lineRule="auto"/>
              <w:ind w:left="100" w:hanging="41"/>
              <w:rPr>
                <w:rFonts w:eastAsia="Times New Roman" w:cs="Times New Roman"/>
                <w:sz w:val="20"/>
                <w:szCs w:val="20"/>
              </w:rPr>
            </w:pPr>
            <w:r>
              <w:rPr>
                <w:rFonts w:eastAsia="Times New Roman" w:cs="Times New Roman"/>
                <w:i/>
                <w:color w:val="000000"/>
                <w:sz w:val="20"/>
                <w:szCs w:val="20"/>
              </w:rPr>
              <w:t>lipsă date</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3E7042" w14:textId="77777777" w:rsidR="00670FD4" w:rsidRDefault="00670FD4" w:rsidP="001925BA">
            <w:pPr>
              <w:spacing w:after="0" w:line="240" w:lineRule="auto"/>
              <w:ind w:left="100" w:hanging="23"/>
              <w:rPr>
                <w:rFonts w:eastAsia="Times New Roman" w:cs="Times New Roman"/>
                <w:sz w:val="20"/>
                <w:szCs w:val="20"/>
              </w:rPr>
            </w:pPr>
            <w:r>
              <w:rPr>
                <w:rFonts w:eastAsia="Times New Roman" w:cs="Times New Roman"/>
                <w:color w:val="000000"/>
                <w:sz w:val="20"/>
                <w:szCs w:val="20"/>
              </w:rPr>
              <w:t>28,00</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654727"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color w:val="000000"/>
                <w:sz w:val="20"/>
                <w:szCs w:val="20"/>
              </w:rPr>
              <w:t> </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677F54" w14:textId="77777777" w:rsidR="00670FD4" w:rsidRDefault="00670FD4" w:rsidP="001925BA">
            <w:pPr>
              <w:spacing w:after="0" w:line="240" w:lineRule="auto"/>
              <w:ind w:left="100" w:hanging="75"/>
              <w:rPr>
                <w:rFonts w:eastAsia="Times New Roman" w:cs="Times New Roman"/>
                <w:sz w:val="20"/>
                <w:szCs w:val="20"/>
              </w:rPr>
            </w:pPr>
            <w:r>
              <w:rPr>
                <w:rFonts w:eastAsia="Times New Roman" w:cs="Times New Roman"/>
                <w:color w:val="000000"/>
                <w:sz w:val="20"/>
                <w:szCs w:val="20"/>
              </w:rPr>
              <w:t> </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8CA364"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color w:val="000000"/>
                <w:sz w:val="20"/>
                <w:szCs w:val="20"/>
              </w:rPr>
              <w:t> </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15650022" w14:textId="77777777" w:rsidR="00670FD4" w:rsidRDefault="00670FD4" w:rsidP="001925BA">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Zone pentru activități turistice</w:t>
            </w:r>
          </w:p>
        </w:tc>
      </w:tr>
      <w:tr w:rsidR="00670FD4" w14:paraId="067060FC" w14:textId="77777777" w:rsidTr="001925BA">
        <w:trPr>
          <w:trHeight w:val="455"/>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731DA9A8" w14:textId="77777777" w:rsidR="00670FD4" w:rsidRDefault="00670FD4" w:rsidP="001925BA">
            <w:pPr>
              <w:spacing w:after="0" w:line="240" w:lineRule="auto"/>
              <w:ind w:left="100" w:hanging="63"/>
              <w:rPr>
                <w:rFonts w:eastAsia="Times New Roman" w:cs="Times New Roman"/>
                <w:sz w:val="20"/>
                <w:szCs w:val="20"/>
              </w:rPr>
            </w:pPr>
            <w:r>
              <w:rPr>
                <w:rFonts w:eastAsia="Times New Roman" w:cs="Times New Roman"/>
                <w:color w:val="000000"/>
                <w:sz w:val="20"/>
                <w:szCs w:val="20"/>
              </w:rPr>
              <w:t>Costinești</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029228" w14:textId="77777777" w:rsidR="00670FD4" w:rsidRDefault="00670FD4" w:rsidP="001925BA">
            <w:pPr>
              <w:spacing w:after="0" w:line="240" w:lineRule="auto"/>
              <w:ind w:left="100" w:hanging="41"/>
              <w:rPr>
                <w:rFonts w:eastAsia="Times New Roman" w:cs="Times New Roman"/>
                <w:sz w:val="20"/>
                <w:szCs w:val="20"/>
              </w:rPr>
            </w:pPr>
            <w:r>
              <w:rPr>
                <w:rFonts w:eastAsia="Times New Roman" w:cs="Times New Roman"/>
                <w:i/>
                <w:color w:val="000000"/>
                <w:sz w:val="20"/>
                <w:szCs w:val="20"/>
              </w:rPr>
              <w:t>lipsă date</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ADF9C1" w14:textId="77777777" w:rsidR="00670FD4" w:rsidRDefault="00670FD4" w:rsidP="001925BA">
            <w:pPr>
              <w:spacing w:after="0" w:line="240" w:lineRule="auto"/>
              <w:ind w:left="100" w:hanging="23"/>
              <w:rPr>
                <w:rFonts w:eastAsia="Times New Roman" w:cs="Times New Roman"/>
                <w:sz w:val="20"/>
                <w:szCs w:val="20"/>
              </w:rPr>
            </w:pPr>
            <w:r>
              <w:rPr>
                <w:rFonts w:eastAsia="Times New Roman" w:cs="Times New Roman"/>
                <w:color w:val="000000"/>
                <w:sz w:val="20"/>
                <w:szCs w:val="20"/>
              </w:rPr>
              <w:t>529,01</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52FFD6"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color w:val="000000"/>
                <w:sz w:val="20"/>
                <w:szCs w:val="20"/>
              </w:rPr>
              <w:t> </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2D7A5B" w14:textId="77777777" w:rsidR="00670FD4" w:rsidRDefault="00670FD4" w:rsidP="001925BA">
            <w:pPr>
              <w:spacing w:after="0" w:line="240" w:lineRule="auto"/>
              <w:ind w:left="100" w:hanging="75"/>
              <w:rPr>
                <w:rFonts w:eastAsia="Times New Roman" w:cs="Times New Roman"/>
                <w:sz w:val="20"/>
                <w:szCs w:val="20"/>
              </w:rPr>
            </w:pPr>
            <w:r>
              <w:rPr>
                <w:rFonts w:eastAsia="Times New Roman" w:cs="Times New Roman"/>
                <w:color w:val="000000"/>
                <w:sz w:val="20"/>
                <w:szCs w:val="20"/>
              </w:rPr>
              <w:t> </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BBB5B6"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color w:val="000000"/>
                <w:sz w:val="20"/>
                <w:szCs w:val="20"/>
              </w:rPr>
              <w:t> </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7036EEB4" w14:textId="77777777" w:rsidR="00670FD4" w:rsidRDefault="00670FD4" w:rsidP="001925BA">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Zone pentru activități turistice</w:t>
            </w:r>
          </w:p>
        </w:tc>
      </w:tr>
      <w:tr w:rsidR="00670FD4" w14:paraId="7DFE2870" w14:textId="77777777" w:rsidTr="001925BA">
        <w:trPr>
          <w:trHeight w:val="455"/>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2045651D" w14:textId="77777777" w:rsidR="00670FD4" w:rsidRDefault="00670FD4" w:rsidP="001925BA">
            <w:pPr>
              <w:spacing w:after="0" w:line="240" w:lineRule="auto"/>
              <w:ind w:left="100" w:hanging="63"/>
              <w:rPr>
                <w:rFonts w:eastAsia="Times New Roman" w:cs="Times New Roman"/>
                <w:sz w:val="20"/>
                <w:szCs w:val="20"/>
              </w:rPr>
            </w:pPr>
            <w:r>
              <w:rPr>
                <w:rFonts w:eastAsia="Times New Roman" w:cs="Times New Roman"/>
                <w:color w:val="000000"/>
                <w:sz w:val="20"/>
                <w:szCs w:val="20"/>
              </w:rPr>
              <w:t>23 August</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44BA8A" w14:textId="77777777" w:rsidR="00670FD4" w:rsidRDefault="00670FD4" w:rsidP="001925BA">
            <w:pPr>
              <w:spacing w:after="0" w:line="240" w:lineRule="auto"/>
              <w:ind w:left="100" w:hanging="41"/>
              <w:rPr>
                <w:rFonts w:eastAsia="Times New Roman" w:cs="Times New Roman"/>
                <w:sz w:val="20"/>
                <w:szCs w:val="20"/>
              </w:rPr>
            </w:pPr>
            <w:r>
              <w:rPr>
                <w:rFonts w:eastAsia="Times New Roman" w:cs="Times New Roman"/>
                <w:i/>
                <w:color w:val="000000"/>
                <w:sz w:val="20"/>
                <w:szCs w:val="20"/>
              </w:rPr>
              <w:t>lipsă date</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B51207" w14:textId="77777777" w:rsidR="00670FD4" w:rsidRDefault="00670FD4" w:rsidP="001925BA">
            <w:pPr>
              <w:spacing w:after="0" w:line="240" w:lineRule="auto"/>
              <w:ind w:left="100" w:hanging="23"/>
              <w:rPr>
                <w:rFonts w:eastAsia="Times New Roman" w:cs="Times New Roman"/>
                <w:sz w:val="20"/>
                <w:szCs w:val="20"/>
              </w:rPr>
            </w:pPr>
            <w:r>
              <w:rPr>
                <w:rFonts w:eastAsia="Times New Roman" w:cs="Times New Roman"/>
                <w:i/>
                <w:color w:val="000000"/>
                <w:sz w:val="20"/>
                <w:szCs w:val="20"/>
              </w:rPr>
              <w:t>lipsă date</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8184D7"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color w:val="000000"/>
                <w:sz w:val="20"/>
                <w:szCs w:val="20"/>
              </w:rPr>
              <w:t>62,20</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D1EDF8" w14:textId="77777777" w:rsidR="00670FD4" w:rsidRDefault="00670FD4" w:rsidP="001925BA">
            <w:pPr>
              <w:spacing w:after="0" w:line="240" w:lineRule="auto"/>
              <w:ind w:left="100" w:hanging="75"/>
              <w:rPr>
                <w:rFonts w:eastAsia="Times New Roman" w:cs="Times New Roman"/>
                <w:sz w:val="20"/>
                <w:szCs w:val="20"/>
              </w:rPr>
            </w:pPr>
            <w:r>
              <w:rPr>
                <w:rFonts w:eastAsia="Times New Roman" w:cs="Times New Roman"/>
                <w:color w:val="000000"/>
                <w:sz w:val="20"/>
                <w:szCs w:val="20"/>
              </w:rPr>
              <w:t> </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A30FF9"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color w:val="000000"/>
                <w:sz w:val="20"/>
                <w:szCs w:val="20"/>
              </w:rPr>
              <w:t> </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0AA884DF" w14:textId="77777777" w:rsidR="00670FD4" w:rsidRDefault="00670FD4" w:rsidP="001925BA">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Zone pentru activități turistice</w:t>
            </w:r>
          </w:p>
        </w:tc>
      </w:tr>
      <w:tr w:rsidR="00670FD4" w14:paraId="64DD9484" w14:textId="77777777" w:rsidTr="001925BA">
        <w:trPr>
          <w:trHeight w:val="570"/>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1A625CB2" w14:textId="77777777" w:rsidR="00670FD4" w:rsidRDefault="00670FD4" w:rsidP="001925BA">
            <w:pPr>
              <w:spacing w:after="0" w:line="240" w:lineRule="auto"/>
              <w:ind w:left="100" w:hanging="63"/>
              <w:rPr>
                <w:rFonts w:eastAsia="Times New Roman" w:cs="Times New Roman"/>
                <w:sz w:val="20"/>
                <w:szCs w:val="20"/>
              </w:rPr>
            </w:pPr>
            <w:r>
              <w:rPr>
                <w:rFonts w:eastAsia="Times New Roman" w:cs="Times New Roman"/>
                <w:color w:val="000000"/>
                <w:sz w:val="20"/>
                <w:szCs w:val="20"/>
              </w:rPr>
              <w:t>Mangalia</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8AC83E" w14:textId="77777777" w:rsidR="00670FD4" w:rsidRDefault="00670FD4" w:rsidP="001925BA">
            <w:pPr>
              <w:spacing w:after="0" w:line="240" w:lineRule="auto"/>
              <w:ind w:left="100" w:hanging="41"/>
              <w:rPr>
                <w:rFonts w:eastAsia="Times New Roman" w:cs="Times New Roman"/>
                <w:sz w:val="20"/>
                <w:szCs w:val="20"/>
              </w:rPr>
            </w:pPr>
            <w:r>
              <w:rPr>
                <w:rFonts w:eastAsia="Times New Roman" w:cs="Times New Roman"/>
                <w:color w:val="000000"/>
                <w:sz w:val="20"/>
                <w:szCs w:val="20"/>
              </w:rPr>
              <w:t>463,07</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30D97A" w14:textId="77777777" w:rsidR="00670FD4" w:rsidRDefault="00670FD4" w:rsidP="001925BA">
            <w:pPr>
              <w:spacing w:after="0" w:line="240" w:lineRule="auto"/>
              <w:ind w:left="100" w:hanging="23"/>
              <w:rPr>
                <w:rFonts w:eastAsia="Times New Roman" w:cs="Times New Roman"/>
                <w:sz w:val="20"/>
                <w:szCs w:val="20"/>
              </w:rPr>
            </w:pPr>
            <w:r>
              <w:rPr>
                <w:rFonts w:eastAsia="Times New Roman" w:cs="Times New Roman"/>
                <w:color w:val="000000"/>
                <w:sz w:val="20"/>
                <w:szCs w:val="20"/>
              </w:rPr>
              <w:t>562,11</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13E6D2"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color w:val="000000"/>
                <w:sz w:val="20"/>
                <w:szCs w:val="20"/>
              </w:rPr>
              <w:t> </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8B0DC3" w14:textId="77777777" w:rsidR="00670FD4" w:rsidRDefault="00670FD4" w:rsidP="001925BA">
            <w:pPr>
              <w:spacing w:after="0" w:line="240" w:lineRule="auto"/>
              <w:ind w:left="100" w:hanging="75"/>
              <w:rPr>
                <w:rFonts w:eastAsia="Times New Roman" w:cs="Times New Roman"/>
                <w:sz w:val="20"/>
                <w:szCs w:val="20"/>
              </w:rPr>
            </w:pPr>
            <w:r>
              <w:rPr>
                <w:rFonts w:eastAsia="Times New Roman" w:cs="Times New Roman"/>
                <w:color w:val="000000"/>
                <w:sz w:val="20"/>
                <w:szCs w:val="20"/>
              </w:rPr>
              <w:t> </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9BB4E6"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color w:val="000000"/>
                <w:sz w:val="20"/>
                <w:szCs w:val="20"/>
              </w:rPr>
              <w:t> </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7D77CB32" w14:textId="77777777" w:rsidR="00670FD4" w:rsidRDefault="00670FD4" w:rsidP="001925BA">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Instituții și servicii</w:t>
            </w:r>
          </w:p>
          <w:p w14:paraId="77BB3B44" w14:textId="77777777" w:rsidR="00670FD4" w:rsidRDefault="00670FD4" w:rsidP="001925BA">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de interes public</w:t>
            </w:r>
          </w:p>
        </w:tc>
      </w:tr>
      <w:tr w:rsidR="00670FD4" w14:paraId="546B7F3B" w14:textId="77777777" w:rsidTr="001925BA">
        <w:trPr>
          <w:trHeight w:val="455"/>
          <w:jc w:val="center"/>
        </w:trPr>
        <w:tc>
          <w:tcPr>
            <w:tcW w:w="1254" w:type="dxa"/>
            <w:tcBorders>
              <w:top w:val="single" w:sz="8" w:space="0" w:color="000000"/>
              <w:left w:val="single" w:sz="4" w:space="0" w:color="000000"/>
              <w:bottom w:val="single" w:sz="4" w:space="0" w:color="000000"/>
              <w:right w:val="single" w:sz="8" w:space="0" w:color="000000"/>
            </w:tcBorders>
            <w:tcMar>
              <w:top w:w="100" w:type="dxa"/>
              <w:left w:w="100" w:type="dxa"/>
              <w:bottom w:w="100" w:type="dxa"/>
              <w:right w:w="100" w:type="dxa"/>
            </w:tcMar>
          </w:tcPr>
          <w:p w14:paraId="23976CB0" w14:textId="77777777" w:rsidR="00670FD4" w:rsidRDefault="00670FD4" w:rsidP="001925BA">
            <w:pPr>
              <w:spacing w:after="0" w:line="240" w:lineRule="auto"/>
              <w:ind w:left="100" w:hanging="63"/>
              <w:rPr>
                <w:rFonts w:eastAsia="Times New Roman" w:cs="Times New Roman"/>
                <w:sz w:val="20"/>
                <w:szCs w:val="20"/>
              </w:rPr>
            </w:pPr>
            <w:r>
              <w:rPr>
                <w:rFonts w:eastAsia="Times New Roman" w:cs="Times New Roman"/>
                <w:color w:val="000000"/>
                <w:sz w:val="20"/>
                <w:szCs w:val="20"/>
              </w:rPr>
              <w:t>Limanu</w:t>
            </w:r>
          </w:p>
        </w:tc>
        <w:tc>
          <w:tcPr>
            <w:tcW w:w="1216"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03316286" w14:textId="77777777" w:rsidR="00670FD4" w:rsidRDefault="00670FD4" w:rsidP="001925BA">
            <w:pPr>
              <w:spacing w:after="0" w:line="240" w:lineRule="auto"/>
              <w:ind w:left="100" w:hanging="41"/>
              <w:rPr>
                <w:rFonts w:eastAsia="Times New Roman" w:cs="Times New Roman"/>
                <w:sz w:val="20"/>
                <w:szCs w:val="20"/>
              </w:rPr>
            </w:pPr>
            <w:r>
              <w:rPr>
                <w:rFonts w:eastAsia="Times New Roman" w:cs="Times New Roman"/>
                <w:color w:val="000000"/>
                <w:sz w:val="20"/>
                <w:szCs w:val="20"/>
              </w:rPr>
              <w:t>5,07</w:t>
            </w:r>
          </w:p>
        </w:tc>
        <w:tc>
          <w:tcPr>
            <w:tcW w:w="1082"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189D6634" w14:textId="77777777" w:rsidR="00670FD4" w:rsidRDefault="00670FD4" w:rsidP="001925BA">
            <w:pPr>
              <w:spacing w:after="0" w:line="240" w:lineRule="auto"/>
              <w:ind w:left="100" w:hanging="23"/>
              <w:rPr>
                <w:rFonts w:eastAsia="Times New Roman" w:cs="Times New Roman"/>
                <w:sz w:val="20"/>
                <w:szCs w:val="20"/>
              </w:rPr>
            </w:pPr>
            <w:r>
              <w:rPr>
                <w:rFonts w:eastAsia="Times New Roman" w:cs="Times New Roman"/>
                <w:color w:val="000000"/>
                <w:sz w:val="20"/>
                <w:szCs w:val="20"/>
              </w:rPr>
              <w:t>5,07</w:t>
            </w:r>
          </w:p>
        </w:tc>
        <w:tc>
          <w:tcPr>
            <w:tcW w:w="1421"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6966A338"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color w:val="000000"/>
                <w:sz w:val="20"/>
                <w:szCs w:val="20"/>
              </w:rPr>
              <w:t>37,12</w:t>
            </w:r>
          </w:p>
        </w:tc>
        <w:tc>
          <w:tcPr>
            <w:tcW w:w="1375"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21909362" w14:textId="77777777" w:rsidR="00670FD4" w:rsidRDefault="00670FD4" w:rsidP="001925BA">
            <w:pPr>
              <w:spacing w:after="0" w:line="240" w:lineRule="auto"/>
              <w:ind w:left="100" w:hanging="75"/>
              <w:rPr>
                <w:rFonts w:eastAsia="Times New Roman" w:cs="Times New Roman"/>
                <w:sz w:val="20"/>
                <w:szCs w:val="20"/>
              </w:rPr>
            </w:pPr>
            <w:r>
              <w:rPr>
                <w:rFonts w:eastAsia="Times New Roman" w:cs="Times New Roman"/>
                <w:color w:val="000000"/>
                <w:sz w:val="20"/>
                <w:szCs w:val="20"/>
              </w:rPr>
              <w:t> </w:t>
            </w:r>
          </w:p>
        </w:tc>
        <w:tc>
          <w:tcPr>
            <w:tcW w:w="1345"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4272C9A1" w14:textId="77777777" w:rsidR="00670FD4" w:rsidRDefault="00670FD4" w:rsidP="001925BA">
            <w:pPr>
              <w:spacing w:after="0" w:line="240" w:lineRule="auto"/>
              <w:ind w:left="100" w:firstLine="0"/>
              <w:rPr>
                <w:rFonts w:eastAsia="Times New Roman" w:cs="Times New Roman"/>
                <w:sz w:val="20"/>
                <w:szCs w:val="20"/>
              </w:rPr>
            </w:pPr>
            <w:r>
              <w:rPr>
                <w:rFonts w:eastAsia="Times New Roman" w:cs="Times New Roman"/>
                <w:color w:val="000000"/>
                <w:sz w:val="20"/>
                <w:szCs w:val="20"/>
              </w:rPr>
              <w:t> </w:t>
            </w:r>
          </w:p>
        </w:tc>
        <w:tc>
          <w:tcPr>
            <w:tcW w:w="1323" w:type="dxa"/>
            <w:tcBorders>
              <w:top w:val="single" w:sz="8" w:space="0" w:color="000000"/>
              <w:left w:val="single" w:sz="8" w:space="0" w:color="000000"/>
              <w:bottom w:val="single" w:sz="4" w:space="0" w:color="000000"/>
              <w:right w:val="single" w:sz="4" w:space="0" w:color="000000"/>
            </w:tcBorders>
            <w:tcMar>
              <w:top w:w="100" w:type="dxa"/>
              <w:left w:w="100" w:type="dxa"/>
              <w:bottom w:w="100" w:type="dxa"/>
              <w:right w:w="100" w:type="dxa"/>
            </w:tcMar>
          </w:tcPr>
          <w:p w14:paraId="48ADF3B7" w14:textId="77777777" w:rsidR="00670FD4" w:rsidRDefault="00670FD4" w:rsidP="001925BA">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Zone pentru activități turistice</w:t>
            </w:r>
          </w:p>
        </w:tc>
      </w:tr>
    </w:tbl>
    <w:p w14:paraId="3AFCECC6" w14:textId="77777777" w:rsidR="00670FD4" w:rsidRDefault="00670FD4" w:rsidP="00670FD4">
      <w:pPr>
        <w:ind w:firstLine="567"/>
        <w:rPr>
          <w:rFonts w:eastAsia="Times New Roman" w:cs="Times New Roman"/>
          <w:color w:val="FF0000"/>
        </w:rPr>
      </w:pPr>
      <w:r>
        <w:rPr>
          <w:rFonts w:eastAsia="Times New Roman" w:cs="Times New Roman"/>
          <w:color w:val="000000"/>
          <w:sz w:val="20"/>
          <w:szCs w:val="20"/>
        </w:rPr>
        <w:t>* Suprafața totală pentru zona de instituții și servicii publice menționată în Raportul de mediu aferent actualizare PUG este 680,11 ha din care 677,84 ha este ocupată de un parc eolian aprobat prin PUZ 2012. Dacă se exclude suprafața parcului eolian rezultă o suprafață de 2,27 ha, în scădere față de suprafața existentă</w:t>
      </w:r>
    </w:p>
    <w:p w14:paraId="141448D1" w14:textId="77777777" w:rsidR="00670FD4" w:rsidRDefault="00670FD4" w:rsidP="00670FD4">
      <w:pPr>
        <w:ind w:firstLine="567"/>
        <w:rPr>
          <w:rFonts w:eastAsia="Times New Roman" w:cs="Times New Roman"/>
          <w:color w:val="FF0000"/>
        </w:rPr>
      </w:pPr>
    </w:p>
    <w:p w14:paraId="693A2814" w14:textId="77777777" w:rsidR="00670FD4" w:rsidRDefault="00670FD4" w:rsidP="00670FD4">
      <w:pPr>
        <w:spacing w:before="0"/>
        <w:jc w:val="center"/>
        <w:rPr>
          <w:rFonts w:eastAsia="Times New Roman" w:cs="Times New Roman"/>
        </w:rPr>
      </w:pPr>
      <w:r>
        <w:rPr>
          <w:rFonts w:eastAsia="Times New Roman" w:cs="Times New Roman"/>
          <w:b/>
        </w:rPr>
        <w:t>Tabel 4.8.8.7 Zone cu activități mixte - Locuire și Turism (conform datelor din planurile urbanistice generale)</w:t>
      </w:r>
    </w:p>
    <w:tbl>
      <w:tblPr>
        <w:tblW w:w="9006" w:type="dxa"/>
        <w:tblLayout w:type="fixed"/>
        <w:tblLook w:val="0400" w:firstRow="0" w:lastRow="0" w:firstColumn="0" w:lastColumn="0" w:noHBand="0" w:noVBand="1"/>
      </w:tblPr>
      <w:tblGrid>
        <w:gridCol w:w="1304"/>
        <w:gridCol w:w="1963"/>
        <w:gridCol w:w="1584"/>
        <w:gridCol w:w="2009"/>
        <w:gridCol w:w="2146"/>
      </w:tblGrid>
      <w:tr w:rsidR="00670FD4" w14:paraId="45BF7CBE" w14:textId="77777777" w:rsidTr="001925BA">
        <w:trPr>
          <w:trHeight w:val="513"/>
        </w:trPr>
        <w:tc>
          <w:tcPr>
            <w:tcW w:w="1304"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77208345" w14:textId="77777777" w:rsidR="00670FD4" w:rsidRDefault="00670FD4" w:rsidP="001925BA">
            <w:pPr>
              <w:spacing w:after="0" w:line="240" w:lineRule="auto"/>
              <w:ind w:left="100" w:hanging="68"/>
              <w:jc w:val="center"/>
              <w:rPr>
                <w:rFonts w:eastAsia="Times New Roman" w:cs="Times New Roman"/>
                <w:b/>
                <w:sz w:val="20"/>
                <w:szCs w:val="20"/>
              </w:rPr>
            </w:pPr>
            <w:r>
              <w:rPr>
                <w:rFonts w:eastAsia="Times New Roman" w:cs="Times New Roman"/>
                <w:b/>
                <w:sz w:val="20"/>
                <w:szCs w:val="20"/>
              </w:rPr>
              <w:t>UAT</w:t>
            </w:r>
          </w:p>
        </w:tc>
        <w:tc>
          <w:tcPr>
            <w:tcW w:w="1963"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3558DF82" w14:textId="77777777" w:rsidR="00670FD4" w:rsidRDefault="00670FD4" w:rsidP="001925BA">
            <w:pPr>
              <w:spacing w:after="0" w:line="240" w:lineRule="auto"/>
              <w:ind w:left="100" w:hanging="100"/>
              <w:jc w:val="center"/>
              <w:rPr>
                <w:rFonts w:eastAsia="Times New Roman" w:cs="Times New Roman"/>
                <w:b/>
                <w:sz w:val="20"/>
                <w:szCs w:val="20"/>
              </w:rPr>
            </w:pPr>
            <w:r>
              <w:rPr>
                <w:rFonts w:eastAsia="Times New Roman" w:cs="Times New Roman"/>
                <w:b/>
                <w:sz w:val="20"/>
                <w:szCs w:val="20"/>
              </w:rPr>
              <w:t>Existente la data aprobării PUG (ha)</w:t>
            </w:r>
          </w:p>
        </w:tc>
        <w:tc>
          <w:tcPr>
            <w:tcW w:w="1584"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2D83585E" w14:textId="77777777" w:rsidR="00670FD4" w:rsidRDefault="00670FD4" w:rsidP="001925BA">
            <w:pPr>
              <w:spacing w:after="0" w:line="240" w:lineRule="auto"/>
              <w:ind w:left="100" w:hanging="100"/>
              <w:jc w:val="center"/>
              <w:rPr>
                <w:rFonts w:eastAsia="Times New Roman" w:cs="Times New Roman"/>
                <w:b/>
                <w:sz w:val="20"/>
                <w:szCs w:val="20"/>
              </w:rPr>
            </w:pPr>
            <w:r>
              <w:rPr>
                <w:rFonts w:eastAsia="Times New Roman" w:cs="Times New Roman"/>
                <w:b/>
                <w:sz w:val="20"/>
                <w:szCs w:val="20"/>
              </w:rPr>
              <w:t>Aprobate prin PUG (ha)</w:t>
            </w:r>
          </w:p>
        </w:tc>
        <w:tc>
          <w:tcPr>
            <w:tcW w:w="2009"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22E1D555" w14:textId="77777777" w:rsidR="00670FD4" w:rsidRDefault="00670FD4" w:rsidP="001925BA">
            <w:pPr>
              <w:spacing w:after="0" w:line="240" w:lineRule="auto"/>
              <w:ind w:left="100" w:hanging="100"/>
              <w:jc w:val="center"/>
              <w:rPr>
                <w:rFonts w:eastAsia="Times New Roman" w:cs="Times New Roman"/>
                <w:b/>
                <w:sz w:val="20"/>
                <w:szCs w:val="20"/>
              </w:rPr>
            </w:pPr>
            <w:r>
              <w:rPr>
                <w:rFonts w:eastAsia="Times New Roman" w:cs="Times New Roman"/>
                <w:b/>
                <w:sz w:val="20"/>
                <w:szCs w:val="20"/>
              </w:rPr>
              <w:t>Existente la data actualizării PUG (ha)</w:t>
            </w:r>
          </w:p>
        </w:tc>
        <w:tc>
          <w:tcPr>
            <w:tcW w:w="2146"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4CC1E6C9" w14:textId="77777777" w:rsidR="00670FD4" w:rsidRDefault="00670FD4" w:rsidP="001925BA">
            <w:pPr>
              <w:spacing w:after="0" w:line="240" w:lineRule="auto"/>
              <w:ind w:left="100" w:hanging="100"/>
              <w:jc w:val="center"/>
              <w:rPr>
                <w:rFonts w:eastAsia="Times New Roman" w:cs="Times New Roman"/>
                <w:b/>
                <w:sz w:val="20"/>
                <w:szCs w:val="20"/>
              </w:rPr>
            </w:pPr>
            <w:r>
              <w:rPr>
                <w:rFonts w:eastAsia="Times New Roman" w:cs="Times New Roman"/>
                <w:b/>
                <w:sz w:val="20"/>
                <w:szCs w:val="20"/>
              </w:rPr>
              <w:t>Propus prin PUG în curs de actualizare (ha)</w:t>
            </w:r>
          </w:p>
        </w:tc>
      </w:tr>
      <w:tr w:rsidR="00670FD4" w14:paraId="11749EE2" w14:textId="77777777" w:rsidTr="001925BA">
        <w:trPr>
          <w:trHeight w:val="248"/>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E21690D"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sz w:val="20"/>
                <w:szCs w:val="20"/>
              </w:rPr>
              <w:t>C.A.Rosetti</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2C8045E"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0</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E5C7287" w14:textId="77777777" w:rsidR="00670FD4" w:rsidRDefault="00670FD4" w:rsidP="001925BA">
            <w:pPr>
              <w:spacing w:after="0" w:line="240" w:lineRule="auto"/>
              <w:ind w:left="100" w:hanging="100"/>
              <w:jc w:val="right"/>
              <w:rPr>
                <w:rFonts w:eastAsia="Times New Roman" w:cs="Times New Roman"/>
                <w:sz w:val="20"/>
                <w:szCs w:val="20"/>
              </w:rPr>
            </w:pPr>
            <w:r>
              <w:rPr>
                <w:rFonts w:eastAsia="Times New Roman" w:cs="Times New Roman"/>
                <w:sz w:val="20"/>
                <w:szCs w:val="20"/>
              </w:rPr>
              <w:t>0</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BA2597F"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 </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E50164E" w14:textId="77777777" w:rsidR="00670FD4" w:rsidRDefault="00670FD4" w:rsidP="001925BA">
            <w:pPr>
              <w:spacing w:after="0" w:line="240" w:lineRule="auto"/>
              <w:ind w:left="100"/>
              <w:jc w:val="center"/>
              <w:rPr>
                <w:rFonts w:eastAsia="Times New Roman" w:cs="Times New Roman"/>
                <w:sz w:val="20"/>
                <w:szCs w:val="20"/>
              </w:rPr>
            </w:pPr>
            <w:r>
              <w:rPr>
                <w:rFonts w:eastAsia="Times New Roman" w:cs="Times New Roman"/>
                <w:sz w:val="20"/>
                <w:szCs w:val="20"/>
              </w:rPr>
              <w:t> </w:t>
            </w:r>
          </w:p>
        </w:tc>
      </w:tr>
      <w:tr w:rsidR="00670FD4" w14:paraId="6895D954" w14:textId="77777777" w:rsidTr="001925BA">
        <w:trPr>
          <w:trHeight w:val="197"/>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1FFF0FC"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sz w:val="20"/>
                <w:szCs w:val="20"/>
              </w:rPr>
              <w:t>Sulina</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2CCC5D2"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0</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4CDCDB3" w14:textId="77777777" w:rsidR="00670FD4" w:rsidRDefault="00670FD4" w:rsidP="001925BA">
            <w:pPr>
              <w:spacing w:after="0" w:line="240" w:lineRule="auto"/>
              <w:ind w:left="100" w:hanging="100"/>
              <w:jc w:val="right"/>
              <w:rPr>
                <w:rFonts w:eastAsia="Times New Roman" w:cs="Times New Roman"/>
                <w:sz w:val="20"/>
                <w:szCs w:val="20"/>
              </w:rPr>
            </w:pPr>
            <w:r>
              <w:rPr>
                <w:rFonts w:eastAsia="Times New Roman" w:cs="Times New Roman"/>
                <w:sz w:val="20"/>
                <w:szCs w:val="20"/>
              </w:rPr>
              <w:t>0</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6591FA5"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 </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41FF20E" w14:textId="77777777" w:rsidR="00670FD4" w:rsidRDefault="00670FD4" w:rsidP="001925BA">
            <w:pPr>
              <w:spacing w:after="0" w:line="240" w:lineRule="auto"/>
              <w:ind w:left="100"/>
              <w:jc w:val="center"/>
              <w:rPr>
                <w:rFonts w:eastAsia="Times New Roman" w:cs="Times New Roman"/>
                <w:sz w:val="20"/>
                <w:szCs w:val="20"/>
              </w:rPr>
            </w:pPr>
            <w:r>
              <w:rPr>
                <w:rFonts w:eastAsia="Times New Roman" w:cs="Times New Roman"/>
                <w:sz w:val="20"/>
                <w:szCs w:val="20"/>
              </w:rPr>
              <w:t> </w:t>
            </w:r>
          </w:p>
        </w:tc>
      </w:tr>
      <w:tr w:rsidR="00670FD4" w14:paraId="353323FA" w14:textId="77777777" w:rsidTr="001925BA">
        <w:trPr>
          <w:trHeight w:val="425"/>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7BF47FA"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sz w:val="20"/>
                <w:szCs w:val="20"/>
              </w:rPr>
              <w:lastRenderedPageBreak/>
              <w:t>Sf. Gheorghe</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0392134"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0</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ABBAA80" w14:textId="77777777" w:rsidR="00670FD4" w:rsidRDefault="00670FD4" w:rsidP="001925BA">
            <w:pPr>
              <w:spacing w:after="0" w:line="240" w:lineRule="auto"/>
              <w:ind w:left="100" w:hanging="100"/>
              <w:jc w:val="right"/>
              <w:rPr>
                <w:rFonts w:eastAsia="Times New Roman" w:cs="Times New Roman"/>
                <w:sz w:val="20"/>
                <w:szCs w:val="20"/>
              </w:rPr>
            </w:pPr>
            <w:r>
              <w:rPr>
                <w:rFonts w:eastAsia="Times New Roman" w:cs="Times New Roman"/>
                <w:sz w:val="20"/>
                <w:szCs w:val="20"/>
              </w:rPr>
              <w:t>0</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C88A579"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 </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140FCE9" w14:textId="77777777" w:rsidR="00670FD4" w:rsidRDefault="00670FD4" w:rsidP="001925BA">
            <w:pPr>
              <w:spacing w:after="0" w:line="240" w:lineRule="auto"/>
              <w:ind w:left="100"/>
              <w:jc w:val="center"/>
              <w:rPr>
                <w:rFonts w:eastAsia="Times New Roman" w:cs="Times New Roman"/>
                <w:sz w:val="20"/>
                <w:szCs w:val="20"/>
              </w:rPr>
            </w:pPr>
            <w:r>
              <w:rPr>
                <w:rFonts w:eastAsia="Times New Roman" w:cs="Times New Roman"/>
                <w:sz w:val="20"/>
                <w:szCs w:val="20"/>
              </w:rPr>
              <w:t> </w:t>
            </w:r>
          </w:p>
        </w:tc>
      </w:tr>
      <w:tr w:rsidR="00670FD4" w14:paraId="12F63B8F" w14:textId="77777777" w:rsidTr="001925BA">
        <w:trPr>
          <w:trHeight w:val="215"/>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5F8038B"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sz w:val="20"/>
                <w:szCs w:val="20"/>
              </w:rPr>
              <w:t>Murighiol</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6ACA2AF"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0</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7E9D1B9" w14:textId="77777777" w:rsidR="00670FD4" w:rsidRDefault="00670FD4" w:rsidP="001925BA">
            <w:pPr>
              <w:spacing w:after="0" w:line="240" w:lineRule="auto"/>
              <w:ind w:left="100" w:hanging="100"/>
              <w:jc w:val="right"/>
              <w:rPr>
                <w:rFonts w:eastAsia="Times New Roman" w:cs="Times New Roman"/>
                <w:sz w:val="20"/>
                <w:szCs w:val="20"/>
              </w:rPr>
            </w:pPr>
            <w:r>
              <w:rPr>
                <w:rFonts w:eastAsia="Times New Roman" w:cs="Times New Roman"/>
                <w:sz w:val="20"/>
                <w:szCs w:val="20"/>
              </w:rPr>
              <w:t>0</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01FACF7"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 </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A3B609D" w14:textId="77777777" w:rsidR="00670FD4" w:rsidRDefault="00670FD4" w:rsidP="001925BA">
            <w:pPr>
              <w:spacing w:after="0" w:line="240" w:lineRule="auto"/>
              <w:ind w:left="100"/>
              <w:jc w:val="center"/>
              <w:rPr>
                <w:rFonts w:eastAsia="Times New Roman" w:cs="Times New Roman"/>
                <w:sz w:val="20"/>
                <w:szCs w:val="20"/>
              </w:rPr>
            </w:pPr>
            <w:r>
              <w:rPr>
                <w:rFonts w:eastAsia="Times New Roman" w:cs="Times New Roman"/>
                <w:sz w:val="20"/>
                <w:szCs w:val="20"/>
              </w:rPr>
              <w:t> </w:t>
            </w:r>
          </w:p>
        </w:tc>
      </w:tr>
      <w:tr w:rsidR="00670FD4" w14:paraId="2C341328" w14:textId="77777777" w:rsidTr="001925BA">
        <w:trPr>
          <w:trHeight w:val="191"/>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B578C3C"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sz w:val="20"/>
                <w:szCs w:val="20"/>
              </w:rPr>
              <w:t>Jurilovca</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8AB7E83"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0</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6214195" w14:textId="77777777" w:rsidR="00670FD4" w:rsidRDefault="00670FD4" w:rsidP="001925BA">
            <w:pPr>
              <w:spacing w:after="0" w:line="240" w:lineRule="auto"/>
              <w:ind w:left="100" w:hanging="100"/>
              <w:jc w:val="right"/>
              <w:rPr>
                <w:rFonts w:eastAsia="Times New Roman" w:cs="Times New Roman"/>
                <w:sz w:val="20"/>
                <w:szCs w:val="20"/>
              </w:rPr>
            </w:pPr>
            <w:r>
              <w:rPr>
                <w:rFonts w:eastAsia="Times New Roman" w:cs="Times New Roman"/>
                <w:sz w:val="20"/>
                <w:szCs w:val="20"/>
              </w:rPr>
              <w:t>0</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4DDAA5F"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 </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6DDF606" w14:textId="77777777" w:rsidR="00670FD4" w:rsidRDefault="00670FD4" w:rsidP="001925BA">
            <w:pPr>
              <w:spacing w:after="0" w:line="240" w:lineRule="auto"/>
              <w:ind w:left="100"/>
              <w:jc w:val="center"/>
              <w:rPr>
                <w:rFonts w:eastAsia="Times New Roman" w:cs="Times New Roman"/>
                <w:sz w:val="20"/>
                <w:szCs w:val="20"/>
              </w:rPr>
            </w:pPr>
            <w:r>
              <w:rPr>
                <w:rFonts w:eastAsia="Times New Roman" w:cs="Times New Roman"/>
                <w:sz w:val="20"/>
                <w:szCs w:val="20"/>
              </w:rPr>
              <w:t> </w:t>
            </w:r>
          </w:p>
        </w:tc>
      </w:tr>
      <w:tr w:rsidR="00670FD4" w14:paraId="33263057" w14:textId="77777777" w:rsidTr="001925BA">
        <w:trPr>
          <w:trHeight w:val="438"/>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4CFAA3D"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sz w:val="20"/>
                <w:szCs w:val="20"/>
              </w:rPr>
              <w:t>Mihai Viteazu</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DC2D5A8"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i/>
                <w:sz w:val="20"/>
                <w:szCs w:val="20"/>
              </w:rPr>
              <w:t>lipsă date</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68B4C4D" w14:textId="77777777" w:rsidR="00670FD4" w:rsidRDefault="00670FD4" w:rsidP="001925BA">
            <w:pPr>
              <w:spacing w:after="0" w:line="240" w:lineRule="auto"/>
              <w:ind w:left="100" w:hanging="100"/>
              <w:jc w:val="right"/>
              <w:rPr>
                <w:rFonts w:eastAsia="Times New Roman" w:cs="Times New Roman"/>
                <w:sz w:val="20"/>
                <w:szCs w:val="20"/>
              </w:rPr>
            </w:pPr>
            <w:r>
              <w:rPr>
                <w:rFonts w:eastAsia="Times New Roman" w:cs="Times New Roman"/>
                <w:sz w:val="20"/>
                <w:szCs w:val="20"/>
              </w:rPr>
              <w:t>0</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8FAD747"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 </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A218633" w14:textId="77777777" w:rsidR="00670FD4" w:rsidRDefault="00670FD4" w:rsidP="001925BA">
            <w:pPr>
              <w:spacing w:after="0" w:line="240" w:lineRule="auto"/>
              <w:ind w:left="100"/>
              <w:jc w:val="center"/>
              <w:rPr>
                <w:rFonts w:eastAsia="Times New Roman" w:cs="Times New Roman"/>
                <w:sz w:val="20"/>
                <w:szCs w:val="20"/>
              </w:rPr>
            </w:pPr>
            <w:r>
              <w:rPr>
                <w:rFonts w:eastAsia="Times New Roman" w:cs="Times New Roman"/>
                <w:sz w:val="20"/>
                <w:szCs w:val="20"/>
              </w:rPr>
              <w:t> </w:t>
            </w:r>
          </w:p>
        </w:tc>
      </w:tr>
      <w:tr w:rsidR="00670FD4" w14:paraId="0D01EF81" w14:textId="77777777" w:rsidTr="001925BA">
        <w:trPr>
          <w:trHeight w:val="201"/>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B193CF7" w14:textId="77777777" w:rsidR="00670FD4" w:rsidRDefault="00670FD4" w:rsidP="001925BA">
            <w:pPr>
              <w:spacing w:after="0" w:line="240" w:lineRule="auto"/>
              <w:ind w:hanging="68"/>
              <w:rPr>
                <w:rFonts w:eastAsia="Times New Roman" w:cs="Times New Roman"/>
                <w:sz w:val="20"/>
                <w:szCs w:val="20"/>
              </w:rPr>
            </w:pPr>
            <w:r>
              <w:rPr>
                <w:rFonts w:eastAsia="Times New Roman" w:cs="Times New Roman"/>
                <w:sz w:val="20"/>
                <w:szCs w:val="20"/>
              </w:rPr>
              <w:t>Istria</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244B4E2"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i/>
                <w:sz w:val="20"/>
                <w:szCs w:val="20"/>
              </w:rPr>
              <w:t>lipsă date</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0DC242F"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i/>
                <w:sz w:val="20"/>
                <w:szCs w:val="20"/>
              </w:rPr>
              <w:t>lipsă date</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864F013"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 </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35AC9F1" w14:textId="77777777" w:rsidR="00670FD4" w:rsidRDefault="00670FD4" w:rsidP="001925BA">
            <w:pPr>
              <w:spacing w:after="0" w:line="240" w:lineRule="auto"/>
              <w:ind w:left="100"/>
              <w:jc w:val="center"/>
              <w:rPr>
                <w:rFonts w:eastAsia="Times New Roman" w:cs="Times New Roman"/>
                <w:sz w:val="20"/>
                <w:szCs w:val="20"/>
              </w:rPr>
            </w:pPr>
            <w:r>
              <w:rPr>
                <w:rFonts w:eastAsia="Times New Roman" w:cs="Times New Roman"/>
                <w:sz w:val="20"/>
                <w:szCs w:val="20"/>
              </w:rPr>
              <w:t> </w:t>
            </w:r>
          </w:p>
        </w:tc>
      </w:tr>
      <w:tr w:rsidR="00670FD4" w14:paraId="2C18D372" w14:textId="77777777" w:rsidTr="001925BA">
        <w:trPr>
          <w:trHeight w:val="157"/>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E4DF03F" w14:textId="77777777" w:rsidR="00670FD4" w:rsidRDefault="00670FD4" w:rsidP="001925BA">
            <w:pPr>
              <w:spacing w:after="0" w:line="240" w:lineRule="auto"/>
              <w:ind w:hanging="68"/>
              <w:rPr>
                <w:rFonts w:eastAsia="Times New Roman" w:cs="Times New Roman"/>
                <w:sz w:val="20"/>
                <w:szCs w:val="20"/>
              </w:rPr>
            </w:pPr>
            <w:r>
              <w:rPr>
                <w:rFonts w:eastAsia="Times New Roman" w:cs="Times New Roman"/>
                <w:sz w:val="20"/>
                <w:szCs w:val="20"/>
              </w:rPr>
              <w:t>Săcele</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F066632"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i/>
                <w:sz w:val="20"/>
                <w:szCs w:val="20"/>
              </w:rPr>
              <w:t>lipsă date</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38B66AE"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i/>
                <w:sz w:val="20"/>
                <w:szCs w:val="20"/>
              </w:rPr>
              <w:t>lipsă date</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5EEE4DF" w14:textId="77777777" w:rsidR="00670FD4" w:rsidRDefault="00670FD4" w:rsidP="001925BA">
            <w:pPr>
              <w:spacing w:after="0" w:line="240" w:lineRule="auto"/>
              <w:ind w:left="100" w:hanging="100"/>
              <w:jc w:val="right"/>
              <w:rPr>
                <w:rFonts w:eastAsia="Times New Roman" w:cs="Times New Roman"/>
                <w:sz w:val="20"/>
                <w:szCs w:val="20"/>
              </w:rPr>
            </w:pPr>
            <w:r>
              <w:rPr>
                <w:rFonts w:eastAsia="Times New Roman" w:cs="Times New Roman"/>
                <w:sz w:val="20"/>
                <w:szCs w:val="20"/>
              </w:rPr>
              <w:t> </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8CF19AD" w14:textId="77777777" w:rsidR="00670FD4" w:rsidRDefault="00670FD4" w:rsidP="001925BA">
            <w:pPr>
              <w:spacing w:after="0" w:line="240" w:lineRule="auto"/>
              <w:ind w:left="100"/>
              <w:jc w:val="right"/>
              <w:rPr>
                <w:rFonts w:eastAsia="Times New Roman" w:cs="Times New Roman"/>
                <w:sz w:val="20"/>
                <w:szCs w:val="20"/>
              </w:rPr>
            </w:pPr>
            <w:r>
              <w:rPr>
                <w:rFonts w:eastAsia="Times New Roman" w:cs="Times New Roman"/>
                <w:sz w:val="20"/>
                <w:szCs w:val="20"/>
              </w:rPr>
              <w:t> </w:t>
            </w:r>
          </w:p>
        </w:tc>
      </w:tr>
      <w:tr w:rsidR="00670FD4" w14:paraId="2C44EB72" w14:textId="77777777" w:rsidTr="001925BA">
        <w:trPr>
          <w:trHeight w:val="277"/>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F748ED6"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sz w:val="20"/>
                <w:szCs w:val="20"/>
              </w:rPr>
              <w:t>Corbu</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5987A17"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i/>
                <w:sz w:val="20"/>
                <w:szCs w:val="20"/>
              </w:rPr>
              <w:t>lipsă date</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5908FBD"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i/>
                <w:sz w:val="20"/>
                <w:szCs w:val="20"/>
              </w:rPr>
              <w:t>lipsă date</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5E6EECC"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 </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763D73C" w14:textId="77777777" w:rsidR="00670FD4" w:rsidRDefault="00670FD4" w:rsidP="001925BA">
            <w:pPr>
              <w:spacing w:after="0" w:line="240" w:lineRule="auto"/>
              <w:ind w:left="100"/>
              <w:jc w:val="center"/>
              <w:rPr>
                <w:rFonts w:eastAsia="Times New Roman" w:cs="Times New Roman"/>
                <w:sz w:val="20"/>
                <w:szCs w:val="20"/>
              </w:rPr>
            </w:pPr>
            <w:r>
              <w:rPr>
                <w:rFonts w:eastAsia="Times New Roman" w:cs="Times New Roman"/>
                <w:sz w:val="20"/>
                <w:szCs w:val="20"/>
              </w:rPr>
              <w:t> </w:t>
            </w:r>
          </w:p>
        </w:tc>
      </w:tr>
      <w:tr w:rsidR="00670FD4" w14:paraId="51E66B9D" w14:textId="77777777" w:rsidTr="001925BA">
        <w:trPr>
          <w:trHeight w:val="200"/>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B09354D"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sz w:val="20"/>
                <w:szCs w:val="20"/>
              </w:rPr>
              <w:t>Năvodari</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B4EB059"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0</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4D03D64"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0</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3D01737"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18,51</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1179CC8" w14:textId="77777777" w:rsidR="00670FD4" w:rsidRDefault="00670FD4" w:rsidP="001925BA">
            <w:pPr>
              <w:spacing w:after="0" w:line="240" w:lineRule="auto"/>
              <w:ind w:left="100"/>
              <w:jc w:val="center"/>
              <w:rPr>
                <w:rFonts w:eastAsia="Times New Roman" w:cs="Times New Roman"/>
                <w:sz w:val="20"/>
                <w:szCs w:val="20"/>
              </w:rPr>
            </w:pPr>
            <w:r>
              <w:rPr>
                <w:rFonts w:eastAsia="Times New Roman" w:cs="Times New Roman"/>
                <w:sz w:val="20"/>
                <w:szCs w:val="20"/>
              </w:rPr>
              <w:t>19,24</w:t>
            </w:r>
          </w:p>
        </w:tc>
      </w:tr>
      <w:tr w:rsidR="00670FD4" w14:paraId="35AD4B99" w14:textId="77777777" w:rsidTr="001925BA">
        <w:trPr>
          <w:trHeight w:val="295"/>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FBB4067"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sz w:val="20"/>
                <w:szCs w:val="20"/>
              </w:rPr>
              <w:t>Constanța</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DA26525"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339,66</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A0EF8FB"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i/>
                <w:sz w:val="20"/>
                <w:szCs w:val="20"/>
              </w:rPr>
              <w:t>lipsă date</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B72AC65"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599,72</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94C783B" w14:textId="77777777" w:rsidR="00670FD4" w:rsidRDefault="00670FD4" w:rsidP="001925BA">
            <w:pPr>
              <w:spacing w:after="0" w:line="240" w:lineRule="auto"/>
              <w:ind w:left="100"/>
              <w:jc w:val="center"/>
              <w:rPr>
                <w:rFonts w:eastAsia="Times New Roman" w:cs="Times New Roman"/>
                <w:sz w:val="20"/>
                <w:szCs w:val="20"/>
              </w:rPr>
            </w:pPr>
            <w:r>
              <w:rPr>
                <w:rFonts w:eastAsia="Times New Roman" w:cs="Times New Roman"/>
                <w:sz w:val="20"/>
                <w:szCs w:val="20"/>
              </w:rPr>
              <w:t> </w:t>
            </w:r>
          </w:p>
        </w:tc>
      </w:tr>
      <w:tr w:rsidR="00670FD4" w14:paraId="762954DE" w14:textId="77777777" w:rsidTr="001925BA">
        <w:trPr>
          <w:trHeight w:val="346"/>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439F017"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sz w:val="20"/>
                <w:szCs w:val="20"/>
              </w:rPr>
              <w:t>Agigea</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DBC9572"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i/>
                <w:sz w:val="20"/>
                <w:szCs w:val="20"/>
              </w:rPr>
              <w:t>lipsă date</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6BE1041"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i/>
                <w:sz w:val="20"/>
                <w:szCs w:val="20"/>
              </w:rPr>
              <w:t>lipsă date</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4825F49"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 </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88E4CE9" w14:textId="77777777" w:rsidR="00670FD4" w:rsidRDefault="00670FD4" w:rsidP="001925BA">
            <w:pPr>
              <w:spacing w:after="0" w:line="240" w:lineRule="auto"/>
              <w:ind w:left="100"/>
              <w:jc w:val="center"/>
              <w:rPr>
                <w:rFonts w:eastAsia="Times New Roman" w:cs="Times New Roman"/>
                <w:sz w:val="20"/>
                <w:szCs w:val="20"/>
              </w:rPr>
            </w:pPr>
            <w:r>
              <w:rPr>
                <w:rFonts w:eastAsia="Times New Roman" w:cs="Times New Roman"/>
                <w:sz w:val="20"/>
                <w:szCs w:val="20"/>
              </w:rPr>
              <w:t> </w:t>
            </w:r>
          </w:p>
        </w:tc>
      </w:tr>
      <w:tr w:rsidR="00670FD4" w14:paraId="45BEB3C8" w14:textId="77777777" w:rsidTr="001925BA">
        <w:trPr>
          <w:trHeight w:val="271"/>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AA9BAC4"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sz w:val="20"/>
                <w:szCs w:val="20"/>
              </w:rPr>
              <w:t>Techirghiol</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C6EBD41"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i/>
                <w:sz w:val="20"/>
                <w:szCs w:val="20"/>
              </w:rPr>
              <w:t>lipsă date</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F5F4E77"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i/>
                <w:sz w:val="20"/>
                <w:szCs w:val="20"/>
              </w:rPr>
              <w:t>lipsă date</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651FBA2"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388,13</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22F2581" w14:textId="77777777" w:rsidR="00670FD4" w:rsidRDefault="00670FD4" w:rsidP="001925BA">
            <w:pPr>
              <w:spacing w:after="0" w:line="240" w:lineRule="auto"/>
              <w:ind w:left="100"/>
              <w:jc w:val="center"/>
              <w:rPr>
                <w:rFonts w:eastAsia="Times New Roman" w:cs="Times New Roman"/>
                <w:sz w:val="20"/>
                <w:szCs w:val="20"/>
              </w:rPr>
            </w:pPr>
            <w:r>
              <w:rPr>
                <w:rFonts w:eastAsia="Times New Roman" w:cs="Times New Roman"/>
                <w:sz w:val="20"/>
                <w:szCs w:val="20"/>
              </w:rPr>
              <w:t>492,69</w:t>
            </w:r>
          </w:p>
        </w:tc>
      </w:tr>
      <w:tr w:rsidR="00670FD4" w14:paraId="1F700A38" w14:textId="77777777" w:rsidTr="001925BA">
        <w:trPr>
          <w:trHeight w:val="171"/>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003EB67"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sz w:val="20"/>
                <w:szCs w:val="20"/>
              </w:rPr>
              <w:t>Eforie</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16AAFE6"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0</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4EAF076"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0</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417938A"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 </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7840991" w14:textId="77777777" w:rsidR="00670FD4" w:rsidRDefault="00670FD4" w:rsidP="001925BA">
            <w:pPr>
              <w:spacing w:after="0" w:line="240" w:lineRule="auto"/>
              <w:ind w:left="100"/>
              <w:jc w:val="center"/>
              <w:rPr>
                <w:rFonts w:eastAsia="Times New Roman" w:cs="Times New Roman"/>
                <w:sz w:val="20"/>
                <w:szCs w:val="20"/>
              </w:rPr>
            </w:pPr>
            <w:r>
              <w:rPr>
                <w:rFonts w:eastAsia="Times New Roman" w:cs="Times New Roman"/>
                <w:sz w:val="20"/>
                <w:szCs w:val="20"/>
              </w:rPr>
              <w:t> </w:t>
            </w:r>
          </w:p>
        </w:tc>
      </w:tr>
      <w:tr w:rsidR="00670FD4" w14:paraId="096B177C" w14:textId="77777777" w:rsidTr="001925BA">
        <w:trPr>
          <w:trHeight w:val="149"/>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844DAA4"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sz w:val="20"/>
                <w:szCs w:val="20"/>
              </w:rPr>
              <w:t>Tuzla</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4848650"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i/>
                <w:sz w:val="20"/>
                <w:szCs w:val="20"/>
              </w:rPr>
              <w:t>lipsă date</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B21A8DF"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0</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5582596"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 </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1A6DCA2" w14:textId="77777777" w:rsidR="00670FD4" w:rsidRDefault="00670FD4" w:rsidP="001925BA">
            <w:pPr>
              <w:spacing w:after="0" w:line="240" w:lineRule="auto"/>
              <w:ind w:left="100"/>
              <w:jc w:val="center"/>
              <w:rPr>
                <w:rFonts w:eastAsia="Times New Roman" w:cs="Times New Roman"/>
                <w:sz w:val="20"/>
                <w:szCs w:val="20"/>
              </w:rPr>
            </w:pPr>
            <w:r>
              <w:rPr>
                <w:rFonts w:eastAsia="Times New Roman" w:cs="Times New Roman"/>
                <w:sz w:val="20"/>
                <w:szCs w:val="20"/>
              </w:rPr>
              <w:t> </w:t>
            </w:r>
          </w:p>
        </w:tc>
      </w:tr>
      <w:tr w:rsidR="00670FD4" w14:paraId="74847BF9" w14:textId="77777777" w:rsidTr="001925BA">
        <w:trPr>
          <w:trHeight w:val="113"/>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C70A159"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sz w:val="20"/>
                <w:szCs w:val="20"/>
              </w:rPr>
              <w:t>Costinești</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7EAC11A"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i/>
                <w:sz w:val="20"/>
                <w:szCs w:val="20"/>
              </w:rPr>
              <w:t>lipsă date</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3FEE055"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0</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3F0E736"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 </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BE2BD49" w14:textId="77777777" w:rsidR="00670FD4" w:rsidRDefault="00670FD4" w:rsidP="001925BA">
            <w:pPr>
              <w:spacing w:after="0" w:line="240" w:lineRule="auto"/>
              <w:ind w:left="100"/>
              <w:jc w:val="center"/>
              <w:rPr>
                <w:rFonts w:eastAsia="Times New Roman" w:cs="Times New Roman"/>
                <w:sz w:val="20"/>
                <w:szCs w:val="20"/>
              </w:rPr>
            </w:pPr>
            <w:r>
              <w:rPr>
                <w:rFonts w:eastAsia="Times New Roman" w:cs="Times New Roman"/>
                <w:sz w:val="20"/>
                <w:szCs w:val="20"/>
              </w:rPr>
              <w:t> </w:t>
            </w:r>
          </w:p>
        </w:tc>
      </w:tr>
      <w:tr w:rsidR="00670FD4" w14:paraId="4E7B3379" w14:textId="77777777" w:rsidTr="001925BA">
        <w:trPr>
          <w:trHeight w:val="261"/>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994F360"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sz w:val="20"/>
                <w:szCs w:val="20"/>
              </w:rPr>
              <w:t>23 August</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2495D5B"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i/>
                <w:sz w:val="20"/>
                <w:szCs w:val="20"/>
              </w:rPr>
              <w:t>lipsă date</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38F175E"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i/>
                <w:sz w:val="20"/>
                <w:szCs w:val="20"/>
              </w:rPr>
              <w:t>lipsă date</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3804A8B"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 </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BB8755C" w14:textId="77777777" w:rsidR="00670FD4" w:rsidRDefault="00670FD4" w:rsidP="001925BA">
            <w:pPr>
              <w:spacing w:after="0" w:line="240" w:lineRule="auto"/>
              <w:ind w:left="100"/>
              <w:jc w:val="center"/>
              <w:rPr>
                <w:rFonts w:eastAsia="Times New Roman" w:cs="Times New Roman"/>
                <w:sz w:val="20"/>
                <w:szCs w:val="20"/>
              </w:rPr>
            </w:pPr>
            <w:r>
              <w:rPr>
                <w:rFonts w:eastAsia="Times New Roman" w:cs="Times New Roman"/>
                <w:sz w:val="20"/>
                <w:szCs w:val="20"/>
              </w:rPr>
              <w:t> </w:t>
            </w:r>
          </w:p>
        </w:tc>
      </w:tr>
      <w:tr w:rsidR="00670FD4" w14:paraId="37936238" w14:textId="77777777" w:rsidTr="001925BA">
        <w:trPr>
          <w:trHeight w:val="183"/>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77275C2"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sz w:val="20"/>
                <w:szCs w:val="20"/>
              </w:rPr>
              <w:t>Mangalia</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D1C7449"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0</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7A5E212"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0</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1DEA64D"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 </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59EC90B" w14:textId="77777777" w:rsidR="00670FD4" w:rsidRDefault="00670FD4" w:rsidP="001925BA">
            <w:pPr>
              <w:spacing w:after="0" w:line="240" w:lineRule="auto"/>
              <w:ind w:left="100"/>
              <w:jc w:val="center"/>
              <w:rPr>
                <w:rFonts w:eastAsia="Times New Roman" w:cs="Times New Roman"/>
                <w:sz w:val="20"/>
                <w:szCs w:val="20"/>
              </w:rPr>
            </w:pPr>
            <w:r>
              <w:rPr>
                <w:rFonts w:eastAsia="Times New Roman" w:cs="Times New Roman"/>
                <w:sz w:val="20"/>
                <w:szCs w:val="20"/>
              </w:rPr>
              <w:t> </w:t>
            </w:r>
          </w:p>
        </w:tc>
      </w:tr>
      <w:tr w:rsidR="00670FD4" w14:paraId="60E419C8" w14:textId="77777777" w:rsidTr="001925BA">
        <w:trPr>
          <w:trHeight w:val="147"/>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C2BD32A"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sz w:val="20"/>
                <w:szCs w:val="20"/>
              </w:rPr>
              <w:t>Limanu</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850BD6A"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7,33</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C7F461A"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33,39</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9B12EEE" w14:textId="77777777" w:rsidR="00670FD4" w:rsidRDefault="00670FD4" w:rsidP="001925BA">
            <w:pPr>
              <w:spacing w:after="0" w:line="240" w:lineRule="auto"/>
              <w:ind w:left="100" w:hanging="100"/>
              <w:jc w:val="center"/>
              <w:rPr>
                <w:rFonts w:eastAsia="Times New Roman" w:cs="Times New Roman"/>
                <w:sz w:val="20"/>
                <w:szCs w:val="20"/>
              </w:rPr>
            </w:pPr>
            <w:r>
              <w:rPr>
                <w:rFonts w:eastAsia="Times New Roman" w:cs="Times New Roman"/>
                <w:sz w:val="20"/>
                <w:szCs w:val="20"/>
              </w:rPr>
              <w:t> </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D625859" w14:textId="77777777" w:rsidR="00670FD4" w:rsidRDefault="00670FD4" w:rsidP="001925BA">
            <w:pPr>
              <w:spacing w:after="0" w:line="240" w:lineRule="auto"/>
              <w:ind w:left="100"/>
              <w:jc w:val="center"/>
              <w:rPr>
                <w:rFonts w:eastAsia="Times New Roman" w:cs="Times New Roman"/>
                <w:sz w:val="20"/>
                <w:szCs w:val="20"/>
              </w:rPr>
            </w:pPr>
            <w:r>
              <w:rPr>
                <w:rFonts w:eastAsia="Times New Roman" w:cs="Times New Roman"/>
                <w:sz w:val="20"/>
                <w:szCs w:val="20"/>
              </w:rPr>
              <w:t> </w:t>
            </w:r>
          </w:p>
        </w:tc>
      </w:tr>
    </w:tbl>
    <w:p w14:paraId="29BE0A7D" w14:textId="77777777" w:rsidR="00670FD4" w:rsidRDefault="00670FD4" w:rsidP="00670FD4">
      <w:pPr>
        <w:ind w:firstLine="567"/>
        <w:rPr>
          <w:rFonts w:eastAsia="Times New Roman" w:cs="Times New Roman"/>
        </w:rPr>
      </w:pPr>
    </w:p>
    <w:p w14:paraId="7AA52869" w14:textId="77777777" w:rsidR="00670FD4" w:rsidRDefault="00670FD4" w:rsidP="00670FD4">
      <w:pPr>
        <w:spacing w:before="0"/>
        <w:rPr>
          <w:rFonts w:eastAsia="Times New Roman" w:cs="Times New Roman"/>
          <w:u w:val="single"/>
        </w:rPr>
      </w:pPr>
      <w:r>
        <w:rPr>
          <w:rFonts w:eastAsia="Times New Roman" w:cs="Times New Roman"/>
          <w:u w:val="single"/>
        </w:rPr>
        <w:t xml:space="preserve">Terenuri ocupate cu activități în sectorul prelucrare, producție, depozitare, servicii terțiare </w:t>
      </w:r>
    </w:p>
    <w:p w14:paraId="2D0C3D88" w14:textId="77777777" w:rsidR="00670FD4" w:rsidRDefault="00670FD4" w:rsidP="00670FD4">
      <w:pPr>
        <w:spacing w:before="0"/>
        <w:ind w:firstLine="567"/>
        <w:rPr>
          <w:rFonts w:eastAsia="Times New Roman" w:cs="Times New Roman"/>
        </w:rPr>
      </w:pPr>
      <w:r>
        <w:rPr>
          <w:rFonts w:eastAsia="Times New Roman" w:cs="Times New Roman"/>
        </w:rPr>
        <w:t>Analiza documentațiilor PUG disponibile indică o creștere a suprafețelor de teren destinate unităților industriale și de depozitare (Tabel 2.4.4.8.8). În sectorul nordic al zonei costiere, suprafețele alocate acestor activități au crescut în Sfântu Gheorghe, Murighiol și Jurilovca. Pentru Săcele conform datelor disponibile în Raportul de mediu pentru Actualizare PUG se propune o creștere a suprafeței zonei cu 161,94%.</w:t>
      </w:r>
    </w:p>
    <w:p w14:paraId="49A147C6" w14:textId="77777777" w:rsidR="00670FD4" w:rsidRDefault="00670FD4" w:rsidP="00670FD4">
      <w:pPr>
        <w:spacing w:before="0"/>
        <w:ind w:firstLine="567"/>
        <w:rPr>
          <w:rFonts w:eastAsia="Times New Roman" w:cs="Times New Roman"/>
        </w:rPr>
      </w:pPr>
      <w:r>
        <w:rPr>
          <w:rFonts w:eastAsia="Times New Roman" w:cs="Times New Roman"/>
        </w:rPr>
        <w:t xml:space="preserve">În sectorul sudic, suprafețele alocate acestor activități au crescut în Năvodari, Eforie și Mangalia, raportat numai la datele disponibile. Techirghiol și Năvodari au documentații de actualizare PUG în curs de avizare și conform datelor disponibile în Rapoartele de mediu aferente documentațiilor este prevăzută o creștere a suprafețelor de teren destinate zonelor de </w:t>
      </w:r>
      <w:r>
        <w:rPr>
          <w:rFonts w:eastAsia="Times New Roman" w:cs="Times New Roman"/>
        </w:rPr>
        <w:lastRenderedPageBreak/>
        <w:t>producție și de depozitare cu 244,51% (Techirghiol) și cu 384,90% (Năvodari) raportat la suprafețele existente la data actualizării PUG.</w:t>
      </w:r>
    </w:p>
    <w:p w14:paraId="4B4B47B4" w14:textId="77777777" w:rsidR="00670FD4" w:rsidRDefault="00670FD4" w:rsidP="00670FD4">
      <w:pPr>
        <w:spacing w:before="0"/>
        <w:ind w:firstLine="567"/>
        <w:rPr>
          <w:rFonts w:eastAsia="Times New Roman" w:cs="Times New Roman"/>
        </w:rPr>
      </w:pPr>
      <w:r>
        <w:rPr>
          <w:rFonts w:eastAsia="Times New Roman" w:cs="Times New Roman"/>
        </w:rPr>
        <w:t>Cele mai importante suprafețe destinate activităților de producție și depozitare se regăsesc în Constanța și Năvodari, principalele zone de prelucrare, producție, depozitare, servicii sunt Platforma petrochimica Midia-Navodari, zona industrială Palas Constanta, zona Oil Terminal Constanța și zona de depozite Halta Traian Constanța.</w:t>
      </w:r>
    </w:p>
    <w:p w14:paraId="220A96E4" w14:textId="77777777" w:rsidR="00670FD4" w:rsidRDefault="00670FD4" w:rsidP="00670FD4">
      <w:pPr>
        <w:ind w:firstLine="567"/>
        <w:rPr>
          <w:rFonts w:eastAsia="Times New Roman" w:cs="Times New Roman"/>
        </w:rPr>
      </w:pPr>
    </w:p>
    <w:p w14:paraId="0B4B5BC8" w14:textId="77777777" w:rsidR="00670FD4" w:rsidRPr="00C0792F" w:rsidRDefault="00670FD4" w:rsidP="00670FD4">
      <w:pPr>
        <w:ind w:firstLine="567"/>
        <w:jc w:val="center"/>
        <w:rPr>
          <w:rFonts w:eastAsia="Times New Roman" w:cs="Times New Roman"/>
          <w:b/>
        </w:rPr>
      </w:pPr>
      <w:r w:rsidRPr="00C0792F">
        <w:rPr>
          <w:rFonts w:eastAsia="Times New Roman" w:cs="Times New Roman"/>
          <w:b/>
        </w:rPr>
        <w:t>Tabel 4.8.8.8 Zone destinate unităților industriale și de depozitare (date conform PUG)</w:t>
      </w:r>
    </w:p>
    <w:tbl>
      <w:tblPr>
        <w:tblW w:w="9006" w:type="dxa"/>
        <w:tblLayout w:type="fixed"/>
        <w:tblLook w:val="0400" w:firstRow="0" w:lastRow="0" w:firstColumn="0" w:lastColumn="0" w:noHBand="0" w:noVBand="1"/>
      </w:tblPr>
      <w:tblGrid>
        <w:gridCol w:w="1276"/>
        <w:gridCol w:w="1451"/>
        <w:gridCol w:w="1217"/>
        <w:gridCol w:w="1606"/>
        <w:gridCol w:w="1672"/>
        <w:gridCol w:w="1784"/>
      </w:tblGrid>
      <w:tr w:rsidR="00670FD4" w14:paraId="202FF737" w14:textId="77777777" w:rsidTr="001925BA">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650CCEE9" w14:textId="77777777" w:rsidR="00670FD4" w:rsidRDefault="00670FD4" w:rsidP="001925BA">
            <w:pPr>
              <w:spacing w:after="0" w:line="240" w:lineRule="auto"/>
              <w:ind w:left="100" w:hanging="68"/>
              <w:jc w:val="center"/>
              <w:rPr>
                <w:rFonts w:eastAsia="Times New Roman" w:cs="Times New Roman"/>
                <w:b/>
                <w:sz w:val="20"/>
                <w:szCs w:val="20"/>
              </w:rPr>
            </w:pPr>
            <w:r>
              <w:rPr>
                <w:rFonts w:eastAsia="Times New Roman" w:cs="Times New Roman"/>
                <w:b/>
                <w:color w:val="000000"/>
                <w:sz w:val="20"/>
                <w:szCs w:val="20"/>
              </w:rPr>
              <w:t>UAT</w:t>
            </w:r>
          </w:p>
        </w:tc>
        <w:tc>
          <w:tcPr>
            <w:tcW w:w="1451"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376AB6E2" w14:textId="77777777" w:rsidR="00670FD4" w:rsidRDefault="00670FD4" w:rsidP="001925BA">
            <w:pPr>
              <w:spacing w:after="0" w:line="240" w:lineRule="auto"/>
              <w:ind w:left="100" w:hanging="68"/>
              <w:jc w:val="center"/>
              <w:rPr>
                <w:rFonts w:eastAsia="Times New Roman" w:cs="Times New Roman"/>
                <w:b/>
                <w:sz w:val="20"/>
                <w:szCs w:val="20"/>
              </w:rPr>
            </w:pPr>
            <w:r>
              <w:rPr>
                <w:rFonts w:eastAsia="Times New Roman" w:cs="Times New Roman"/>
                <w:b/>
                <w:color w:val="000000"/>
                <w:sz w:val="20"/>
                <w:szCs w:val="20"/>
              </w:rPr>
              <w:t>Existent la data aprobării PUG (ha)</w:t>
            </w:r>
          </w:p>
        </w:tc>
        <w:tc>
          <w:tcPr>
            <w:tcW w:w="1217"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13F6C7B5" w14:textId="77777777" w:rsidR="00670FD4" w:rsidRDefault="00670FD4" w:rsidP="001925BA">
            <w:pPr>
              <w:spacing w:after="0" w:line="240" w:lineRule="auto"/>
              <w:ind w:left="100" w:hanging="100"/>
              <w:jc w:val="center"/>
              <w:rPr>
                <w:rFonts w:eastAsia="Times New Roman" w:cs="Times New Roman"/>
                <w:b/>
                <w:sz w:val="20"/>
                <w:szCs w:val="20"/>
              </w:rPr>
            </w:pPr>
            <w:r>
              <w:rPr>
                <w:rFonts w:eastAsia="Times New Roman" w:cs="Times New Roman"/>
                <w:b/>
                <w:color w:val="000000"/>
                <w:sz w:val="20"/>
                <w:szCs w:val="20"/>
              </w:rPr>
              <w:t>Aprobat prin PUG (ha)</w:t>
            </w:r>
          </w:p>
        </w:tc>
        <w:tc>
          <w:tcPr>
            <w:tcW w:w="1606"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7D5828CB" w14:textId="77777777" w:rsidR="00670FD4" w:rsidRDefault="00670FD4" w:rsidP="001925BA">
            <w:pPr>
              <w:spacing w:after="0" w:line="240" w:lineRule="auto"/>
              <w:ind w:left="100" w:hanging="43"/>
              <w:jc w:val="center"/>
              <w:rPr>
                <w:rFonts w:eastAsia="Times New Roman" w:cs="Times New Roman"/>
                <w:b/>
                <w:sz w:val="20"/>
                <w:szCs w:val="20"/>
              </w:rPr>
            </w:pPr>
            <w:r>
              <w:rPr>
                <w:rFonts w:eastAsia="Times New Roman" w:cs="Times New Roman"/>
                <w:b/>
                <w:color w:val="000000"/>
                <w:sz w:val="20"/>
                <w:szCs w:val="20"/>
              </w:rPr>
              <w:t>Existent la data actualizării PUG (ha)</w:t>
            </w:r>
          </w:p>
        </w:tc>
        <w:tc>
          <w:tcPr>
            <w:tcW w:w="1672"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3A21DCDF" w14:textId="77777777" w:rsidR="00670FD4" w:rsidRDefault="00670FD4" w:rsidP="001925BA">
            <w:pPr>
              <w:spacing w:after="0" w:line="240" w:lineRule="auto"/>
              <w:ind w:left="100" w:hanging="90"/>
              <w:jc w:val="center"/>
              <w:rPr>
                <w:rFonts w:eastAsia="Times New Roman" w:cs="Times New Roman"/>
                <w:b/>
                <w:sz w:val="20"/>
                <w:szCs w:val="20"/>
              </w:rPr>
            </w:pPr>
            <w:r>
              <w:rPr>
                <w:rFonts w:eastAsia="Times New Roman" w:cs="Times New Roman"/>
                <w:b/>
                <w:color w:val="000000"/>
                <w:sz w:val="20"/>
                <w:szCs w:val="20"/>
              </w:rPr>
              <w:t>Propus prin PUG în curs de actualizare (ha)</w:t>
            </w:r>
          </w:p>
        </w:tc>
        <w:tc>
          <w:tcPr>
            <w:tcW w:w="1784"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40232ADB" w14:textId="77777777" w:rsidR="00670FD4" w:rsidRDefault="00670FD4" w:rsidP="001925BA">
            <w:pPr>
              <w:spacing w:after="0" w:line="240" w:lineRule="auto"/>
              <w:ind w:left="100" w:hanging="61"/>
              <w:jc w:val="center"/>
              <w:rPr>
                <w:rFonts w:eastAsia="Times New Roman" w:cs="Times New Roman"/>
                <w:b/>
                <w:sz w:val="20"/>
                <w:szCs w:val="20"/>
              </w:rPr>
            </w:pPr>
            <w:r>
              <w:rPr>
                <w:rFonts w:eastAsia="Times New Roman" w:cs="Times New Roman"/>
                <w:b/>
                <w:color w:val="000000"/>
                <w:sz w:val="20"/>
                <w:szCs w:val="20"/>
              </w:rPr>
              <w:t>OBSERVAȚII</w:t>
            </w:r>
          </w:p>
        </w:tc>
      </w:tr>
      <w:tr w:rsidR="00670FD4" w14:paraId="3A269DB3" w14:textId="77777777" w:rsidTr="001925BA">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B2BC2C8"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color w:val="000000"/>
                <w:sz w:val="20"/>
                <w:szCs w:val="20"/>
              </w:rPr>
              <w:t>C.A.Rosetti</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8DC6FA4"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color w:val="000000"/>
                <w:sz w:val="20"/>
                <w:szCs w:val="20"/>
              </w:rPr>
              <w:t>0,00</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BB39929"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color w:val="000000"/>
                <w:sz w:val="20"/>
                <w:szCs w:val="20"/>
              </w:rPr>
              <w:t>0,00</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4075E50" w14:textId="77777777" w:rsidR="00670FD4" w:rsidRDefault="00670FD4" w:rsidP="001925BA">
            <w:pPr>
              <w:spacing w:after="0" w:line="240" w:lineRule="auto"/>
              <w:ind w:left="100" w:hanging="43"/>
              <w:rPr>
                <w:rFonts w:eastAsia="Times New Roman" w:cs="Times New Roman"/>
                <w:sz w:val="20"/>
                <w:szCs w:val="20"/>
              </w:rPr>
            </w:pPr>
            <w:r>
              <w:rPr>
                <w:rFonts w:eastAsia="Times New Roman" w:cs="Times New Roman"/>
                <w:color w:val="000000"/>
                <w:sz w:val="20"/>
                <w:szCs w:val="20"/>
              </w:rPr>
              <w:t> </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9B9E12E" w14:textId="77777777" w:rsidR="00670FD4" w:rsidRDefault="00670FD4" w:rsidP="001925BA">
            <w:pPr>
              <w:spacing w:after="0" w:line="240" w:lineRule="auto"/>
              <w:ind w:left="100" w:hanging="90"/>
              <w:rPr>
                <w:rFonts w:eastAsia="Times New Roman" w:cs="Times New Roman"/>
                <w:sz w:val="20"/>
                <w:szCs w:val="20"/>
              </w:rPr>
            </w:pPr>
            <w:r>
              <w:rPr>
                <w:rFonts w:eastAsia="Times New Roman" w:cs="Times New Roman"/>
                <w:color w:val="000000"/>
                <w:sz w:val="20"/>
                <w:szCs w:val="20"/>
              </w:rPr>
              <w:t> </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B006B70" w14:textId="77777777" w:rsidR="00670FD4" w:rsidRDefault="00670FD4" w:rsidP="001925BA">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670FD4" w14:paraId="293B28CF" w14:textId="77777777" w:rsidTr="001925BA">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67CB916"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color w:val="000000"/>
                <w:sz w:val="20"/>
                <w:szCs w:val="20"/>
              </w:rPr>
              <w:t>Sulina</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9D571C3"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color w:val="000000"/>
                <w:sz w:val="20"/>
                <w:szCs w:val="20"/>
              </w:rPr>
              <w:t>197,44</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C7A078C"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color w:val="000000"/>
                <w:sz w:val="20"/>
                <w:szCs w:val="20"/>
              </w:rPr>
              <w:t>194,44</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0809186" w14:textId="77777777" w:rsidR="00670FD4" w:rsidRDefault="00670FD4" w:rsidP="001925BA">
            <w:pPr>
              <w:spacing w:after="0" w:line="240" w:lineRule="auto"/>
              <w:ind w:left="100" w:hanging="43"/>
              <w:rPr>
                <w:rFonts w:eastAsia="Times New Roman" w:cs="Times New Roman"/>
                <w:sz w:val="20"/>
                <w:szCs w:val="20"/>
              </w:rPr>
            </w:pPr>
            <w:r>
              <w:rPr>
                <w:rFonts w:eastAsia="Times New Roman" w:cs="Times New Roman"/>
                <w:color w:val="000000"/>
                <w:sz w:val="20"/>
                <w:szCs w:val="20"/>
              </w:rPr>
              <w:t> </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F5BB1B3" w14:textId="77777777" w:rsidR="00670FD4" w:rsidRDefault="00670FD4" w:rsidP="001925BA">
            <w:pPr>
              <w:spacing w:after="0" w:line="240" w:lineRule="auto"/>
              <w:ind w:left="100" w:hanging="90"/>
              <w:rPr>
                <w:rFonts w:eastAsia="Times New Roman" w:cs="Times New Roman"/>
                <w:sz w:val="20"/>
                <w:szCs w:val="20"/>
              </w:rPr>
            </w:pPr>
            <w:r>
              <w:rPr>
                <w:rFonts w:eastAsia="Times New Roman" w:cs="Times New Roman"/>
                <w:color w:val="000000"/>
                <w:sz w:val="20"/>
                <w:szCs w:val="20"/>
              </w:rPr>
              <w:t> </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BBCE8C8" w14:textId="77777777" w:rsidR="00670FD4" w:rsidRDefault="00670FD4" w:rsidP="001925BA">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670FD4" w14:paraId="102B6F03" w14:textId="77777777" w:rsidTr="001925BA">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D99531B"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color w:val="000000"/>
                <w:sz w:val="20"/>
                <w:szCs w:val="20"/>
              </w:rPr>
              <w:t>Sf. Gheorghe</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E161EB4"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color w:val="000000"/>
                <w:sz w:val="20"/>
                <w:szCs w:val="20"/>
              </w:rPr>
              <w:t>4,43</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1A4CED0"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color w:val="000000"/>
                <w:sz w:val="20"/>
                <w:szCs w:val="20"/>
              </w:rPr>
              <w:t>7,00</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A9EB8DB" w14:textId="77777777" w:rsidR="00670FD4" w:rsidRDefault="00670FD4" w:rsidP="001925BA">
            <w:pPr>
              <w:spacing w:after="0" w:line="240" w:lineRule="auto"/>
              <w:ind w:left="100" w:hanging="43"/>
              <w:rPr>
                <w:rFonts w:eastAsia="Times New Roman" w:cs="Times New Roman"/>
                <w:sz w:val="20"/>
                <w:szCs w:val="20"/>
              </w:rPr>
            </w:pPr>
            <w:r>
              <w:rPr>
                <w:rFonts w:eastAsia="Times New Roman" w:cs="Times New Roman"/>
                <w:color w:val="000000"/>
                <w:sz w:val="20"/>
                <w:szCs w:val="20"/>
              </w:rPr>
              <w:t> </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626ABB6" w14:textId="77777777" w:rsidR="00670FD4" w:rsidRDefault="00670FD4" w:rsidP="001925BA">
            <w:pPr>
              <w:spacing w:after="0" w:line="240" w:lineRule="auto"/>
              <w:ind w:left="100" w:hanging="90"/>
              <w:rPr>
                <w:rFonts w:eastAsia="Times New Roman" w:cs="Times New Roman"/>
                <w:sz w:val="20"/>
                <w:szCs w:val="20"/>
              </w:rPr>
            </w:pPr>
            <w:r>
              <w:rPr>
                <w:rFonts w:eastAsia="Times New Roman" w:cs="Times New Roman"/>
                <w:color w:val="000000"/>
                <w:sz w:val="20"/>
                <w:szCs w:val="20"/>
              </w:rPr>
              <w:t> </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4962C3A" w14:textId="77777777" w:rsidR="00670FD4" w:rsidRDefault="00670FD4" w:rsidP="001925BA">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670FD4" w14:paraId="69A9A9FD" w14:textId="77777777" w:rsidTr="001925BA">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D4E7392"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color w:val="000000"/>
                <w:sz w:val="20"/>
                <w:szCs w:val="20"/>
              </w:rPr>
              <w:t>Murighiol</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5B48BB1"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color w:val="000000"/>
                <w:sz w:val="20"/>
                <w:szCs w:val="20"/>
              </w:rPr>
              <w:t>0,00</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A5FF59F"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color w:val="000000"/>
                <w:sz w:val="20"/>
                <w:szCs w:val="20"/>
              </w:rPr>
              <w:t>13,92</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E5E9307" w14:textId="77777777" w:rsidR="00670FD4" w:rsidRDefault="00670FD4" w:rsidP="001925BA">
            <w:pPr>
              <w:spacing w:after="0" w:line="240" w:lineRule="auto"/>
              <w:ind w:left="100" w:hanging="43"/>
              <w:rPr>
                <w:rFonts w:eastAsia="Times New Roman" w:cs="Times New Roman"/>
                <w:sz w:val="20"/>
                <w:szCs w:val="20"/>
              </w:rPr>
            </w:pPr>
            <w:r>
              <w:rPr>
                <w:rFonts w:eastAsia="Times New Roman" w:cs="Times New Roman"/>
                <w:color w:val="000000"/>
                <w:sz w:val="20"/>
                <w:szCs w:val="20"/>
              </w:rPr>
              <w:t> </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D3B4B35" w14:textId="77777777" w:rsidR="00670FD4" w:rsidRDefault="00670FD4" w:rsidP="001925BA">
            <w:pPr>
              <w:spacing w:after="0" w:line="240" w:lineRule="auto"/>
              <w:ind w:left="100" w:hanging="90"/>
              <w:rPr>
                <w:rFonts w:eastAsia="Times New Roman" w:cs="Times New Roman"/>
                <w:sz w:val="20"/>
                <w:szCs w:val="20"/>
              </w:rPr>
            </w:pPr>
            <w:r>
              <w:rPr>
                <w:rFonts w:eastAsia="Times New Roman" w:cs="Times New Roman"/>
                <w:color w:val="000000"/>
                <w:sz w:val="20"/>
                <w:szCs w:val="20"/>
              </w:rPr>
              <w:t> </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6C11E05" w14:textId="77777777" w:rsidR="00670FD4" w:rsidRDefault="00670FD4" w:rsidP="001925BA">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670FD4" w14:paraId="38D523BE" w14:textId="77777777" w:rsidTr="001925BA">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CEB38A3"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color w:val="000000"/>
                <w:sz w:val="20"/>
                <w:szCs w:val="20"/>
              </w:rPr>
              <w:t>Jurilovca</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6E88401"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color w:val="000000"/>
                <w:sz w:val="20"/>
                <w:szCs w:val="20"/>
              </w:rPr>
              <w:t>15,37</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11CFC72"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color w:val="000000"/>
                <w:sz w:val="20"/>
                <w:szCs w:val="20"/>
              </w:rPr>
              <w:t>17,66</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00D7256" w14:textId="77777777" w:rsidR="00670FD4" w:rsidRDefault="00670FD4" w:rsidP="001925BA">
            <w:pPr>
              <w:spacing w:after="0" w:line="240" w:lineRule="auto"/>
              <w:ind w:left="100" w:hanging="43"/>
              <w:rPr>
                <w:rFonts w:eastAsia="Times New Roman" w:cs="Times New Roman"/>
                <w:sz w:val="20"/>
                <w:szCs w:val="20"/>
              </w:rPr>
            </w:pPr>
            <w:r>
              <w:rPr>
                <w:rFonts w:eastAsia="Times New Roman" w:cs="Times New Roman"/>
                <w:color w:val="000000"/>
                <w:sz w:val="20"/>
                <w:szCs w:val="20"/>
              </w:rPr>
              <w:t> </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EE82DAC" w14:textId="77777777" w:rsidR="00670FD4" w:rsidRDefault="00670FD4" w:rsidP="001925BA">
            <w:pPr>
              <w:spacing w:after="0" w:line="240" w:lineRule="auto"/>
              <w:ind w:left="100" w:hanging="90"/>
              <w:rPr>
                <w:rFonts w:eastAsia="Times New Roman" w:cs="Times New Roman"/>
                <w:sz w:val="20"/>
                <w:szCs w:val="20"/>
              </w:rPr>
            </w:pPr>
            <w:r>
              <w:rPr>
                <w:rFonts w:eastAsia="Times New Roman" w:cs="Times New Roman"/>
                <w:color w:val="000000"/>
                <w:sz w:val="20"/>
                <w:szCs w:val="20"/>
              </w:rPr>
              <w:t> </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C2D16EC" w14:textId="77777777" w:rsidR="00670FD4" w:rsidRDefault="00670FD4" w:rsidP="001925BA">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670FD4" w14:paraId="492995A8" w14:textId="77777777" w:rsidTr="001925BA">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3C8F8DA"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color w:val="000000"/>
                <w:sz w:val="20"/>
                <w:szCs w:val="20"/>
              </w:rPr>
              <w:t>Mihai Viteazu</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FFFB251"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i/>
                <w:color w:val="000000"/>
                <w:sz w:val="20"/>
                <w:szCs w:val="20"/>
              </w:rPr>
              <w:t>lipsă date</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F688F36"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color w:val="000000"/>
                <w:sz w:val="20"/>
                <w:szCs w:val="20"/>
              </w:rPr>
              <w:t>6,98</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94AF6E3" w14:textId="77777777" w:rsidR="00670FD4" w:rsidRDefault="00670FD4" w:rsidP="001925BA">
            <w:pPr>
              <w:spacing w:after="0" w:line="240" w:lineRule="auto"/>
              <w:ind w:left="100" w:hanging="43"/>
              <w:rPr>
                <w:rFonts w:eastAsia="Times New Roman" w:cs="Times New Roman"/>
                <w:sz w:val="20"/>
                <w:szCs w:val="20"/>
              </w:rPr>
            </w:pPr>
            <w:r>
              <w:rPr>
                <w:rFonts w:eastAsia="Times New Roman" w:cs="Times New Roman"/>
                <w:color w:val="000000"/>
                <w:sz w:val="20"/>
                <w:szCs w:val="20"/>
              </w:rPr>
              <w:t> </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BEE4E6F" w14:textId="77777777" w:rsidR="00670FD4" w:rsidRDefault="00670FD4" w:rsidP="001925BA">
            <w:pPr>
              <w:spacing w:after="0" w:line="240" w:lineRule="auto"/>
              <w:ind w:left="100" w:hanging="90"/>
              <w:rPr>
                <w:rFonts w:eastAsia="Times New Roman" w:cs="Times New Roman"/>
                <w:sz w:val="20"/>
                <w:szCs w:val="20"/>
              </w:rPr>
            </w:pPr>
            <w:r>
              <w:rPr>
                <w:rFonts w:eastAsia="Times New Roman" w:cs="Times New Roman"/>
                <w:color w:val="000000"/>
                <w:sz w:val="20"/>
                <w:szCs w:val="20"/>
              </w:rPr>
              <w:t> </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43EEB7" w14:textId="77777777" w:rsidR="00670FD4" w:rsidRDefault="00670FD4" w:rsidP="001925BA">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670FD4" w14:paraId="07938FDA" w14:textId="77777777" w:rsidTr="001925BA">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B5F2A31"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color w:val="000000"/>
                <w:sz w:val="20"/>
                <w:szCs w:val="20"/>
              </w:rPr>
              <w:t>Istria</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CE2920F"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i/>
                <w:color w:val="000000"/>
                <w:sz w:val="20"/>
                <w:szCs w:val="20"/>
              </w:rPr>
              <w:t>lipsă date</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B0A37BE"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i/>
                <w:color w:val="000000"/>
                <w:sz w:val="20"/>
                <w:szCs w:val="20"/>
              </w:rPr>
              <w:t>lipsă date</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2095C3F" w14:textId="77777777" w:rsidR="00670FD4" w:rsidRDefault="00670FD4" w:rsidP="001925BA">
            <w:pPr>
              <w:spacing w:after="0" w:line="240" w:lineRule="auto"/>
              <w:ind w:left="100" w:hanging="43"/>
              <w:rPr>
                <w:rFonts w:eastAsia="Times New Roman" w:cs="Times New Roman"/>
                <w:sz w:val="20"/>
                <w:szCs w:val="20"/>
              </w:rPr>
            </w:pPr>
            <w:r>
              <w:rPr>
                <w:rFonts w:eastAsia="Times New Roman" w:cs="Times New Roman"/>
                <w:color w:val="000000"/>
                <w:sz w:val="20"/>
                <w:szCs w:val="20"/>
              </w:rPr>
              <w:t> </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C24D021" w14:textId="77777777" w:rsidR="00670FD4" w:rsidRDefault="00670FD4" w:rsidP="001925BA">
            <w:pPr>
              <w:spacing w:after="0" w:line="240" w:lineRule="auto"/>
              <w:ind w:left="100" w:hanging="90"/>
              <w:rPr>
                <w:rFonts w:eastAsia="Times New Roman" w:cs="Times New Roman"/>
                <w:sz w:val="20"/>
                <w:szCs w:val="20"/>
              </w:rPr>
            </w:pPr>
            <w:r>
              <w:rPr>
                <w:rFonts w:eastAsia="Times New Roman" w:cs="Times New Roman"/>
                <w:color w:val="000000"/>
                <w:sz w:val="20"/>
                <w:szCs w:val="20"/>
              </w:rPr>
              <w:t> </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B514366" w14:textId="77777777" w:rsidR="00670FD4" w:rsidRDefault="00670FD4" w:rsidP="001925BA">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670FD4" w14:paraId="0417C2AA" w14:textId="77777777" w:rsidTr="001925BA">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30251F9"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color w:val="000000"/>
                <w:sz w:val="20"/>
                <w:szCs w:val="20"/>
              </w:rPr>
              <w:t>Săcele</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B0F84A3"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i/>
                <w:color w:val="000000"/>
                <w:sz w:val="20"/>
                <w:szCs w:val="20"/>
              </w:rPr>
              <w:t>lipsă date</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D60507C"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i/>
                <w:color w:val="000000"/>
                <w:sz w:val="20"/>
                <w:szCs w:val="20"/>
              </w:rPr>
              <w:t>lipsă date</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2FC74C5" w14:textId="77777777" w:rsidR="00670FD4" w:rsidRDefault="00670FD4" w:rsidP="001925BA">
            <w:pPr>
              <w:spacing w:after="0" w:line="240" w:lineRule="auto"/>
              <w:ind w:left="100" w:hanging="43"/>
              <w:rPr>
                <w:rFonts w:eastAsia="Times New Roman" w:cs="Times New Roman"/>
                <w:sz w:val="20"/>
                <w:szCs w:val="20"/>
              </w:rPr>
            </w:pPr>
            <w:r>
              <w:rPr>
                <w:rFonts w:eastAsia="Times New Roman" w:cs="Times New Roman"/>
                <w:color w:val="000000"/>
                <w:sz w:val="20"/>
                <w:szCs w:val="20"/>
              </w:rPr>
              <w:t>191,44</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A188D99" w14:textId="77777777" w:rsidR="00670FD4" w:rsidRDefault="00670FD4" w:rsidP="001925BA">
            <w:pPr>
              <w:spacing w:after="0" w:line="240" w:lineRule="auto"/>
              <w:ind w:left="100" w:hanging="90"/>
              <w:rPr>
                <w:rFonts w:eastAsia="Times New Roman" w:cs="Times New Roman"/>
                <w:sz w:val="20"/>
                <w:szCs w:val="20"/>
              </w:rPr>
            </w:pPr>
            <w:r>
              <w:rPr>
                <w:rFonts w:eastAsia="Times New Roman" w:cs="Times New Roman"/>
                <w:color w:val="000000"/>
                <w:sz w:val="20"/>
                <w:szCs w:val="20"/>
              </w:rPr>
              <w:t>501,45</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AFCECDD" w14:textId="77777777" w:rsidR="00670FD4" w:rsidRDefault="00670FD4" w:rsidP="001925BA">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670FD4" w14:paraId="0D6D9F46" w14:textId="77777777" w:rsidTr="001925BA">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E93A849"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color w:val="000000"/>
                <w:sz w:val="20"/>
                <w:szCs w:val="20"/>
              </w:rPr>
              <w:t>Corbu</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1ABB8A9"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i/>
                <w:color w:val="000000"/>
                <w:sz w:val="20"/>
                <w:szCs w:val="20"/>
              </w:rPr>
              <w:t>lipsă date</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3D7F174"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i/>
                <w:color w:val="000000"/>
                <w:sz w:val="20"/>
                <w:szCs w:val="20"/>
              </w:rPr>
              <w:t>lipsă date</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E56C29D" w14:textId="77777777" w:rsidR="00670FD4" w:rsidRDefault="00670FD4" w:rsidP="001925BA">
            <w:pPr>
              <w:spacing w:after="0" w:line="240" w:lineRule="auto"/>
              <w:ind w:left="100" w:hanging="43"/>
              <w:rPr>
                <w:rFonts w:eastAsia="Times New Roman" w:cs="Times New Roman"/>
                <w:sz w:val="20"/>
                <w:szCs w:val="20"/>
              </w:rPr>
            </w:pPr>
            <w:r>
              <w:rPr>
                <w:rFonts w:eastAsia="Times New Roman" w:cs="Times New Roman"/>
                <w:color w:val="000000"/>
                <w:sz w:val="20"/>
                <w:szCs w:val="20"/>
              </w:rPr>
              <w:t> </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174C1DA" w14:textId="77777777" w:rsidR="00670FD4" w:rsidRDefault="00670FD4" w:rsidP="001925BA">
            <w:pPr>
              <w:spacing w:after="0" w:line="240" w:lineRule="auto"/>
              <w:ind w:left="100" w:hanging="90"/>
              <w:rPr>
                <w:rFonts w:eastAsia="Times New Roman" w:cs="Times New Roman"/>
                <w:sz w:val="20"/>
                <w:szCs w:val="20"/>
              </w:rPr>
            </w:pPr>
            <w:r>
              <w:rPr>
                <w:rFonts w:eastAsia="Times New Roman" w:cs="Times New Roman"/>
                <w:color w:val="000000"/>
                <w:sz w:val="20"/>
                <w:szCs w:val="20"/>
              </w:rPr>
              <w:t> </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73D803D" w14:textId="77777777" w:rsidR="00670FD4" w:rsidRDefault="00670FD4" w:rsidP="001925BA">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670FD4" w14:paraId="64207F72" w14:textId="77777777" w:rsidTr="001925BA">
        <w:trPr>
          <w:trHeight w:val="391"/>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183E9DE"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color w:val="000000"/>
                <w:sz w:val="20"/>
                <w:szCs w:val="20"/>
              </w:rPr>
              <w:t>Năvodari</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CAFAE48"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color w:val="000000"/>
                <w:sz w:val="20"/>
                <w:szCs w:val="20"/>
              </w:rPr>
              <w:t>520,84</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ABDE8AE"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color w:val="000000"/>
                <w:sz w:val="20"/>
                <w:szCs w:val="20"/>
              </w:rPr>
              <w:t>964,29</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2944409" w14:textId="77777777" w:rsidR="00670FD4" w:rsidRDefault="00670FD4" w:rsidP="001925BA">
            <w:pPr>
              <w:spacing w:after="0" w:line="240" w:lineRule="auto"/>
              <w:ind w:left="100" w:hanging="43"/>
              <w:rPr>
                <w:rFonts w:eastAsia="Times New Roman" w:cs="Times New Roman"/>
                <w:sz w:val="20"/>
                <w:szCs w:val="20"/>
              </w:rPr>
            </w:pPr>
            <w:r>
              <w:rPr>
                <w:rFonts w:eastAsia="Times New Roman" w:cs="Times New Roman"/>
                <w:color w:val="000000"/>
                <w:sz w:val="20"/>
                <w:szCs w:val="20"/>
              </w:rPr>
              <w:t>251,22</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D02EB9A" w14:textId="77777777" w:rsidR="00670FD4" w:rsidRDefault="00670FD4" w:rsidP="001925BA">
            <w:pPr>
              <w:spacing w:after="0" w:line="240" w:lineRule="auto"/>
              <w:ind w:left="100" w:hanging="90"/>
              <w:rPr>
                <w:rFonts w:eastAsia="Times New Roman" w:cs="Times New Roman"/>
                <w:sz w:val="20"/>
                <w:szCs w:val="20"/>
              </w:rPr>
            </w:pPr>
            <w:r>
              <w:rPr>
                <w:rFonts w:eastAsia="Times New Roman" w:cs="Times New Roman"/>
                <w:color w:val="000000"/>
                <w:sz w:val="20"/>
                <w:szCs w:val="20"/>
              </w:rPr>
              <w:t>865,48</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4156716" w14:textId="77777777" w:rsidR="00670FD4" w:rsidRDefault="00670FD4" w:rsidP="001925BA">
            <w:pPr>
              <w:spacing w:after="0" w:line="240" w:lineRule="auto"/>
              <w:ind w:left="100" w:hanging="61"/>
              <w:rPr>
                <w:rFonts w:eastAsia="Times New Roman" w:cs="Times New Roman"/>
                <w:sz w:val="20"/>
                <w:szCs w:val="20"/>
              </w:rPr>
            </w:pPr>
            <w:r>
              <w:rPr>
                <w:rFonts w:eastAsia="Times New Roman" w:cs="Times New Roman"/>
                <w:color w:val="000000"/>
                <w:sz w:val="20"/>
                <w:szCs w:val="20"/>
              </w:rPr>
              <w:t>inclusiv zona de activități portuare</w:t>
            </w:r>
          </w:p>
        </w:tc>
      </w:tr>
      <w:tr w:rsidR="00670FD4" w14:paraId="1E9ED376" w14:textId="77777777" w:rsidTr="001925BA">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DC62B0E"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color w:val="000000"/>
                <w:sz w:val="20"/>
                <w:szCs w:val="20"/>
              </w:rPr>
              <w:t>Constanța</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66E8E7A"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color w:val="000000"/>
                <w:sz w:val="20"/>
                <w:szCs w:val="20"/>
              </w:rPr>
              <w:t>630,12</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A5CC8B9"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i/>
                <w:color w:val="000000"/>
                <w:sz w:val="20"/>
                <w:szCs w:val="20"/>
              </w:rPr>
              <w:t>lipsă date</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48D11FC" w14:textId="77777777" w:rsidR="00670FD4" w:rsidRDefault="00670FD4" w:rsidP="001925BA">
            <w:pPr>
              <w:spacing w:after="0" w:line="240" w:lineRule="auto"/>
              <w:ind w:left="100" w:hanging="43"/>
              <w:rPr>
                <w:rFonts w:eastAsia="Times New Roman" w:cs="Times New Roman"/>
                <w:sz w:val="20"/>
                <w:szCs w:val="20"/>
              </w:rPr>
            </w:pPr>
            <w:r>
              <w:rPr>
                <w:rFonts w:eastAsia="Times New Roman" w:cs="Times New Roman"/>
                <w:color w:val="000000"/>
                <w:sz w:val="20"/>
                <w:szCs w:val="20"/>
              </w:rPr>
              <w:t>673,25</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2F7D3E6" w14:textId="77777777" w:rsidR="00670FD4" w:rsidRDefault="00670FD4" w:rsidP="001925BA">
            <w:pPr>
              <w:spacing w:after="0" w:line="240" w:lineRule="auto"/>
              <w:ind w:left="100" w:hanging="90"/>
              <w:rPr>
                <w:rFonts w:eastAsia="Times New Roman" w:cs="Times New Roman"/>
                <w:sz w:val="20"/>
                <w:szCs w:val="20"/>
              </w:rPr>
            </w:pPr>
            <w:r>
              <w:rPr>
                <w:rFonts w:eastAsia="Times New Roman" w:cs="Times New Roman"/>
                <w:color w:val="000000"/>
                <w:sz w:val="20"/>
                <w:szCs w:val="20"/>
              </w:rPr>
              <w:t> </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889195C" w14:textId="77777777" w:rsidR="00670FD4" w:rsidRDefault="00670FD4" w:rsidP="001925BA">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670FD4" w14:paraId="238C2AFE" w14:textId="77777777" w:rsidTr="001925BA">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E232511"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color w:val="000000"/>
                <w:sz w:val="20"/>
                <w:szCs w:val="20"/>
              </w:rPr>
              <w:t>Agigea</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551D6CA"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i/>
                <w:color w:val="000000"/>
                <w:sz w:val="20"/>
                <w:szCs w:val="20"/>
              </w:rPr>
              <w:t>lipsă date</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FA9E684"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i/>
                <w:color w:val="000000"/>
                <w:sz w:val="20"/>
                <w:szCs w:val="20"/>
              </w:rPr>
              <w:t>lipsă date</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3FD1557" w14:textId="77777777" w:rsidR="00670FD4" w:rsidRDefault="00670FD4" w:rsidP="001925BA">
            <w:pPr>
              <w:spacing w:after="0" w:line="240" w:lineRule="auto"/>
              <w:ind w:left="100" w:hanging="43"/>
              <w:rPr>
                <w:rFonts w:eastAsia="Times New Roman" w:cs="Times New Roman"/>
                <w:sz w:val="20"/>
                <w:szCs w:val="20"/>
              </w:rPr>
            </w:pPr>
            <w:r>
              <w:rPr>
                <w:rFonts w:eastAsia="Times New Roman" w:cs="Times New Roman"/>
                <w:color w:val="000000"/>
                <w:sz w:val="20"/>
                <w:szCs w:val="20"/>
              </w:rPr>
              <w:t> </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F289E12" w14:textId="77777777" w:rsidR="00670FD4" w:rsidRDefault="00670FD4" w:rsidP="001925BA">
            <w:pPr>
              <w:spacing w:after="0" w:line="240" w:lineRule="auto"/>
              <w:ind w:left="100" w:hanging="90"/>
              <w:rPr>
                <w:rFonts w:eastAsia="Times New Roman" w:cs="Times New Roman"/>
                <w:sz w:val="20"/>
                <w:szCs w:val="20"/>
              </w:rPr>
            </w:pPr>
            <w:r>
              <w:rPr>
                <w:rFonts w:eastAsia="Times New Roman" w:cs="Times New Roman"/>
                <w:color w:val="000000"/>
                <w:sz w:val="20"/>
                <w:szCs w:val="20"/>
              </w:rPr>
              <w:t> </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444EEDB" w14:textId="77777777" w:rsidR="00670FD4" w:rsidRDefault="00670FD4" w:rsidP="001925BA">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670FD4" w14:paraId="01DA44FA" w14:textId="77777777" w:rsidTr="001925BA">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35A072C"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color w:val="000000"/>
                <w:sz w:val="20"/>
                <w:szCs w:val="20"/>
              </w:rPr>
              <w:t>Techirghiol</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FD205F7"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i/>
                <w:color w:val="000000"/>
                <w:sz w:val="20"/>
                <w:szCs w:val="20"/>
              </w:rPr>
              <w:t>lipsă date</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73BAC8B"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i/>
                <w:color w:val="000000"/>
                <w:sz w:val="20"/>
                <w:szCs w:val="20"/>
              </w:rPr>
              <w:t>lipsă date</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7574C34" w14:textId="77777777" w:rsidR="00670FD4" w:rsidRDefault="00670FD4" w:rsidP="001925BA">
            <w:pPr>
              <w:spacing w:after="0" w:line="240" w:lineRule="auto"/>
              <w:ind w:left="100" w:hanging="43"/>
              <w:rPr>
                <w:rFonts w:eastAsia="Times New Roman" w:cs="Times New Roman"/>
                <w:sz w:val="20"/>
                <w:szCs w:val="20"/>
              </w:rPr>
            </w:pPr>
            <w:r>
              <w:rPr>
                <w:rFonts w:eastAsia="Times New Roman" w:cs="Times New Roman"/>
                <w:color w:val="000000"/>
                <w:sz w:val="20"/>
                <w:szCs w:val="20"/>
              </w:rPr>
              <w:t>9,80</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B133C88" w14:textId="77777777" w:rsidR="00670FD4" w:rsidRDefault="00670FD4" w:rsidP="001925BA">
            <w:pPr>
              <w:spacing w:after="0" w:line="240" w:lineRule="auto"/>
              <w:ind w:left="100" w:hanging="90"/>
              <w:rPr>
                <w:rFonts w:eastAsia="Times New Roman" w:cs="Times New Roman"/>
                <w:sz w:val="20"/>
                <w:szCs w:val="20"/>
              </w:rPr>
            </w:pPr>
            <w:r>
              <w:rPr>
                <w:rFonts w:eastAsia="Times New Roman" w:cs="Times New Roman"/>
                <w:color w:val="000000"/>
                <w:sz w:val="20"/>
                <w:szCs w:val="20"/>
              </w:rPr>
              <w:t>47,52</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C061ED9" w14:textId="77777777" w:rsidR="00670FD4" w:rsidRDefault="00670FD4" w:rsidP="001925BA">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670FD4" w14:paraId="5D29DD7D" w14:textId="77777777" w:rsidTr="001925BA">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D94CBA4"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color w:val="000000"/>
                <w:sz w:val="20"/>
                <w:szCs w:val="20"/>
              </w:rPr>
              <w:t>Eforie</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0551B7C"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color w:val="000000"/>
                <w:sz w:val="20"/>
                <w:szCs w:val="20"/>
              </w:rPr>
              <w:t>61,00</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C0C4AC7"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color w:val="000000"/>
                <w:sz w:val="20"/>
                <w:szCs w:val="20"/>
              </w:rPr>
              <w:t>99,50</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E9D68E5" w14:textId="77777777" w:rsidR="00670FD4" w:rsidRDefault="00670FD4" w:rsidP="001925BA">
            <w:pPr>
              <w:spacing w:after="0" w:line="240" w:lineRule="auto"/>
              <w:ind w:left="100" w:hanging="43"/>
              <w:rPr>
                <w:rFonts w:eastAsia="Times New Roman" w:cs="Times New Roman"/>
                <w:sz w:val="20"/>
                <w:szCs w:val="20"/>
              </w:rPr>
            </w:pPr>
            <w:r>
              <w:rPr>
                <w:rFonts w:eastAsia="Times New Roman" w:cs="Times New Roman"/>
                <w:color w:val="000000"/>
                <w:sz w:val="20"/>
                <w:szCs w:val="20"/>
              </w:rPr>
              <w:t> </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7CDE04D" w14:textId="77777777" w:rsidR="00670FD4" w:rsidRDefault="00670FD4" w:rsidP="001925BA">
            <w:pPr>
              <w:spacing w:after="0" w:line="240" w:lineRule="auto"/>
              <w:ind w:left="100" w:hanging="90"/>
              <w:rPr>
                <w:rFonts w:eastAsia="Times New Roman" w:cs="Times New Roman"/>
                <w:sz w:val="20"/>
                <w:szCs w:val="20"/>
              </w:rPr>
            </w:pPr>
            <w:r>
              <w:rPr>
                <w:rFonts w:eastAsia="Times New Roman" w:cs="Times New Roman"/>
                <w:color w:val="000000"/>
                <w:sz w:val="20"/>
                <w:szCs w:val="20"/>
              </w:rPr>
              <w:t> </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022ABE9" w14:textId="77777777" w:rsidR="00670FD4" w:rsidRDefault="00670FD4" w:rsidP="001925BA">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670FD4" w14:paraId="10AD10BC" w14:textId="77777777" w:rsidTr="001925BA">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A22E811"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color w:val="000000"/>
                <w:sz w:val="20"/>
                <w:szCs w:val="20"/>
              </w:rPr>
              <w:t>Tuzla</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82D9DFC"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i/>
                <w:color w:val="000000"/>
                <w:sz w:val="20"/>
                <w:szCs w:val="20"/>
              </w:rPr>
              <w:t>lipsă date</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9127CCD"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color w:val="000000"/>
                <w:sz w:val="20"/>
                <w:szCs w:val="20"/>
              </w:rPr>
              <w:t>37,50</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54A9D6A" w14:textId="77777777" w:rsidR="00670FD4" w:rsidRDefault="00670FD4" w:rsidP="001925BA">
            <w:pPr>
              <w:spacing w:after="0" w:line="240" w:lineRule="auto"/>
              <w:ind w:left="100" w:hanging="43"/>
              <w:rPr>
                <w:rFonts w:eastAsia="Times New Roman" w:cs="Times New Roman"/>
                <w:sz w:val="20"/>
                <w:szCs w:val="20"/>
              </w:rPr>
            </w:pPr>
            <w:r>
              <w:rPr>
                <w:rFonts w:eastAsia="Times New Roman" w:cs="Times New Roman"/>
                <w:color w:val="000000"/>
                <w:sz w:val="20"/>
                <w:szCs w:val="20"/>
              </w:rPr>
              <w:t> </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A85B649" w14:textId="77777777" w:rsidR="00670FD4" w:rsidRDefault="00670FD4" w:rsidP="001925BA">
            <w:pPr>
              <w:spacing w:after="0" w:line="240" w:lineRule="auto"/>
              <w:ind w:left="100" w:hanging="90"/>
              <w:rPr>
                <w:rFonts w:eastAsia="Times New Roman" w:cs="Times New Roman"/>
                <w:sz w:val="20"/>
                <w:szCs w:val="20"/>
              </w:rPr>
            </w:pPr>
            <w:r>
              <w:rPr>
                <w:rFonts w:eastAsia="Times New Roman" w:cs="Times New Roman"/>
                <w:color w:val="000000"/>
                <w:sz w:val="20"/>
                <w:szCs w:val="20"/>
              </w:rPr>
              <w:t> </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6AEF2FF" w14:textId="77777777" w:rsidR="00670FD4" w:rsidRDefault="00670FD4" w:rsidP="001925BA">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670FD4" w14:paraId="759C1491" w14:textId="77777777" w:rsidTr="001925BA">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A67A595"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color w:val="000000"/>
                <w:sz w:val="20"/>
                <w:szCs w:val="20"/>
              </w:rPr>
              <w:lastRenderedPageBreak/>
              <w:t>Costinești</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5482230"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i/>
                <w:color w:val="000000"/>
                <w:sz w:val="20"/>
                <w:szCs w:val="20"/>
              </w:rPr>
              <w:t>lipsă date</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B547C34"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color w:val="000000"/>
                <w:sz w:val="20"/>
                <w:szCs w:val="20"/>
              </w:rPr>
              <w:t>58,42</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32DBEE5" w14:textId="77777777" w:rsidR="00670FD4" w:rsidRDefault="00670FD4" w:rsidP="001925BA">
            <w:pPr>
              <w:spacing w:after="0" w:line="240" w:lineRule="auto"/>
              <w:ind w:left="100" w:hanging="43"/>
              <w:rPr>
                <w:rFonts w:eastAsia="Times New Roman" w:cs="Times New Roman"/>
                <w:sz w:val="20"/>
                <w:szCs w:val="20"/>
              </w:rPr>
            </w:pPr>
            <w:r>
              <w:rPr>
                <w:rFonts w:eastAsia="Times New Roman" w:cs="Times New Roman"/>
                <w:color w:val="000000"/>
                <w:sz w:val="20"/>
                <w:szCs w:val="20"/>
              </w:rPr>
              <w:t> </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D010F2B" w14:textId="77777777" w:rsidR="00670FD4" w:rsidRDefault="00670FD4" w:rsidP="001925BA">
            <w:pPr>
              <w:spacing w:after="0" w:line="240" w:lineRule="auto"/>
              <w:ind w:left="100" w:hanging="90"/>
              <w:rPr>
                <w:rFonts w:eastAsia="Times New Roman" w:cs="Times New Roman"/>
                <w:sz w:val="20"/>
                <w:szCs w:val="20"/>
              </w:rPr>
            </w:pPr>
            <w:r>
              <w:rPr>
                <w:rFonts w:eastAsia="Times New Roman" w:cs="Times New Roman"/>
                <w:color w:val="000000"/>
                <w:sz w:val="20"/>
                <w:szCs w:val="20"/>
              </w:rPr>
              <w:t> </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CAF8C08" w14:textId="77777777" w:rsidR="00670FD4" w:rsidRDefault="00670FD4" w:rsidP="001925BA">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670FD4" w14:paraId="77863AFF" w14:textId="77777777" w:rsidTr="001925BA">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FCDF18A"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color w:val="000000"/>
                <w:sz w:val="20"/>
                <w:szCs w:val="20"/>
              </w:rPr>
              <w:t>23 August</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AB82682"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i/>
                <w:color w:val="000000"/>
                <w:sz w:val="20"/>
                <w:szCs w:val="20"/>
              </w:rPr>
              <w:t>lipsă date</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5AA07F2"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i/>
                <w:color w:val="000000"/>
                <w:sz w:val="20"/>
                <w:szCs w:val="20"/>
              </w:rPr>
              <w:t>lipsă date</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6FF83AB" w14:textId="77777777" w:rsidR="00670FD4" w:rsidRDefault="00670FD4" w:rsidP="001925BA">
            <w:pPr>
              <w:spacing w:after="0" w:line="240" w:lineRule="auto"/>
              <w:ind w:left="100" w:hanging="43"/>
              <w:rPr>
                <w:rFonts w:eastAsia="Times New Roman" w:cs="Times New Roman"/>
                <w:sz w:val="20"/>
                <w:szCs w:val="20"/>
              </w:rPr>
            </w:pPr>
            <w:r>
              <w:rPr>
                <w:rFonts w:eastAsia="Times New Roman" w:cs="Times New Roman"/>
                <w:color w:val="000000"/>
                <w:sz w:val="20"/>
                <w:szCs w:val="20"/>
              </w:rPr>
              <w:t> </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36AE5CE" w14:textId="77777777" w:rsidR="00670FD4" w:rsidRDefault="00670FD4" w:rsidP="001925BA">
            <w:pPr>
              <w:spacing w:after="0" w:line="240" w:lineRule="auto"/>
              <w:ind w:left="100" w:hanging="90"/>
              <w:rPr>
                <w:rFonts w:eastAsia="Times New Roman" w:cs="Times New Roman"/>
                <w:sz w:val="20"/>
                <w:szCs w:val="20"/>
              </w:rPr>
            </w:pPr>
            <w:r>
              <w:rPr>
                <w:rFonts w:eastAsia="Times New Roman" w:cs="Times New Roman"/>
                <w:color w:val="000000"/>
                <w:sz w:val="20"/>
                <w:szCs w:val="20"/>
              </w:rPr>
              <w:t> </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6FEC989" w14:textId="77777777" w:rsidR="00670FD4" w:rsidRDefault="00670FD4" w:rsidP="001925BA">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670FD4" w14:paraId="4CA15232" w14:textId="77777777" w:rsidTr="001925BA">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3924B9C"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color w:val="000000"/>
                <w:sz w:val="20"/>
                <w:szCs w:val="20"/>
              </w:rPr>
              <w:t>Mangalia</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E6B8CFE"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color w:val="000000"/>
                <w:sz w:val="20"/>
                <w:szCs w:val="20"/>
              </w:rPr>
              <w:t>143,32</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F0CC6B7"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color w:val="000000"/>
                <w:sz w:val="20"/>
                <w:szCs w:val="20"/>
              </w:rPr>
              <w:t>163,54</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830172B" w14:textId="77777777" w:rsidR="00670FD4" w:rsidRDefault="00670FD4" w:rsidP="001925BA">
            <w:pPr>
              <w:spacing w:after="0" w:line="240" w:lineRule="auto"/>
              <w:ind w:left="100" w:hanging="43"/>
              <w:rPr>
                <w:rFonts w:eastAsia="Times New Roman" w:cs="Times New Roman"/>
                <w:sz w:val="20"/>
                <w:szCs w:val="20"/>
              </w:rPr>
            </w:pPr>
            <w:r>
              <w:rPr>
                <w:rFonts w:eastAsia="Times New Roman" w:cs="Times New Roman"/>
                <w:color w:val="000000"/>
                <w:sz w:val="20"/>
                <w:szCs w:val="20"/>
              </w:rPr>
              <w:t> </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7F5D1C4" w14:textId="77777777" w:rsidR="00670FD4" w:rsidRDefault="00670FD4" w:rsidP="001925BA">
            <w:pPr>
              <w:spacing w:after="0" w:line="240" w:lineRule="auto"/>
              <w:ind w:left="100" w:hanging="90"/>
              <w:rPr>
                <w:rFonts w:eastAsia="Times New Roman" w:cs="Times New Roman"/>
                <w:sz w:val="20"/>
                <w:szCs w:val="20"/>
              </w:rPr>
            </w:pPr>
            <w:r>
              <w:rPr>
                <w:rFonts w:eastAsia="Times New Roman" w:cs="Times New Roman"/>
                <w:color w:val="000000"/>
                <w:sz w:val="20"/>
                <w:szCs w:val="20"/>
              </w:rPr>
              <w:t> </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C7D43DD" w14:textId="77777777" w:rsidR="00670FD4" w:rsidRDefault="00670FD4" w:rsidP="001925BA">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670FD4" w14:paraId="20193CE1" w14:textId="77777777" w:rsidTr="001925BA">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3DB2AFE"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color w:val="000000"/>
                <w:sz w:val="20"/>
                <w:szCs w:val="20"/>
              </w:rPr>
              <w:t>Limanu</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A0D4284" w14:textId="77777777" w:rsidR="00670FD4" w:rsidRDefault="00670FD4" w:rsidP="001925BA">
            <w:pPr>
              <w:spacing w:after="0" w:line="240" w:lineRule="auto"/>
              <w:ind w:left="100" w:hanging="68"/>
              <w:rPr>
                <w:rFonts w:eastAsia="Times New Roman" w:cs="Times New Roman"/>
                <w:sz w:val="20"/>
                <w:szCs w:val="20"/>
              </w:rPr>
            </w:pPr>
            <w:r>
              <w:rPr>
                <w:rFonts w:eastAsia="Times New Roman" w:cs="Times New Roman"/>
                <w:color w:val="000000"/>
                <w:sz w:val="20"/>
                <w:szCs w:val="20"/>
              </w:rPr>
              <w:t>0,00</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9BD9F8B" w14:textId="77777777" w:rsidR="00670FD4" w:rsidRDefault="00670FD4" w:rsidP="001925BA">
            <w:pPr>
              <w:spacing w:after="0" w:line="240" w:lineRule="auto"/>
              <w:ind w:left="100" w:hanging="100"/>
              <w:rPr>
                <w:rFonts w:eastAsia="Times New Roman" w:cs="Times New Roman"/>
                <w:sz w:val="20"/>
                <w:szCs w:val="20"/>
              </w:rPr>
            </w:pPr>
            <w:r>
              <w:rPr>
                <w:rFonts w:eastAsia="Times New Roman" w:cs="Times New Roman"/>
                <w:color w:val="000000"/>
                <w:sz w:val="20"/>
                <w:szCs w:val="20"/>
              </w:rPr>
              <w:t>0,00</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A9E45F4" w14:textId="77777777" w:rsidR="00670FD4" w:rsidRDefault="00670FD4" w:rsidP="001925BA">
            <w:pPr>
              <w:spacing w:after="0" w:line="240" w:lineRule="auto"/>
              <w:ind w:left="100" w:hanging="43"/>
              <w:rPr>
                <w:rFonts w:eastAsia="Times New Roman" w:cs="Times New Roman"/>
                <w:sz w:val="20"/>
                <w:szCs w:val="20"/>
              </w:rPr>
            </w:pPr>
            <w:r>
              <w:rPr>
                <w:rFonts w:eastAsia="Times New Roman" w:cs="Times New Roman"/>
                <w:color w:val="000000"/>
                <w:sz w:val="20"/>
                <w:szCs w:val="20"/>
              </w:rPr>
              <w:t> </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4EE6CCB" w14:textId="77777777" w:rsidR="00670FD4" w:rsidRDefault="00670FD4" w:rsidP="001925BA">
            <w:pPr>
              <w:spacing w:after="0" w:line="240" w:lineRule="auto"/>
              <w:ind w:left="100" w:hanging="90"/>
              <w:rPr>
                <w:rFonts w:eastAsia="Times New Roman" w:cs="Times New Roman"/>
                <w:sz w:val="20"/>
                <w:szCs w:val="20"/>
              </w:rPr>
            </w:pPr>
            <w:r>
              <w:rPr>
                <w:rFonts w:eastAsia="Times New Roman" w:cs="Times New Roman"/>
                <w:color w:val="000000"/>
                <w:sz w:val="20"/>
                <w:szCs w:val="20"/>
              </w:rPr>
              <w:t> </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9D088B5" w14:textId="77777777" w:rsidR="00670FD4" w:rsidRDefault="00670FD4" w:rsidP="001925BA">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bl>
    <w:p w14:paraId="03415544" w14:textId="77777777" w:rsidR="00670FD4" w:rsidRDefault="00670FD4" w:rsidP="00670FD4">
      <w:pPr>
        <w:rPr>
          <w:rFonts w:eastAsia="Times New Roman" w:cs="Times New Roman"/>
        </w:rPr>
      </w:pPr>
    </w:p>
    <w:p w14:paraId="7C70B6CA" w14:textId="77777777" w:rsidR="00670FD4" w:rsidRDefault="00670FD4" w:rsidP="00670FD4">
      <w:pPr>
        <w:pStyle w:val="Heading4"/>
      </w:pPr>
      <w:bookmarkStart w:id="107" w:name="_Toc171084855"/>
      <w:r>
        <w:t>4.8.9 Infrastructura de utilități</w:t>
      </w:r>
      <w:bookmarkEnd w:id="107"/>
    </w:p>
    <w:p w14:paraId="0B216038" w14:textId="77777777" w:rsidR="00670FD4" w:rsidRDefault="00670FD4" w:rsidP="00670FD4">
      <w:pPr>
        <w:rPr>
          <w:rFonts w:eastAsia="Times New Roman" w:cs="Times New Roman"/>
          <w:i/>
          <w:color w:val="000000"/>
        </w:rPr>
      </w:pPr>
      <w:r>
        <w:rPr>
          <w:rFonts w:eastAsia="Times New Roman" w:cs="Times New Roman"/>
          <w:i/>
          <w:color w:val="000000"/>
        </w:rPr>
        <w:t>Infrastructura de alimentare cu gaze naturale</w:t>
      </w:r>
    </w:p>
    <w:p w14:paraId="1A750010" w14:textId="77777777" w:rsidR="00670FD4" w:rsidRDefault="00670FD4" w:rsidP="00670FD4">
      <w:pPr>
        <w:ind w:firstLine="567"/>
        <w:rPr>
          <w:rFonts w:eastAsia="Times New Roman" w:cs="Times New Roman"/>
          <w:color w:val="000000"/>
        </w:rPr>
      </w:pPr>
      <w:r>
        <w:rPr>
          <w:rFonts w:eastAsia="Times New Roman" w:cs="Times New Roman"/>
          <w:color w:val="000000"/>
        </w:rPr>
        <w:t>În cadrul rețelei naționale de distribuție de gaze naturale, județele Constanța și Tulcea se află în culoarul 7 de transport internațional: ZB0100-Isaccea-Şendreni și ZB1500-Tranzit-Dobrogea. De asemenea, este de menționat proiectul „Extindere SNT prin realizare conductă de transport gaze naturale de la punct preluare gaze Marea Neagră (zona Vadu) – la conducta Tranzit 1 (zona Grădina)”. Conducta, în lungime totală de aproximativ 24,37 km, este proiectată pentru a transporta gaze naturale de la GTP Vadu la conducta ”Tranzit 1” a Sistemului Naţional de Transmisie a gazelor.</w:t>
      </w:r>
    </w:p>
    <w:p w14:paraId="159036BD" w14:textId="77777777" w:rsidR="00670FD4" w:rsidRDefault="00670FD4" w:rsidP="00670FD4">
      <w:pPr>
        <w:rPr>
          <w:rFonts w:eastAsia="Times New Roman" w:cs="Times New Roman"/>
          <w:i/>
          <w:color w:val="000000"/>
        </w:rPr>
      </w:pPr>
      <w:r>
        <w:rPr>
          <w:rFonts w:eastAsia="Times New Roman" w:cs="Times New Roman"/>
          <w:i/>
          <w:color w:val="000000"/>
        </w:rPr>
        <w:t>Infrastructura de alimentare cu energie electrică</w:t>
      </w:r>
    </w:p>
    <w:p w14:paraId="5890AABA" w14:textId="77777777" w:rsidR="00670FD4" w:rsidRDefault="00670FD4" w:rsidP="00670FD4">
      <w:pPr>
        <w:ind w:firstLine="567"/>
        <w:rPr>
          <w:rFonts w:eastAsia="Times New Roman" w:cs="Times New Roman"/>
          <w:color w:val="000000"/>
        </w:rPr>
      </w:pPr>
      <w:r>
        <w:rPr>
          <w:rFonts w:eastAsia="Times New Roman" w:cs="Times New Roman"/>
          <w:color w:val="000000"/>
        </w:rPr>
        <w:t>În județul Constanța, infrastructura majoră de alimentare cu energie electrică este reprezentată de liniile electrice aeriene de 750 kV și 400 kV, 4 stații de transformare 400/110 kV, dintre care una, Constanța Nord, este localizată în zona costieră. În județul Tulcea, stațiile de transformare (Isaccea și Tulcea Vest) sunt situate în afara zonei costiere.</w:t>
      </w:r>
    </w:p>
    <w:p w14:paraId="40F29902" w14:textId="77777777" w:rsidR="00670FD4" w:rsidRDefault="00670FD4" w:rsidP="00670FD4">
      <w:pPr>
        <w:rPr>
          <w:rFonts w:eastAsia="Times New Roman" w:cs="Times New Roman"/>
        </w:rPr>
      </w:pPr>
      <w:r>
        <w:rPr>
          <w:rFonts w:eastAsia="Times New Roman" w:cs="Times New Roman"/>
          <w:i/>
          <w:color w:val="000000"/>
        </w:rPr>
        <w:t>Infrastructura de alimentare cu apă</w:t>
      </w:r>
    </w:p>
    <w:p w14:paraId="35E4A9BC" w14:textId="77777777" w:rsidR="00670FD4" w:rsidRDefault="00670FD4" w:rsidP="00670FD4">
      <w:pPr>
        <w:ind w:firstLine="567"/>
        <w:rPr>
          <w:rFonts w:eastAsia="Times New Roman" w:cs="Times New Roman"/>
        </w:rPr>
      </w:pPr>
      <w:r>
        <w:rPr>
          <w:rFonts w:eastAsia="Times New Roman" w:cs="Times New Roman"/>
          <w:color w:val="000000"/>
        </w:rPr>
        <w:t>În partea zonei costiere aferentă județului Tulcea, sursele de alimentare sunt atât subterane, cât și de suprafață (Sulina, Sf. Gheorghe). Referitor la orașul Sulina, în sistemul său de alimentare cu apă nu există aducțiune de apă tratată, apa potabilă produsă în stația de tratare fiind distribuită direct din stație, prin intermediul unui castel de apă. Printr-un proiect POS-Mediu, la nivelul orașului Sulina s-au reabilitat sursele de captare, stația de tratare a apei, 19 km de conductă de apă și s-a extins cu 19 km conducta de apă uzată (Consiliul Județean Tulcea, 2021). Din 2015 până în 2019, lungimea conductelor de alimentare cu apă potabilă în orașul Sulina a crescut de la 17 km la 23,9 km.</w:t>
      </w:r>
    </w:p>
    <w:p w14:paraId="20505A21" w14:textId="77777777" w:rsidR="00670FD4" w:rsidRDefault="00670FD4" w:rsidP="00670FD4">
      <w:pPr>
        <w:ind w:firstLine="567"/>
        <w:rPr>
          <w:rFonts w:eastAsia="Times New Roman" w:cs="Times New Roman"/>
        </w:rPr>
      </w:pPr>
      <w:r>
        <w:rPr>
          <w:rFonts w:eastAsia="Times New Roman" w:cs="Times New Roman"/>
          <w:color w:val="000000"/>
        </w:rPr>
        <w:t>În ceea ce privește capacitatea instalațiilor de a produce apă potabilă, deși la nivel județean s-a înregistrat o tendință de creștere, în orașul Sulina, aceasta a rămas, în 2019, la nivelul celei din 2015, respectiv 730 m</w:t>
      </w:r>
      <w:r>
        <w:rPr>
          <w:rFonts w:eastAsia="Times New Roman" w:cs="Times New Roman"/>
          <w:color w:val="000000"/>
          <w:vertAlign w:val="superscript"/>
        </w:rPr>
        <w:t>3</w:t>
      </w:r>
      <w:r>
        <w:rPr>
          <w:rFonts w:eastAsia="Times New Roman" w:cs="Times New Roman"/>
          <w:color w:val="000000"/>
        </w:rPr>
        <w:t>/zi. Referitor la consumul de apă, valoarea înregistrată în 2019 (209 mii m</w:t>
      </w:r>
      <w:r>
        <w:rPr>
          <w:rFonts w:eastAsia="Times New Roman" w:cs="Times New Roman"/>
          <w:color w:val="000000"/>
          <w:vertAlign w:val="superscript"/>
        </w:rPr>
        <w:t>3</w:t>
      </w:r>
      <w:r>
        <w:rPr>
          <w:rFonts w:eastAsia="Times New Roman" w:cs="Times New Roman"/>
          <w:color w:val="000000"/>
        </w:rPr>
        <w:t>), în orașul Sulina, a fost ușor mai mică comparativ cu 2015 (213 mii m</w:t>
      </w:r>
      <w:r>
        <w:rPr>
          <w:rFonts w:eastAsia="Times New Roman" w:cs="Times New Roman"/>
          <w:color w:val="000000"/>
          <w:vertAlign w:val="superscript"/>
        </w:rPr>
        <w:t>3</w:t>
      </w:r>
      <w:r>
        <w:rPr>
          <w:rFonts w:eastAsia="Times New Roman" w:cs="Times New Roman"/>
          <w:color w:val="000000"/>
        </w:rPr>
        <w:t>), posibil în legătură cu scăderea populației (Consiliul Județean Tulcea, 2021).</w:t>
      </w:r>
    </w:p>
    <w:p w14:paraId="459E6CBE" w14:textId="77777777" w:rsidR="00670FD4" w:rsidRDefault="00670FD4" w:rsidP="00670FD4">
      <w:pPr>
        <w:ind w:firstLine="567"/>
        <w:rPr>
          <w:rFonts w:eastAsia="Times New Roman" w:cs="Times New Roman"/>
        </w:rPr>
      </w:pPr>
      <w:r>
        <w:rPr>
          <w:rFonts w:eastAsia="Times New Roman" w:cs="Times New Roman"/>
          <w:color w:val="000000"/>
        </w:rPr>
        <w:t>În judeţul Constanţa, principalul operator, RAJA S.A. Constanța exploatează un număr de 94 de surse de apă subterană, formată din 349 foraje şi 2 surse de apă de suprafaţă (sursa Galeşu, capacitate totală instalată de 14.850 m</w:t>
      </w:r>
      <w:r>
        <w:rPr>
          <w:rFonts w:eastAsia="Times New Roman" w:cs="Times New Roman"/>
          <w:color w:val="000000"/>
          <w:vertAlign w:val="superscript"/>
        </w:rPr>
        <w:t>3</w:t>
      </w:r>
      <w:r>
        <w:rPr>
          <w:rFonts w:eastAsia="Times New Roman" w:cs="Times New Roman"/>
          <w:color w:val="000000"/>
        </w:rPr>
        <w:t xml:space="preserve">/h şi Dealul Vifor, capacitate totală instalată este </w:t>
      </w:r>
      <w:r>
        <w:rPr>
          <w:rFonts w:eastAsia="Times New Roman" w:cs="Times New Roman"/>
          <w:color w:val="000000"/>
        </w:rPr>
        <w:lastRenderedPageBreak/>
        <w:t>de 2.900 m</w:t>
      </w:r>
      <w:r>
        <w:rPr>
          <w:rFonts w:eastAsia="Times New Roman" w:cs="Times New Roman"/>
          <w:color w:val="000000"/>
          <w:vertAlign w:val="superscript"/>
        </w:rPr>
        <w:t>3</w:t>
      </w:r>
      <w:r>
        <w:rPr>
          <w:rFonts w:eastAsia="Times New Roman" w:cs="Times New Roman"/>
          <w:color w:val="000000"/>
        </w:rPr>
        <w:t>/h). Apa brută este tratată în două staţii de tratare (Palas-Constanţa, capacitate totală instalată de 5.750 l/s şi Dealul Vifor-Cernavodă, capacitate totală instalată de 100 l/s). </w:t>
      </w:r>
    </w:p>
    <w:p w14:paraId="69BE9D2C" w14:textId="77777777" w:rsidR="00670FD4" w:rsidRDefault="00670FD4" w:rsidP="00670FD4">
      <w:pPr>
        <w:ind w:firstLine="567"/>
        <w:rPr>
          <w:rFonts w:eastAsia="Times New Roman" w:cs="Times New Roman"/>
          <w:i/>
          <w:color w:val="000000"/>
        </w:rPr>
      </w:pPr>
      <w:r>
        <w:rPr>
          <w:rFonts w:eastAsia="Times New Roman" w:cs="Times New Roman"/>
          <w:color w:val="000000"/>
        </w:rPr>
        <w:t>La nivelul județului Constanța, lungimea conductelor de distribuție a apei potabile era în 2019 de 3.134 km, în ușoară creștere față de anii precedenți (Consiliul Județean Constanța, 2021). Instalațiile din județul Constanța au produs 1.256.293 m</w:t>
      </w:r>
      <w:r>
        <w:rPr>
          <w:rFonts w:eastAsia="Times New Roman" w:cs="Times New Roman"/>
          <w:color w:val="000000"/>
          <w:vertAlign w:val="superscript"/>
        </w:rPr>
        <w:t>3</w:t>
      </w:r>
      <w:r>
        <w:rPr>
          <w:rFonts w:eastAsia="Times New Roman" w:cs="Times New Roman"/>
          <w:color w:val="000000"/>
        </w:rPr>
        <w:t xml:space="preserve"> de apă potabilă pe zi, în anul 2019, volum mai scăzut comparativ cu perioada 2014-2018 (cea mai mare cantitate fiind produsă în 2014 - 1.303.831 m</w:t>
      </w:r>
      <w:r>
        <w:rPr>
          <w:rFonts w:eastAsia="Times New Roman" w:cs="Times New Roman"/>
          <w:color w:val="000000"/>
          <w:vertAlign w:val="superscript"/>
        </w:rPr>
        <w:t>3</w:t>
      </w:r>
      <w:r>
        <w:rPr>
          <w:rFonts w:eastAsia="Times New Roman" w:cs="Times New Roman"/>
          <w:color w:val="000000"/>
        </w:rPr>
        <w:t>/zi. În ceea ce privește cantitatea distribuită, în 2019 a fost înregistrată cea mai mare cantitate din perioada 2014-2019, și anume 40.968 mii m</w:t>
      </w:r>
      <w:r>
        <w:rPr>
          <w:rFonts w:eastAsia="Times New Roman" w:cs="Times New Roman"/>
          <w:color w:val="000000"/>
          <w:vertAlign w:val="superscript"/>
        </w:rPr>
        <w:t>3</w:t>
      </w:r>
      <w:r>
        <w:rPr>
          <w:rFonts w:eastAsia="Times New Roman" w:cs="Times New Roman"/>
          <w:color w:val="000000"/>
        </w:rPr>
        <w:t xml:space="preserve"> de apă potabilă.</w:t>
      </w:r>
    </w:p>
    <w:p w14:paraId="50A08D41" w14:textId="77777777" w:rsidR="00670FD4" w:rsidRDefault="00670FD4" w:rsidP="00670FD4">
      <w:pPr>
        <w:rPr>
          <w:rFonts w:eastAsia="Times New Roman" w:cs="Times New Roman"/>
        </w:rPr>
      </w:pPr>
      <w:r>
        <w:rPr>
          <w:rFonts w:eastAsia="Times New Roman" w:cs="Times New Roman"/>
          <w:i/>
          <w:color w:val="000000"/>
        </w:rPr>
        <w:t>Infrastructura de canalizare și epurare a apelor uzate</w:t>
      </w:r>
    </w:p>
    <w:p w14:paraId="3A57E283" w14:textId="77777777" w:rsidR="00670FD4" w:rsidRDefault="00670FD4" w:rsidP="00670FD4">
      <w:pPr>
        <w:ind w:firstLine="567"/>
        <w:rPr>
          <w:rFonts w:eastAsia="Times New Roman" w:cs="Times New Roman"/>
          <w:color w:val="000000"/>
        </w:rPr>
      </w:pPr>
      <w:r>
        <w:rPr>
          <w:rFonts w:eastAsia="Times New Roman" w:cs="Times New Roman"/>
          <w:color w:val="000000"/>
        </w:rPr>
        <w:t>UAT-urile din RBDD nu au sisteme de canalizare centralizate care să colecteze apele uzate la nivelul întregii localităţi, iar staţiile de epurare existente realizează epurarea mecanică și mecano-biologică a apelor menajere. La nivelul județului Tulcea, sistemul de canalizare a cunoscut o oarecare dezvoltare în perioada 2015-2019, când lungimea totală a conductelor de canalizare a crescut de la 413,9 km la 576,4 km (Consiliul Județean Tulcea, 2021). Această tendință de dezvoltare a infrastructurii de canalizare se remarcă la nivelul tuturor centrelor urbane din județ, inclusiv în orașul Sulina, unde de la o lungime totală a conductelor de canalizare de 17 km, în 2015, s-a ajuns la o lungime totală de 30,6 km, în 2019 (Consiliul Județean Tulcea, 2021). Cu toate acestea însă, infrastructura de canalizare prezintă încă deficiențe de dezvoltare, fiind nevoie investiții majore pentru extinderea rețelei de canalizare în mediul rural, dat fiind faptul că în județul Tulcea doar jumătate dintre localitățile conectate la alimentarea cu apă au și rețea de canalizare.</w:t>
      </w:r>
    </w:p>
    <w:p w14:paraId="589984A5" w14:textId="77777777" w:rsidR="00670FD4" w:rsidRDefault="00670FD4" w:rsidP="00670FD4">
      <w:pPr>
        <w:ind w:firstLine="567"/>
        <w:rPr>
          <w:rFonts w:eastAsia="Times New Roman" w:cs="Times New Roman"/>
          <w:color w:val="000000"/>
        </w:rPr>
      </w:pPr>
      <w:r>
        <w:rPr>
          <w:rFonts w:eastAsia="Times New Roman" w:cs="Times New Roman"/>
          <w:color w:val="000000"/>
        </w:rPr>
        <w:t>Referitor la epurarea apelor uzate, în partea nordică a zonei costiere sunt patru stații de epurarea, la Sulina, Murighiol, Jurilovca și Sfântu Gheorghe. Se remarcă că în toate cele patru stații apele uzate sunt doar parțial epurate (mecanic și biologic), deci reprezintă o potențială presiune asupra emisarilor. Mai mult, în UAT Murighiol și Jurilovca, procente mici din  încărcarea generată la nivel de UAT sunt colectate și epurare (Tabel 2.4.8.9.1).</w:t>
      </w:r>
    </w:p>
    <w:p w14:paraId="14828B9B" w14:textId="77777777" w:rsidR="00670FD4" w:rsidRDefault="00670FD4" w:rsidP="00670FD4">
      <w:pPr>
        <w:ind w:firstLine="567"/>
        <w:rPr>
          <w:rFonts w:eastAsia="Times New Roman" w:cs="Times New Roman"/>
          <w:b/>
          <w:color w:val="000000"/>
        </w:rPr>
      </w:pPr>
    </w:p>
    <w:p w14:paraId="6F326EBB" w14:textId="77777777" w:rsidR="00670FD4" w:rsidRDefault="00670FD4" w:rsidP="00670FD4">
      <w:pPr>
        <w:jc w:val="center"/>
        <w:rPr>
          <w:rFonts w:eastAsia="Times New Roman" w:cs="Times New Roman"/>
        </w:rPr>
      </w:pPr>
      <w:r>
        <w:rPr>
          <w:rFonts w:eastAsia="Times New Roman" w:cs="Times New Roman"/>
          <w:b/>
          <w:color w:val="000000"/>
        </w:rPr>
        <w:t xml:space="preserve">Tabel 2.4.8.9.1 Principalele caracteristici ale stațiilor de epurare Sulina, Murighiol și Jurilovca </w:t>
      </w:r>
    </w:p>
    <w:tbl>
      <w:tblPr>
        <w:tblW w:w="9340" w:type="dxa"/>
        <w:tblLayout w:type="fixed"/>
        <w:tblLook w:val="0400" w:firstRow="0" w:lastRow="0" w:firstColumn="0" w:lastColumn="0" w:noHBand="0" w:noVBand="1"/>
      </w:tblPr>
      <w:tblGrid>
        <w:gridCol w:w="1093"/>
        <w:gridCol w:w="1936"/>
        <w:gridCol w:w="1580"/>
        <w:gridCol w:w="1484"/>
        <w:gridCol w:w="2032"/>
        <w:gridCol w:w="1215"/>
      </w:tblGrid>
      <w:tr w:rsidR="00670FD4" w14:paraId="445D8844" w14:textId="77777777" w:rsidTr="001925BA">
        <w:trPr>
          <w:trHeight w:val="20"/>
        </w:trPr>
        <w:tc>
          <w:tcPr>
            <w:tcW w:w="1093"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7CCEE953" w14:textId="77777777" w:rsidR="00670FD4" w:rsidRDefault="00670FD4" w:rsidP="001925BA">
            <w:pPr>
              <w:spacing w:after="0" w:line="240" w:lineRule="auto"/>
              <w:ind w:firstLine="0"/>
              <w:rPr>
                <w:rFonts w:eastAsia="Times New Roman" w:cs="Times New Roman"/>
                <w:b/>
                <w:sz w:val="20"/>
                <w:szCs w:val="20"/>
              </w:rPr>
            </w:pPr>
            <w:r>
              <w:rPr>
                <w:rFonts w:eastAsia="Times New Roman" w:cs="Times New Roman"/>
                <w:b/>
                <w:color w:val="000000"/>
                <w:sz w:val="20"/>
                <w:szCs w:val="20"/>
              </w:rPr>
              <w:t>UAT</w:t>
            </w:r>
          </w:p>
        </w:tc>
        <w:tc>
          <w:tcPr>
            <w:tcW w:w="1936"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28DA1CD9" w14:textId="77777777" w:rsidR="00670FD4" w:rsidRDefault="00670FD4" w:rsidP="001925BA">
            <w:pPr>
              <w:spacing w:after="0" w:line="240" w:lineRule="auto"/>
              <w:ind w:firstLine="0"/>
              <w:rPr>
                <w:rFonts w:eastAsia="Times New Roman" w:cs="Times New Roman"/>
                <w:b/>
                <w:sz w:val="20"/>
                <w:szCs w:val="20"/>
              </w:rPr>
            </w:pPr>
            <w:r>
              <w:rPr>
                <w:rFonts w:eastAsia="Times New Roman" w:cs="Times New Roman"/>
                <w:b/>
                <w:color w:val="000000"/>
                <w:sz w:val="20"/>
                <w:szCs w:val="20"/>
              </w:rPr>
              <w:t>ID stație</w:t>
            </w:r>
          </w:p>
        </w:tc>
        <w:tc>
          <w:tcPr>
            <w:tcW w:w="1580"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529188DF" w14:textId="77777777" w:rsidR="00670FD4" w:rsidRDefault="00670FD4" w:rsidP="001925BA">
            <w:pPr>
              <w:spacing w:after="0" w:line="240" w:lineRule="auto"/>
              <w:ind w:firstLine="0"/>
              <w:rPr>
                <w:rFonts w:eastAsia="Times New Roman" w:cs="Times New Roman"/>
                <w:b/>
                <w:sz w:val="20"/>
                <w:szCs w:val="20"/>
              </w:rPr>
            </w:pPr>
            <w:r>
              <w:rPr>
                <w:rFonts w:eastAsia="Times New Roman" w:cs="Times New Roman"/>
                <w:b/>
                <w:color w:val="000000"/>
                <w:sz w:val="20"/>
                <w:szCs w:val="20"/>
              </w:rPr>
              <w:t>Operator</w:t>
            </w:r>
          </w:p>
        </w:tc>
        <w:tc>
          <w:tcPr>
            <w:tcW w:w="1484"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343CBD43" w14:textId="77777777" w:rsidR="00670FD4" w:rsidRDefault="00670FD4" w:rsidP="001925BA">
            <w:pPr>
              <w:spacing w:after="0" w:line="240" w:lineRule="auto"/>
              <w:ind w:firstLine="0"/>
              <w:rPr>
                <w:rFonts w:eastAsia="Times New Roman" w:cs="Times New Roman"/>
                <w:b/>
                <w:sz w:val="20"/>
                <w:szCs w:val="20"/>
              </w:rPr>
            </w:pPr>
            <w:r>
              <w:rPr>
                <w:rFonts w:eastAsia="Times New Roman" w:cs="Times New Roman"/>
                <w:b/>
                <w:color w:val="000000"/>
                <w:sz w:val="20"/>
                <w:szCs w:val="20"/>
              </w:rPr>
              <w:t>Încărcarea generata p.e. la nivelul UAT</w:t>
            </w:r>
          </w:p>
        </w:tc>
        <w:tc>
          <w:tcPr>
            <w:tcW w:w="2032"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19357C8C" w14:textId="77777777" w:rsidR="00670FD4" w:rsidRDefault="00670FD4" w:rsidP="001925BA">
            <w:pPr>
              <w:spacing w:after="0" w:line="240" w:lineRule="auto"/>
              <w:ind w:firstLine="34"/>
              <w:rPr>
                <w:rFonts w:eastAsia="Times New Roman" w:cs="Times New Roman"/>
                <w:b/>
                <w:sz w:val="20"/>
                <w:szCs w:val="20"/>
              </w:rPr>
            </w:pPr>
            <w:r>
              <w:rPr>
                <w:rFonts w:eastAsia="Times New Roman" w:cs="Times New Roman"/>
                <w:b/>
                <w:color w:val="000000"/>
                <w:sz w:val="20"/>
                <w:szCs w:val="20"/>
              </w:rPr>
              <w:t>Încărcarea colectată și intrată în stație raportat la încărcarea totală (%)</w:t>
            </w:r>
          </w:p>
        </w:tc>
        <w:tc>
          <w:tcPr>
            <w:tcW w:w="1215"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33F7CC18" w14:textId="77777777" w:rsidR="00670FD4" w:rsidRDefault="00670FD4" w:rsidP="001925BA">
            <w:pPr>
              <w:spacing w:after="0" w:line="240" w:lineRule="auto"/>
              <w:ind w:firstLine="0"/>
              <w:rPr>
                <w:rFonts w:eastAsia="Times New Roman" w:cs="Times New Roman"/>
                <w:b/>
                <w:sz w:val="20"/>
                <w:szCs w:val="20"/>
              </w:rPr>
            </w:pPr>
            <w:r>
              <w:rPr>
                <w:rFonts w:eastAsia="Times New Roman" w:cs="Times New Roman"/>
                <w:b/>
                <w:color w:val="000000"/>
                <w:sz w:val="20"/>
                <w:szCs w:val="20"/>
              </w:rPr>
              <w:t>Tip de tratare</w:t>
            </w:r>
          </w:p>
        </w:tc>
      </w:tr>
      <w:tr w:rsidR="00670FD4" w14:paraId="3F65AD57" w14:textId="77777777" w:rsidTr="001925BA">
        <w:trPr>
          <w:trHeight w:val="20"/>
        </w:trPr>
        <w:tc>
          <w:tcPr>
            <w:tcW w:w="10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41607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Sulina </w:t>
            </w:r>
          </w:p>
        </w:tc>
        <w:tc>
          <w:tcPr>
            <w:tcW w:w="19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1F4F5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ROWP_159776_01</w:t>
            </w:r>
          </w:p>
        </w:tc>
        <w:tc>
          <w:tcPr>
            <w:tcW w:w="1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336B5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Aquaserv SA</w:t>
            </w:r>
          </w:p>
        </w:tc>
        <w:tc>
          <w:tcPr>
            <w:tcW w:w="14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AA8F72" w14:textId="77777777" w:rsidR="00670FD4" w:rsidRDefault="00670FD4" w:rsidP="001925BA">
            <w:pPr>
              <w:spacing w:after="0" w:line="240" w:lineRule="auto"/>
              <w:ind w:firstLine="0"/>
              <w:jc w:val="center"/>
              <w:rPr>
                <w:rFonts w:eastAsia="Times New Roman" w:cs="Times New Roman"/>
                <w:sz w:val="20"/>
                <w:szCs w:val="20"/>
              </w:rPr>
            </w:pPr>
            <w:r>
              <w:rPr>
                <w:rFonts w:eastAsia="Times New Roman" w:cs="Times New Roman"/>
                <w:color w:val="000000"/>
                <w:sz w:val="20"/>
                <w:szCs w:val="20"/>
              </w:rPr>
              <w:t>5.000</w:t>
            </w:r>
          </w:p>
        </w:tc>
        <w:tc>
          <w:tcPr>
            <w:tcW w:w="20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4DFF40" w14:textId="77777777" w:rsidR="00670FD4" w:rsidRDefault="00670FD4" w:rsidP="001925BA">
            <w:pPr>
              <w:spacing w:after="0" w:line="240" w:lineRule="auto"/>
              <w:ind w:firstLine="34"/>
              <w:jc w:val="center"/>
              <w:rPr>
                <w:rFonts w:eastAsia="Times New Roman" w:cs="Times New Roman"/>
                <w:sz w:val="20"/>
                <w:szCs w:val="20"/>
              </w:rPr>
            </w:pPr>
            <w:r>
              <w:rPr>
                <w:rFonts w:eastAsia="Times New Roman" w:cs="Times New Roman"/>
                <w:color w:val="000000"/>
                <w:sz w:val="20"/>
                <w:szCs w:val="20"/>
              </w:rPr>
              <w:t>81,0</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46173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primar</w:t>
            </w:r>
          </w:p>
          <w:p w14:paraId="61F6429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secundar</w:t>
            </w:r>
          </w:p>
        </w:tc>
      </w:tr>
      <w:tr w:rsidR="00670FD4" w14:paraId="7987F786" w14:textId="77777777" w:rsidTr="001925BA">
        <w:trPr>
          <w:trHeight w:val="20"/>
        </w:trPr>
        <w:tc>
          <w:tcPr>
            <w:tcW w:w="10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B7C09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Murighiol</w:t>
            </w:r>
          </w:p>
        </w:tc>
        <w:tc>
          <w:tcPr>
            <w:tcW w:w="19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634BF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ROWP_160920_01</w:t>
            </w:r>
          </w:p>
        </w:tc>
        <w:tc>
          <w:tcPr>
            <w:tcW w:w="1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666C5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SC Utilități si Servicii Publice Murighiol</w:t>
            </w:r>
          </w:p>
        </w:tc>
        <w:tc>
          <w:tcPr>
            <w:tcW w:w="14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5834FA" w14:textId="77777777" w:rsidR="00670FD4" w:rsidRDefault="00670FD4" w:rsidP="001925BA">
            <w:pPr>
              <w:spacing w:after="0" w:line="240" w:lineRule="auto"/>
              <w:ind w:firstLine="0"/>
              <w:jc w:val="center"/>
              <w:rPr>
                <w:rFonts w:eastAsia="Times New Roman" w:cs="Times New Roman"/>
                <w:sz w:val="20"/>
                <w:szCs w:val="20"/>
              </w:rPr>
            </w:pPr>
            <w:r>
              <w:rPr>
                <w:rFonts w:eastAsia="Times New Roman" w:cs="Times New Roman"/>
                <w:color w:val="000000"/>
                <w:sz w:val="20"/>
                <w:szCs w:val="20"/>
              </w:rPr>
              <w:t>3.217</w:t>
            </w:r>
          </w:p>
        </w:tc>
        <w:tc>
          <w:tcPr>
            <w:tcW w:w="20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F54B10" w14:textId="77777777" w:rsidR="00670FD4" w:rsidRDefault="00670FD4" w:rsidP="001925BA">
            <w:pPr>
              <w:spacing w:after="0" w:line="240" w:lineRule="auto"/>
              <w:ind w:firstLine="34"/>
              <w:jc w:val="center"/>
              <w:rPr>
                <w:rFonts w:eastAsia="Times New Roman" w:cs="Times New Roman"/>
                <w:sz w:val="20"/>
                <w:szCs w:val="20"/>
              </w:rPr>
            </w:pPr>
            <w:r>
              <w:rPr>
                <w:rFonts w:eastAsia="Times New Roman" w:cs="Times New Roman"/>
                <w:color w:val="000000"/>
                <w:sz w:val="20"/>
                <w:szCs w:val="20"/>
              </w:rPr>
              <w:t>11,1</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4D826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primar</w:t>
            </w:r>
          </w:p>
          <w:p w14:paraId="619057D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secundar</w:t>
            </w:r>
          </w:p>
        </w:tc>
      </w:tr>
      <w:tr w:rsidR="00670FD4" w14:paraId="12079F19" w14:textId="77777777" w:rsidTr="001925BA">
        <w:trPr>
          <w:trHeight w:val="20"/>
        </w:trPr>
        <w:tc>
          <w:tcPr>
            <w:tcW w:w="10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2FD6F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lastRenderedPageBreak/>
              <w:t>Jurilovca</w:t>
            </w:r>
          </w:p>
        </w:tc>
        <w:tc>
          <w:tcPr>
            <w:tcW w:w="19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57F6A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ROWP_160653_01</w:t>
            </w:r>
          </w:p>
        </w:tc>
        <w:tc>
          <w:tcPr>
            <w:tcW w:w="1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9DAAC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Primăria Jurilovca</w:t>
            </w:r>
          </w:p>
        </w:tc>
        <w:tc>
          <w:tcPr>
            <w:tcW w:w="14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AC5200" w14:textId="77777777" w:rsidR="00670FD4" w:rsidRDefault="00670FD4" w:rsidP="001925BA">
            <w:pPr>
              <w:spacing w:after="0" w:line="240" w:lineRule="auto"/>
              <w:ind w:firstLine="0"/>
              <w:jc w:val="center"/>
              <w:rPr>
                <w:rFonts w:eastAsia="Times New Roman" w:cs="Times New Roman"/>
                <w:sz w:val="20"/>
                <w:szCs w:val="20"/>
              </w:rPr>
            </w:pPr>
            <w:r>
              <w:rPr>
                <w:rFonts w:eastAsia="Times New Roman" w:cs="Times New Roman"/>
                <w:color w:val="000000"/>
                <w:sz w:val="20"/>
                <w:szCs w:val="20"/>
              </w:rPr>
              <w:t>3.935</w:t>
            </w:r>
          </w:p>
        </w:tc>
        <w:tc>
          <w:tcPr>
            <w:tcW w:w="20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D2CA6C" w14:textId="77777777" w:rsidR="00670FD4" w:rsidRDefault="00670FD4" w:rsidP="001925BA">
            <w:pPr>
              <w:spacing w:after="0" w:line="240" w:lineRule="auto"/>
              <w:ind w:firstLine="34"/>
              <w:jc w:val="center"/>
              <w:rPr>
                <w:rFonts w:eastAsia="Times New Roman" w:cs="Times New Roman"/>
                <w:sz w:val="20"/>
                <w:szCs w:val="20"/>
              </w:rPr>
            </w:pPr>
            <w:r>
              <w:rPr>
                <w:rFonts w:eastAsia="Times New Roman" w:cs="Times New Roman"/>
                <w:color w:val="000000"/>
                <w:sz w:val="20"/>
                <w:szCs w:val="20"/>
              </w:rPr>
              <w:t>30,0</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AC9E2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primar</w:t>
            </w:r>
          </w:p>
          <w:p w14:paraId="593CF173"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secundar</w:t>
            </w:r>
          </w:p>
        </w:tc>
      </w:tr>
      <w:tr w:rsidR="00670FD4" w14:paraId="04DE86FC" w14:textId="77777777" w:rsidTr="001925BA">
        <w:trPr>
          <w:trHeight w:val="20"/>
        </w:trPr>
        <w:tc>
          <w:tcPr>
            <w:tcW w:w="10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6F3F26"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Sfântu Gheorghe</w:t>
            </w:r>
          </w:p>
        </w:tc>
        <w:tc>
          <w:tcPr>
            <w:tcW w:w="19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D67011"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ROWP_161240_01</w:t>
            </w:r>
          </w:p>
        </w:tc>
        <w:tc>
          <w:tcPr>
            <w:tcW w:w="1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961F27"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Primăria Sfântu Gheorghe</w:t>
            </w:r>
          </w:p>
        </w:tc>
        <w:tc>
          <w:tcPr>
            <w:tcW w:w="14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361959" w14:textId="77777777" w:rsidR="00670FD4" w:rsidRDefault="00670FD4" w:rsidP="001925BA">
            <w:pPr>
              <w:spacing w:after="0" w:line="240" w:lineRule="auto"/>
              <w:ind w:firstLine="0"/>
              <w:jc w:val="center"/>
              <w:rPr>
                <w:rFonts w:eastAsia="Times New Roman" w:cs="Times New Roman"/>
                <w:color w:val="000000"/>
                <w:sz w:val="20"/>
                <w:szCs w:val="20"/>
              </w:rPr>
            </w:pPr>
            <w:r>
              <w:rPr>
                <w:rFonts w:eastAsia="Times New Roman" w:cs="Times New Roman"/>
                <w:color w:val="000000"/>
                <w:sz w:val="20"/>
                <w:szCs w:val="20"/>
              </w:rPr>
              <w:t>639</w:t>
            </w:r>
          </w:p>
        </w:tc>
        <w:tc>
          <w:tcPr>
            <w:tcW w:w="20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7740AE" w14:textId="77777777" w:rsidR="00670FD4" w:rsidRDefault="00670FD4" w:rsidP="001925BA">
            <w:pPr>
              <w:spacing w:after="0" w:line="240" w:lineRule="auto"/>
              <w:ind w:firstLine="34"/>
              <w:jc w:val="center"/>
              <w:rPr>
                <w:rFonts w:eastAsia="Times New Roman" w:cs="Times New Roman"/>
                <w:color w:val="000000"/>
                <w:sz w:val="20"/>
                <w:szCs w:val="20"/>
              </w:rPr>
            </w:pPr>
            <w:r>
              <w:rPr>
                <w:rFonts w:eastAsia="Times New Roman" w:cs="Times New Roman"/>
                <w:color w:val="000000"/>
                <w:sz w:val="20"/>
                <w:szCs w:val="20"/>
              </w:rPr>
              <w:t>19.33</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F9026A"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primar</w:t>
            </w:r>
          </w:p>
        </w:tc>
      </w:tr>
    </w:tbl>
    <w:p w14:paraId="67ED295E" w14:textId="77777777" w:rsidR="00670FD4" w:rsidRDefault="00670FD4" w:rsidP="00670FD4">
      <w:pPr>
        <w:spacing w:after="0"/>
        <w:ind w:firstLine="0"/>
        <w:rPr>
          <w:sz w:val="20"/>
          <w:szCs w:val="20"/>
        </w:rPr>
      </w:pPr>
      <w:r>
        <w:rPr>
          <w:color w:val="000000"/>
          <w:sz w:val="18"/>
          <w:szCs w:val="18"/>
        </w:rPr>
        <w:t xml:space="preserve">surse: ANAR și Agenția Europeană de Mediu (2020) </w:t>
      </w:r>
      <w:hyperlink r:id="rId58">
        <w:r>
          <w:rPr>
            <w:color w:val="1155CC"/>
            <w:sz w:val="18"/>
            <w:szCs w:val="18"/>
            <w:u w:val="single"/>
          </w:rPr>
          <w:t>https://tableau-public.discomap.eea.europa.eu/views/Agglomerations</w:t>
        </w:r>
      </w:hyperlink>
      <w:r>
        <w:rPr>
          <w:color w:val="000000"/>
          <w:sz w:val="20"/>
          <w:szCs w:val="20"/>
        </w:rPr>
        <w:t> </w:t>
      </w:r>
    </w:p>
    <w:p w14:paraId="1058E15B" w14:textId="77777777" w:rsidR="00670FD4" w:rsidRDefault="00670FD4" w:rsidP="00670FD4"/>
    <w:p w14:paraId="3CCA0A3E" w14:textId="77777777" w:rsidR="00670FD4" w:rsidRDefault="00670FD4" w:rsidP="00670FD4">
      <w:pPr>
        <w:spacing w:before="0"/>
        <w:ind w:firstLine="567"/>
        <w:rPr>
          <w:rFonts w:eastAsia="Times New Roman" w:cs="Times New Roman"/>
          <w:color w:val="000000"/>
        </w:rPr>
      </w:pPr>
      <w:r>
        <w:rPr>
          <w:rFonts w:eastAsia="Times New Roman" w:cs="Times New Roman"/>
          <w:color w:val="000000"/>
        </w:rPr>
        <w:t xml:space="preserve">Din punct de vedere al colectării și epurării apelor uzate, situația stă mult mai bine în județul Constanța. UAT-urile din județul Constanța însumează o lungime de 1.591,3 km de conducte de canalizare (anul 2019), față de 1.432,8 km de conducte de canalizare, din anul 2014. </w:t>
      </w:r>
    </w:p>
    <w:p w14:paraId="2DF7D07B" w14:textId="77777777" w:rsidR="00670FD4" w:rsidRDefault="00670FD4" w:rsidP="00670FD4">
      <w:pPr>
        <w:spacing w:before="0"/>
        <w:ind w:firstLine="567"/>
        <w:rPr>
          <w:rFonts w:eastAsia="Times New Roman" w:cs="Times New Roman"/>
          <w:color w:val="000000"/>
        </w:rPr>
      </w:pPr>
      <w:r>
        <w:rPr>
          <w:rFonts w:eastAsia="Times New Roman" w:cs="Times New Roman"/>
          <w:color w:val="000000"/>
        </w:rPr>
        <w:t xml:space="preserve">În partea sudică a zonei costiere, aferentă județului Constanța, există șase stații de epurare a apelor uzate, în fiecare dintre acestea realizându-se epurarea primară, secundară și terțiară. Cinci dintre aceste stații deservesc unul sau mai multe UAT-uri (Tabel 2.4.8.9.2), iar cea de a șasea deservește strict portul Constanța. </w:t>
      </w:r>
    </w:p>
    <w:p w14:paraId="1705BE00" w14:textId="77777777" w:rsidR="00670FD4" w:rsidRDefault="00670FD4" w:rsidP="00670FD4">
      <w:pPr>
        <w:spacing w:before="0"/>
        <w:ind w:firstLine="567"/>
        <w:rPr>
          <w:rFonts w:eastAsia="Times New Roman" w:cs="Times New Roman"/>
          <w:color w:val="000000"/>
        </w:rPr>
      </w:pPr>
      <w:r>
        <w:rPr>
          <w:rFonts w:eastAsia="Times New Roman" w:cs="Times New Roman"/>
          <w:color w:val="000000"/>
        </w:rPr>
        <w:t>UAT Constanța este deservit de două stații de epurare a apei uzate, respectiv Constanța Sud și Constanța Nord, care colectează și epurează apele uzate în proporție de 100 %. Stația de epurare a apei uzate Constanța-Sud, cea mai mare din zona costieră, deservește circa 70 % din populația municipiului Constanța. Staţia de epurare Constanţa-Nord asigură capacitatea de epurare a apelor uzate pentru zona de nord a municipiului Constanța, dar și pentru stațiunea Mamaia, tratând, în principal, ape uzate menajere. Apele epurate sunt deversate printr-o conductă în mare, la circa 4 km de țărm. Portul Constanța este deservit de propria stație de epurare, situată la dana 79 (în vecinătatea platformei terminalului de produse petroliere), cu o capacitate de 814.000 m</w:t>
      </w:r>
      <w:r>
        <w:rPr>
          <w:rFonts w:eastAsia="Times New Roman" w:cs="Times New Roman"/>
          <w:color w:val="000000"/>
          <w:vertAlign w:val="superscript"/>
        </w:rPr>
        <w:t>3</w:t>
      </w:r>
      <w:r>
        <w:rPr>
          <w:rFonts w:eastAsia="Times New Roman" w:cs="Times New Roman"/>
          <w:color w:val="000000"/>
        </w:rPr>
        <w:t>/an, cu mult peste nevoile actuale ale Portului Constanţa.</w:t>
      </w:r>
    </w:p>
    <w:p w14:paraId="5256CC22" w14:textId="77777777" w:rsidR="00670FD4" w:rsidRDefault="00670FD4" w:rsidP="00670FD4">
      <w:pPr>
        <w:spacing w:before="0"/>
        <w:ind w:firstLine="567"/>
        <w:rPr>
          <w:rFonts w:eastAsia="Times New Roman" w:cs="Times New Roman"/>
          <w:color w:val="000000"/>
        </w:rPr>
      </w:pPr>
      <w:r>
        <w:rPr>
          <w:rFonts w:eastAsia="Times New Roman" w:cs="Times New Roman"/>
          <w:color w:val="000000"/>
        </w:rPr>
        <w:t>Stația de epurare SC Rompetrol Rafinare S.A deservește UAT-urile Năvodari, Corbu și Lumina (cea din urmă UAT este situată în afara zonei costiere). Categoriile de ape uzate care ajung la stația de epurare includ: apa menajeră (inclusiv din instalaţiile Rompetrol Energy și din localitățile Năvodari și Corbu); apa meteorică; apa din sistemul de răcire și apă impură din punct de vedere chimic. Toate apele uzate (chimice, meteorice și menajere) de pe amplasament sunt direcționate către stația de epurare finală. Apa tratată este evacuată prin Pârâul Buhaz, în Marea Neagră. Conform datelor furnizate de Agenția Europeană de Mediu pentru 2020, rata de colectare și epurare a apei uzate din UAT Corbu este de doar 5,4 % (încărcarea colectată și epurată fiind 307 p.e, iar cea generată la de 5.689 p.e). În UAT Năvodari, rata de colectare și epurare a apei uzate este de 86,73 % (încărcarea generată la nivel de UAT - 50.866 p.e, iar cea colectată și epurată - 44.116 p.e.).</w:t>
      </w:r>
    </w:p>
    <w:p w14:paraId="66E20ECA" w14:textId="77777777" w:rsidR="00670FD4" w:rsidRDefault="00670FD4" w:rsidP="00670FD4">
      <w:pPr>
        <w:spacing w:before="0"/>
        <w:ind w:firstLine="567"/>
        <w:rPr>
          <w:rFonts w:eastAsia="Times New Roman" w:cs="Times New Roman"/>
          <w:color w:val="000000"/>
        </w:rPr>
      </w:pPr>
      <w:r>
        <w:rPr>
          <w:rFonts w:eastAsia="Times New Roman" w:cs="Times New Roman"/>
          <w:color w:val="000000"/>
        </w:rPr>
        <w:t xml:space="preserve">UAT Agigea este deservită de stația de epurare Eforie Sud, la fel ca și UAT-urile Eforie, Techirghiol, Tuzla și Costinești. Dacă în UAT-urile Eforie și Costinești, rata de colectare și epurare a apei uzate este 100 % (încărcarea colectată și epurată în Eforie - 50.004 p.e, iar în Costinești - 7.291 p.e), în celelalte UAT-uri deservite, ratele de colectare și epurare a apelor uzate au fost 38 % în Agigea (încărcarea generată - 6.486 p.e., iar cea colectată și epurată - 2.445 p.e), 30 % în Tuzla (încărcarea generată - 6.566 p.e., iar cea colectată și epurată - 1.970 </w:t>
      </w:r>
      <w:r>
        <w:rPr>
          <w:rFonts w:eastAsia="Times New Roman" w:cs="Times New Roman"/>
          <w:color w:val="000000"/>
        </w:rPr>
        <w:lastRenderedPageBreak/>
        <w:t>p.e.) și 66 % în Techirghiol (încărcarea generată - 7.795 p.e., iar cea colectată și epurată - 5.145 p.e.). Apele epurate sunt evacuate în Marea Neagră printr-o conductă de 2 km.</w:t>
      </w:r>
    </w:p>
    <w:p w14:paraId="095E3E71" w14:textId="77777777" w:rsidR="00670FD4" w:rsidRDefault="00670FD4" w:rsidP="00670FD4">
      <w:pPr>
        <w:spacing w:before="0"/>
        <w:ind w:firstLine="567"/>
        <w:rPr>
          <w:rFonts w:eastAsia="Times New Roman" w:cs="Times New Roman"/>
          <w:color w:val="000000"/>
        </w:rPr>
      </w:pPr>
      <w:r>
        <w:rPr>
          <w:rFonts w:eastAsia="Times New Roman" w:cs="Times New Roman"/>
          <w:color w:val="000000"/>
        </w:rPr>
        <w:t>La nivelul UAT Mangalia, colectarea și epurarea apelor uzate se realizează în proporție de 97 % încărcarea generată - 85.925 p.e., iar cea colectată și epurată - 82.571 p.e.), în timp ce la nivelul UAT Limanu, în proporție de 68 % (încărcarea generată - 12.725 p.e., iar cea colectată și epurată - 8.653 p.e).</w:t>
      </w:r>
    </w:p>
    <w:p w14:paraId="7F8E2D78" w14:textId="77777777" w:rsidR="00670FD4" w:rsidRDefault="00670FD4" w:rsidP="00670FD4">
      <w:pPr>
        <w:ind w:firstLine="567"/>
      </w:pPr>
    </w:p>
    <w:p w14:paraId="0C734C2F" w14:textId="77777777" w:rsidR="00670FD4" w:rsidRDefault="00670FD4" w:rsidP="00670FD4">
      <w:pPr>
        <w:spacing w:before="0" w:after="0"/>
        <w:jc w:val="center"/>
        <w:rPr>
          <w:rFonts w:eastAsia="Times New Roman" w:cs="Times New Roman"/>
        </w:rPr>
      </w:pPr>
      <w:bookmarkStart w:id="108" w:name="_heading=h.3dy6vkm" w:colFirst="0" w:colLast="0"/>
      <w:bookmarkEnd w:id="108"/>
      <w:r>
        <w:rPr>
          <w:rFonts w:eastAsia="Times New Roman" w:cs="Times New Roman"/>
          <w:b/>
          <w:color w:val="000000"/>
        </w:rPr>
        <w:t>Tabel 2.4.8.9.2 Caracteristici ale principalelor stațiilor de epurare din partea central-sudică a zonei costiere</w:t>
      </w:r>
    </w:p>
    <w:tbl>
      <w:tblPr>
        <w:tblW w:w="9339" w:type="dxa"/>
        <w:tblLayout w:type="fixed"/>
        <w:tblLook w:val="0400" w:firstRow="0" w:lastRow="0" w:firstColumn="0" w:lastColumn="0" w:noHBand="0" w:noVBand="1"/>
      </w:tblPr>
      <w:tblGrid>
        <w:gridCol w:w="2028"/>
        <w:gridCol w:w="1525"/>
        <w:gridCol w:w="1215"/>
        <w:gridCol w:w="1105"/>
        <w:gridCol w:w="2177"/>
        <w:gridCol w:w="1289"/>
      </w:tblGrid>
      <w:tr w:rsidR="00670FD4" w14:paraId="017BAE6A" w14:textId="77777777" w:rsidTr="001925BA">
        <w:trPr>
          <w:trHeight w:val="20"/>
        </w:trPr>
        <w:tc>
          <w:tcPr>
            <w:tcW w:w="2028"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3E3E56A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000000"/>
                <w:sz w:val="20"/>
                <w:szCs w:val="20"/>
              </w:rPr>
              <w:t>Stație epurare/ID stație</w:t>
            </w:r>
          </w:p>
        </w:tc>
        <w:tc>
          <w:tcPr>
            <w:tcW w:w="1525"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788F2B9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000000"/>
                <w:sz w:val="20"/>
                <w:szCs w:val="20"/>
              </w:rPr>
              <w:t>Operator</w:t>
            </w:r>
          </w:p>
        </w:tc>
        <w:tc>
          <w:tcPr>
            <w:tcW w:w="1215"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27893C4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000000"/>
                <w:sz w:val="20"/>
                <w:szCs w:val="20"/>
              </w:rPr>
              <w:t>Capacitate</w:t>
            </w:r>
          </w:p>
          <w:p w14:paraId="56D9DDE2" w14:textId="77777777" w:rsidR="00670FD4" w:rsidRDefault="00670FD4" w:rsidP="001925BA">
            <w:pPr>
              <w:spacing w:before="0" w:after="0" w:line="240" w:lineRule="auto"/>
              <w:jc w:val="center"/>
              <w:rPr>
                <w:rFonts w:eastAsia="Times New Roman" w:cs="Times New Roman"/>
                <w:sz w:val="20"/>
                <w:szCs w:val="20"/>
              </w:rPr>
            </w:pPr>
            <w:r>
              <w:rPr>
                <w:rFonts w:eastAsia="Times New Roman" w:cs="Times New Roman"/>
                <w:b/>
                <w:color w:val="000000"/>
                <w:sz w:val="20"/>
                <w:szCs w:val="20"/>
              </w:rPr>
              <w:t>p.e</w:t>
            </w:r>
          </w:p>
        </w:tc>
        <w:tc>
          <w:tcPr>
            <w:tcW w:w="1105"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7F22177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000000"/>
                <w:sz w:val="20"/>
                <w:szCs w:val="20"/>
              </w:rPr>
              <w:t>Încărcare intrată</w:t>
            </w:r>
          </w:p>
          <w:p w14:paraId="59EC284B" w14:textId="77777777" w:rsidR="00670FD4" w:rsidRDefault="00670FD4" w:rsidP="001925BA">
            <w:pPr>
              <w:spacing w:before="0" w:after="0" w:line="240" w:lineRule="auto"/>
              <w:jc w:val="center"/>
              <w:rPr>
                <w:rFonts w:eastAsia="Times New Roman" w:cs="Times New Roman"/>
                <w:sz w:val="20"/>
                <w:szCs w:val="20"/>
              </w:rPr>
            </w:pPr>
            <w:r>
              <w:rPr>
                <w:rFonts w:eastAsia="Times New Roman" w:cs="Times New Roman"/>
                <w:b/>
                <w:color w:val="000000"/>
                <w:sz w:val="20"/>
                <w:szCs w:val="20"/>
              </w:rPr>
              <w:t>p.e.</w:t>
            </w:r>
          </w:p>
        </w:tc>
        <w:tc>
          <w:tcPr>
            <w:tcW w:w="2177"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53D2B84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000000"/>
                <w:sz w:val="20"/>
                <w:szCs w:val="20"/>
              </w:rPr>
              <w:t>Q epurare a stației (mc ape uzate epurate/zi) </w:t>
            </w:r>
          </w:p>
        </w:tc>
        <w:tc>
          <w:tcPr>
            <w:tcW w:w="1289"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55F3B53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000000"/>
                <w:sz w:val="20"/>
                <w:szCs w:val="20"/>
              </w:rPr>
              <w:t>Aglomeraredeservită</w:t>
            </w:r>
          </w:p>
        </w:tc>
      </w:tr>
      <w:tr w:rsidR="00670FD4" w14:paraId="3FCC2DED" w14:textId="77777777" w:rsidTr="001925BA">
        <w:trPr>
          <w:trHeight w:val="20"/>
        </w:trPr>
        <w:tc>
          <w:tcPr>
            <w:tcW w:w="20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DECB2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ROWPI_10508_01</w:t>
            </w:r>
          </w:p>
        </w:tc>
        <w:tc>
          <w:tcPr>
            <w:tcW w:w="15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24B5A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SC Rompetrol Rafinare SA</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59406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50.866</w:t>
            </w:r>
          </w:p>
        </w:tc>
        <w:tc>
          <w:tcPr>
            <w:tcW w:w="11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09CA8D"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44.166</w:t>
            </w:r>
          </w:p>
        </w:tc>
        <w:tc>
          <w:tcPr>
            <w:tcW w:w="21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AC5019"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date nedisponibile</w:t>
            </w:r>
          </w:p>
        </w:tc>
        <w:tc>
          <w:tcPr>
            <w:tcW w:w="12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89B6D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Năvodari</w:t>
            </w:r>
          </w:p>
          <w:p w14:paraId="1138DF5B" w14:textId="77777777" w:rsidR="00670FD4" w:rsidRDefault="00670FD4" w:rsidP="001925BA">
            <w:pPr>
              <w:spacing w:before="0" w:after="0" w:line="240" w:lineRule="auto"/>
              <w:ind w:firstLine="0"/>
              <w:rPr>
                <w:rFonts w:eastAsia="Times New Roman" w:cs="Times New Roman"/>
                <w:color w:val="000000"/>
                <w:sz w:val="20"/>
                <w:szCs w:val="20"/>
              </w:rPr>
            </w:pPr>
            <w:r>
              <w:rPr>
                <w:rFonts w:eastAsia="Times New Roman" w:cs="Times New Roman"/>
                <w:color w:val="000000"/>
                <w:sz w:val="20"/>
                <w:szCs w:val="20"/>
              </w:rPr>
              <w:t>Corbu</w:t>
            </w:r>
          </w:p>
          <w:p w14:paraId="4DDD59D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Lumina</w:t>
            </w:r>
          </w:p>
        </w:tc>
      </w:tr>
      <w:tr w:rsidR="00670FD4" w14:paraId="306E968C" w14:textId="77777777" w:rsidTr="001925BA">
        <w:trPr>
          <w:trHeight w:val="20"/>
        </w:trPr>
        <w:tc>
          <w:tcPr>
            <w:tcW w:w="20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0AA60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Constanța</w:t>
            </w:r>
            <w:r>
              <w:rPr>
                <w:rFonts w:eastAsia="Times New Roman" w:cs="Times New Roman"/>
                <w:sz w:val="20"/>
                <w:szCs w:val="20"/>
              </w:rPr>
              <w:t xml:space="preserve"> </w:t>
            </w:r>
            <w:r>
              <w:rPr>
                <w:rFonts w:eastAsia="Times New Roman" w:cs="Times New Roman"/>
                <w:color w:val="000000"/>
                <w:sz w:val="20"/>
                <w:szCs w:val="20"/>
              </w:rPr>
              <w:t>Sud</w:t>
            </w:r>
          </w:p>
          <w:p w14:paraId="0E8F441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RO2CT_59</w:t>
            </w:r>
          </w:p>
        </w:tc>
        <w:tc>
          <w:tcPr>
            <w:tcW w:w="15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33E40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RAJA SA</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BF807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451.600</w:t>
            </w:r>
          </w:p>
        </w:tc>
        <w:tc>
          <w:tcPr>
            <w:tcW w:w="11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B0173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399.748</w:t>
            </w:r>
          </w:p>
        </w:tc>
        <w:tc>
          <w:tcPr>
            <w:tcW w:w="21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78805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276.480 </w:t>
            </w:r>
          </w:p>
        </w:tc>
        <w:tc>
          <w:tcPr>
            <w:tcW w:w="12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E042C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Constanța</w:t>
            </w:r>
          </w:p>
        </w:tc>
      </w:tr>
      <w:tr w:rsidR="00670FD4" w14:paraId="542539DC" w14:textId="77777777" w:rsidTr="001925BA">
        <w:trPr>
          <w:trHeight w:val="20"/>
        </w:trPr>
        <w:tc>
          <w:tcPr>
            <w:tcW w:w="20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9252ED"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Constanța Nord</w:t>
            </w:r>
          </w:p>
          <w:p w14:paraId="11840E5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RO2CT_510</w:t>
            </w:r>
          </w:p>
        </w:tc>
        <w:tc>
          <w:tcPr>
            <w:tcW w:w="15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25E018"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RAJA SA</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12A1B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255.000</w:t>
            </w:r>
          </w:p>
        </w:tc>
        <w:tc>
          <w:tcPr>
            <w:tcW w:w="11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D25DF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197.411</w:t>
            </w:r>
          </w:p>
        </w:tc>
        <w:tc>
          <w:tcPr>
            <w:tcW w:w="21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6AC17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165.888 </w:t>
            </w:r>
          </w:p>
        </w:tc>
        <w:tc>
          <w:tcPr>
            <w:tcW w:w="12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8BCC3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Constanța</w:t>
            </w:r>
          </w:p>
        </w:tc>
      </w:tr>
      <w:tr w:rsidR="00670FD4" w14:paraId="3953F7F9" w14:textId="77777777" w:rsidTr="001925BA">
        <w:trPr>
          <w:trHeight w:val="20"/>
        </w:trPr>
        <w:tc>
          <w:tcPr>
            <w:tcW w:w="20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298078"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Eforie Sud RO2CT_511</w:t>
            </w:r>
          </w:p>
        </w:tc>
        <w:tc>
          <w:tcPr>
            <w:tcW w:w="15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32436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RAJA SA</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4F942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140.000</w:t>
            </w:r>
          </w:p>
        </w:tc>
        <w:tc>
          <w:tcPr>
            <w:tcW w:w="11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F3E46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64.209</w:t>
            </w:r>
          </w:p>
        </w:tc>
        <w:tc>
          <w:tcPr>
            <w:tcW w:w="21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8D1DE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43.200</w:t>
            </w:r>
          </w:p>
        </w:tc>
        <w:tc>
          <w:tcPr>
            <w:tcW w:w="12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C0F76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Agigea</w:t>
            </w:r>
          </w:p>
          <w:p w14:paraId="6CDF947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Eforie</w:t>
            </w:r>
          </w:p>
          <w:p w14:paraId="584F6A9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Techirghiol</w:t>
            </w:r>
          </w:p>
          <w:p w14:paraId="79B979F9"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Tuzla</w:t>
            </w:r>
          </w:p>
          <w:p w14:paraId="5B89321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Costinești</w:t>
            </w:r>
          </w:p>
        </w:tc>
      </w:tr>
      <w:tr w:rsidR="00670FD4" w14:paraId="30C62281" w14:textId="77777777" w:rsidTr="001925BA">
        <w:trPr>
          <w:trHeight w:val="20"/>
        </w:trPr>
        <w:tc>
          <w:tcPr>
            <w:tcW w:w="20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5CCDD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Mangalia</w:t>
            </w:r>
          </w:p>
          <w:p w14:paraId="3451AEC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RO2CT_56</w:t>
            </w:r>
          </w:p>
        </w:tc>
        <w:tc>
          <w:tcPr>
            <w:tcW w:w="15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AA39C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RAJA SA</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77069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110.000</w:t>
            </w:r>
          </w:p>
        </w:tc>
        <w:tc>
          <w:tcPr>
            <w:tcW w:w="11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45C34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94.310</w:t>
            </w:r>
          </w:p>
        </w:tc>
        <w:tc>
          <w:tcPr>
            <w:tcW w:w="21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603EA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77.760</w:t>
            </w:r>
          </w:p>
        </w:tc>
        <w:tc>
          <w:tcPr>
            <w:tcW w:w="12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503C5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Mangalia</w:t>
            </w:r>
          </w:p>
          <w:p w14:paraId="612703B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Limanu</w:t>
            </w:r>
          </w:p>
        </w:tc>
      </w:tr>
    </w:tbl>
    <w:p w14:paraId="3C2669FB" w14:textId="77777777" w:rsidR="00670FD4" w:rsidRDefault="00670FD4" w:rsidP="00670FD4">
      <w:pPr>
        <w:ind w:firstLine="0"/>
        <w:rPr>
          <w:rFonts w:eastAsia="Times New Roman" w:cs="Times New Roman"/>
          <w:color w:val="000000"/>
          <w:sz w:val="20"/>
          <w:szCs w:val="20"/>
        </w:rPr>
      </w:pPr>
      <w:r>
        <w:rPr>
          <w:rFonts w:eastAsia="Times New Roman" w:cs="Times New Roman"/>
          <w:color w:val="000000"/>
          <w:sz w:val="20"/>
          <w:szCs w:val="20"/>
        </w:rPr>
        <w:t xml:space="preserve">sursa: Agenția Europeană de Mediu (2018) </w:t>
      </w:r>
      <w:hyperlink r:id="rId59">
        <w:r>
          <w:rPr>
            <w:rFonts w:eastAsia="Times New Roman" w:cs="Times New Roman"/>
            <w:color w:val="0000FF"/>
            <w:sz w:val="20"/>
            <w:szCs w:val="20"/>
            <w:u w:val="single"/>
          </w:rPr>
          <w:t>https://tableaupublic.discomap.eea.europa.eu/views/Agglomerations</w:t>
        </w:r>
      </w:hyperlink>
      <w:r>
        <w:rPr>
          <w:rFonts w:eastAsia="Times New Roman" w:cs="Times New Roman"/>
          <w:color w:val="000000"/>
          <w:sz w:val="20"/>
          <w:szCs w:val="20"/>
        </w:rPr>
        <w:t> </w:t>
      </w:r>
    </w:p>
    <w:p w14:paraId="28BCA816" w14:textId="77777777" w:rsidR="00670FD4" w:rsidRPr="00D535CE" w:rsidRDefault="00670FD4" w:rsidP="00670FD4">
      <w:pPr>
        <w:rPr>
          <w:rFonts w:eastAsia="Times New Roman" w:cs="Times New Roman"/>
        </w:rPr>
      </w:pPr>
      <w:r>
        <w:rPr>
          <w:rFonts w:eastAsia="Times New Roman" w:cs="Times New Roman"/>
          <w:color w:val="000000"/>
          <w:sz w:val="20"/>
          <w:szCs w:val="20"/>
        </w:rPr>
        <w:t xml:space="preserve"> </w:t>
      </w:r>
    </w:p>
    <w:p w14:paraId="68892F07" w14:textId="77777777" w:rsidR="00670FD4" w:rsidRDefault="00670FD4" w:rsidP="00670FD4">
      <w:pPr>
        <w:ind w:firstLine="567"/>
        <w:rPr>
          <w:rFonts w:eastAsia="Times New Roman" w:cs="Times New Roman"/>
          <w:color w:val="000000"/>
        </w:rPr>
      </w:pPr>
      <w:r>
        <w:rPr>
          <w:rFonts w:eastAsia="Times New Roman" w:cs="Times New Roman"/>
          <w:color w:val="000000"/>
        </w:rPr>
        <w:t xml:space="preserve">Referitor la tendințe, Tabelul 2.4.8.9.3 prezintă volumele de apă uzată epurată </w:t>
      </w:r>
      <w:r>
        <w:rPr>
          <w:rFonts w:eastAsia="Times New Roman" w:cs="Times New Roman"/>
        </w:rPr>
        <w:t>și</w:t>
      </w:r>
      <w:r>
        <w:rPr>
          <w:rFonts w:eastAsia="Times New Roman" w:cs="Times New Roman"/>
          <w:color w:val="000000"/>
        </w:rPr>
        <w:t xml:space="preserve"> evacuată, exprimate în mc/an, pentru perioada 2015-2021. </w:t>
      </w:r>
    </w:p>
    <w:p w14:paraId="71DE13FB" w14:textId="77777777" w:rsidR="00670FD4" w:rsidRDefault="00670FD4" w:rsidP="00670FD4">
      <w:pPr>
        <w:ind w:firstLine="567"/>
      </w:pPr>
    </w:p>
    <w:p w14:paraId="6FB1685C" w14:textId="77777777" w:rsidR="00670FD4" w:rsidRDefault="00670FD4" w:rsidP="00670FD4">
      <w:pPr>
        <w:jc w:val="center"/>
        <w:rPr>
          <w:rFonts w:eastAsia="Times New Roman" w:cs="Times New Roman"/>
        </w:rPr>
      </w:pPr>
      <w:bookmarkStart w:id="109" w:name="_heading=h.1t3h5sf" w:colFirst="0" w:colLast="0"/>
      <w:bookmarkEnd w:id="109"/>
      <w:r>
        <w:rPr>
          <w:rFonts w:eastAsia="Times New Roman" w:cs="Times New Roman"/>
          <w:b/>
          <w:color w:val="000000"/>
        </w:rPr>
        <w:t>Tabel 2.4.8.9.3 Total apă uzată epurată evacuată (mc/an) (</w:t>
      </w:r>
      <w:r>
        <w:rPr>
          <w:rFonts w:eastAsia="Times New Roman" w:cs="Times New Roman"/>
          <w:i/>
          <w:color w:val="000000"/>
        </w:rPr>
        <w:t>sursa: ANAR – ABADL</w:t>
      </w:r>
      <w:r>
        <w:rPr>
          <w:rFonts w:eastAsia="Times New Roman" w:cs="Times New Roman"/>
          <w:color w:val="000000"/>
        </w:rPr>
        <w:t>)</w:t>
      </w:r>
    </w:p>
    <w:tbl>
      <w:tblPr>
        <w:tblW w:w="9340" w:type="dxa"/>
        <w:tblLayout w:type="fixed"/>
        <w:tblLook w:val="0400" w:firstRow="0" w:lastRow="0" w:firstColumn="0" w:lastColumn="0" w:noHBand="0" w:noVBand="1"/>
      </w:tblPr>
      <w:tblGrid>
        <w:gridCol w:w="1390"/>
        <w:gridCol w:w="1100"/>
        <w:gridCol w:w="1150"/>
        <w:gridCol w:w="1150"/>
        <w:gridCol w:w="1150"/>
        <w:gridCol w:w="1100"/>
        <w:gridCol w:w="1150"/>
        <w:gridCol w:w="1150"/>
      </w:tblGrid>
      <w:tr w:rsidR="00670FD4" w14:paraId="12774777" w14:textId="77777777" w:rsidTr="001925BA">
        <w:trPr>
          <w:trHeight w:val="254"/>
        </w:trPr>
        <w:tc>
          <w:tcPr>
            <w:tcW w:w="139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FD8C1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000000"/>
                <w:sz w:val="20"/>
                <w:szCs w:val="20"/>
              </w:rPr>
              <w:t>Stația de epurare</w:t>
            </w:r>
          </w:p>
        </w:tc>
        <w:tc>
          <w:tcPr>
            <w:tcW w:w="7950" w:type="dxa"/>
            <w:gridSpan w:val="7"/>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F3C271" w14:textId="77777777" w:rsidR="00670FD4" w:rsidRDefault="00670FD4" w:rsidP="001925BA">
            <w:pPr>
              <w:spacing w:before="0" w:after="0" w:line="240" w:lineRule="auto"/>
              <w:jc w:val="center"/>
              <w:rPr>
                <w:rFonts w:eastAsia="Times New Roman" w:cs="Times New Roman"/>
                <w:sz w:val="20"/>
                <w:szCs w:val="20"/>
              </w:rPr>
            </w:pPr>
            <w:r>
              <w:rPr>
                <w:rFonts w:eastAsia="Times New Roman" w:cs="Times New Roman"/>
                <w:b/>
                <w:color w:val="000000"/>
                <w:sz w:val="20"/>
                <w:szCs w:val="20"/>
              </w:rPr>
              <w:t>Total apă uzată epurată evacuată (mc/an)</w:t>
            </w:r>
          </w:p>
        </w:tc>
      </w:tr>
      <w:tr w:rsidR="00670FD4" w14:paraId="5F896735" w14:textId="77777777" w:rsidTr="001925BA">
        <w:trPr>
          <w:trHeight w:val="306"/>
        </w:trPr>
        <w:tc>
          <w:tcPr>
            <w:tcW w:w="13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FD4E9D"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1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BDA139"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000000"/>
                <w:sz w:val="20"/>
                <w:szCs w:val="20"/>
              </w:rPr>
              <w:t>2015</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DEC66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000000"/>
                <w:sz w:val="20"/>
                <w:szCs w:val="20"/>
              </w:rPr>
              <w:t>2016</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6EF858"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000000"/>
                <w:sz w:val="20"/>
                <w:szCs w:val="20"/>
              </w:rPr>
              <w:t>2017</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3A436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000000"/>
                <w:sz w:val="20"/>
                <w:szCs w:val="20"/>
              </w:rPr>
              <w:t>2018</w:t>
            </w:r>
          </w:p>
        </w:tc>
        <w:tc>
          <w:tcPr>
            <w:tcW w:w="1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379A0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000000"/>
                <w:sz w:val="20"/>
                <w:szCs w:val="20"/>
              </w:rPr>
              <w:t>2019</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1C1A4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000000"/>
                <w:sz w:val="20"/>
                <w:szCs w:val="20"/>
              </w:rPr>
              <w:t>2020</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29616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000000"/>
                <w:sz w:val="20"/>
                <w:szCs w:val="20"/>
              </w:rPr>
              <w:t>2021</w:t>
            </w:r>
          </w:p>
        </w:tc>
      </w:tr>
      <w:tr w:rsidR="00670FD4" w14:paraId="1E8E389C" w14:textId="77777777" w:rsidTr="001925BA">
        <w:tc>
          <w:tcPr>
            <w:tcW w:w="1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493319"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Constanța Sud</w:t>
            </w:r>
          </w:p>
        </w:tc>
        <w:tc>
          <w:tcPr>
            <w:tcW w:w="1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3A0D9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26.591.816</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27321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28.798.570 </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B981F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25.011.318 </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BB7989"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24.197.129 </w:t>
            </w:r>
          </w:p>
        </w:tc>
        <w:tc>
          <w:tcPr>
            <w:tcW w:w="1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3234F8"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24.197.129</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26CA69"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23.027.058 </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30007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24.695.403 </w:t>
            </w:r>
          </w:p>
        </w:tc>
      </w:tr>
      <w:tr w:rsidR="00670FD4" w14:paraId="3FDB5438" w14:textId="77777777" w:rsidTr="001925BA">
        <w:tc>
          <w:tcPr>
            <w:tcW w:w="1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1E83D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Constanța Nord</w:t>
            </w:r>
          </w:p>
        </w:tc>
        <w:tc>
          <w:tcPr>
            <w:tcW w:w="1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B4169D"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19.792.754</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D43A2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19.352.704</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C8086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20.161.454 </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F7BC5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20.990.841</w:t>
            </w:r>
          </w:p>
        </w:tc>
        <w:tc>
          <w:tcPr>
            <w:tcW w:w="1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00929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20.990.841</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05A8E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20.181.161</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2DF9F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22.827.831</w:t>
            </w:r>
          </w:p>
        </w:tc>
      </w:tr>
      <w:tr w:rsidR="00670FD4" w14:paraId="142F3230" w14:textId="77777777" w:rsidTr="001925BA">
        <w:tc>
          <w:tcPr>
            <w:tcW w:w="1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3AB9DD"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Eforie Sud</w:t>
            </w:r>
          </w:p>
        </w:tc>
        <w:tc>
          <w:tcPr>
            <w:tcW w:w="1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F9451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3.768.976</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DCCCE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4.035.806</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ADF80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4.070.906</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105E1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4.356.029 </w:t>
            </w:r>
          </w:p>
        </w:tc>
        <w:tc>
          <w:tcPr>
            <w:tcW w:w="1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F73BE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4.356.029</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C1DDC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4.002.283 </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6581B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4.799.524</w:t>
            </w:r>
          </w:p>
        </w:tc>
      </w:tr>
      <w:tr w:rsidR="00670FD4" w14:paraId="0E70AE7A" w14:textId="77777777" w:rsidTr="001925BA">
        <w:tc>
          <w:tcPr>
            <w:tcW w:w="1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A51EF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lastRenderedPageBreak/>
              <w:t>Petromidia</w:t>
            </w:r>
          </w:p>
        </w:tc>
        <w:tc>
          <w:tcPr>
            <w:tcW w:w="1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A11D0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6.074.767</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E2893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6.581.703</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B6619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7.507.022</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C9AAB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7.320.987</w:t>
            </w:r>
          </w:p>
        </w:tc>
        <w:tc>
          <w:tcPr>
            <w:tcW w:w="1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A6899D"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6.647.871</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FA3E2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7.031.122</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2F2A2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8.670092</w:t>
            </w:r>
          </w:p>
        </w:tc>
      </w:tr>
      <w:tr w:rsidR="00670FD4" w14:paraId="3EF77079" w14:textId="77777777" w:rsidTr="001925BA">
        <w:tc>
          <w:tcPr>
            <w:tcW w:w="1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E23A6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Mangalia</w:t>
            </w:r>
          </w:p>
        </w:tc>
        <w:tc>
          <w:tcPr>
            <w:tcW w:w="1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E7C1E8"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4.530.912</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06D379"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4.950.735</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EB9BE8"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5.010.949</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C8C9A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5.422.679 </w:t>
            </w:r>
          </w:p>
        </w:tc>
        <w:tc>
          <w:tcPr>
            <w:tcW w:w="1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EDED1C"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5.422.679</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ADF6E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5.554.729</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E6E54D"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5.897.776</w:t>
            </w:r>
          </w:p>
        </w:tc>
      </w:tr>
      <w:tr w:rsidR="00670FD4" w14:paraId="4EE31BD0" w14:textId="77777777" w:rsidTr="001925BA">
        <w:tc>
          <w:tcPr>
            <w:tcW w:w="1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A29FF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Jurilovca</w:t>
            </w:r>
          </w:p>
        </w:tc>
        <w:tc>
          <w:tcPr>
            <w:tcW w:w="1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DF5737" w14:textId="77777777" w:rsidR="00670FD4" w:rsidRDefault="00670FD4" w:rsidP="001925BA">
            <w:pPr>
              <w:spacing w:before="0" w:after="0" w:line="240" w:lineRule="auto"/>
              <w:rPr>
                <w:rFonts w:eastAsia="Times New Roman" w:cs="Times New Roman"/>
                <w:sz w:val="20"/>
                <w:szCs w:val="20"/>
              </w:rPr>
            </w:pP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21B153" w14:textId="77777777" w:rsidR="00670FD4" w:rsidRDefault="00670FD4" w:rsidP="001925BA">
            <w:pPr>
              <w:spacing w:before="0" w:after="0" w:line="240" w:lineRule="auto"/>
              <w:rPr>
                <w:rFonts w:eastAsia="Times New Roman" w:cs="Times New Roman"/>
                <w:sz w:val="20"/>
                <w:szCs w:val="20"/>
              </w:rPr>
            </w:pP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9C768D" w14:textId="77777777" w:rsidR="00670FD4" w:rsidRDefault="00670FD4" w:rsidP="001925BA">
            <w:pPr>
              <w:spacing w:before="0" w:after="0" w:line="240" w:lineRule="auto"/>
              <w:rPr>
                <w:rFonts w:eastAsia="Times New Roman" w:cs="Times New Roman"/>
                <w:sz w:val="20"/>
                <w:szCs w:val="20"/>
              </w:rPr>
            </w:pP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7CB7F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12.630</w:t>
            </w:r>
          </w:p>
        </w:tc>
        <w:tc>
          <w:tcPr>
            <w:tcW w:w="1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A985A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59.200</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78F6C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32.182</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9F7F4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24.439</w:t>
            </w:r>
          </w:p>
        </w:tc>
      </w:tr>
      <w:tr w:rsidR="00670FD4" w14:paraId="7AA949CD" w14:textId="77777777" w:rsidTr="001925BA">
        <w:tc>
          <w:tcPr>
            <w:tcW w:w="1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AEE3E9"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Sulina</w:t>
            </w:r>
          </w:p>
        </w:tc>
        <w:tc>
          <w:tcPr>
            <w:tcW w:w="1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6A4A52" w14:textId="77777777" w:rsidR="00670FD4" w:rsidRDefault="00670FD4" w:rsidP="001925BA">
            <w:pPr>
              <w:spacing w:before="0" w:after="0" w:line="240" w:lineRule="auto"/>
              <w:rPr>
                <w:rFonts w:eastAsia="Times New Roman" w:cs="Times New Roman"/>
                <w:sz w:val="20"/>
                <w:szCs w:val="20"/>
              </w:rPr>
            </w:pP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B1FC31" w14:textId="77777777" w:rsidR="00670FD4" w:rsidRDefault="00670FD4" w:rsidP="001925BA">
            <w:pPr>
              <w:spacing w:before="0" w:after="0" w:line="240" w:lineRule="auto"/>
              <w:rPr>
                <w:rFonts w:eastAsia="Times New Roman" w:cs="Times New Roman"/>
                <w:sz w:val="20"/>
                <w:szCs w:val="20"/>
              </w:rPr>
            </w:pP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249374" w14:textId="77777777" w:rsidR="00670FD4" w:rsidRDefault="00670FD4" w:rsidP="001925BA">
            <w:pPr>
              <w:spacing w:before="0" w:after="0" w:line="240" w:lineRule="auto"/>
              <w:rPr>
                <w:rFonts w:eastAsia="Times New Roman" w:cs="Times New Roman"/>
                <w:sz w:val="20"/>
                <w:szCs w:val="20"/>
              </w:rPr>
            </w:pP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39B71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45.854</w:t>
            </w:r>
          </w:p>
        </w:tc>
        <w:tc>
          <w:tcPr>
            <w:tcW w:w="1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30A63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56.120</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64ADA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58.630</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668FD8"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95.277</w:t>
            </w:r>
          </w:p>
        </w:tc>
      </w:tr>
    </w:tbl>
    <w:p w14:paraId="4B8132E3" w14:textId="77777777" w:rsidR="00670FD4" w:rsidRDefault="00670FD4" w:rsidP="00670FD4">
      <w:pPr>
        <w:rPr>
          <w:color w:val="000000"/>
        </w:rPr>
      </w:pPr>
      <w:r>
        <w:rPr>
          <w:color w:val="000000"/>
        </w:rPr>
        <w:t> </w:t>
      </w:r>
    </w:p>
    <w:p w14:paraId="3689FA38" w14:textId="77777777" w:rsidR="00670FD4" w:rsidRDefault="00670FD4" w:rsidP="00670FD4">
      <w:pPr>
        <w:pStyle w:val="Heading4"/>
        <w:spacing w:before="0" w:after="120"/>
      </w:pPr>
      <w:bookmarkStart w:id="110" w:name="_Toc171084856"/>
      <w:r>
        <w:t>2.4.8.10 Gestionarea deșeurilor</w:t>
      </w:r>
      <w:bookmarkEnd w:id="110"/>
    </w:p>
    <w:p w14:paraId="66510252"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În partea nordică a zonei costiere, aferentă județului Tulcea, colectarea deșeurilor municipale este realizată de doi operatori de salubritate, și anume SC JT GRUP SRL, în marea majoritate a localităților, și SC Utilități Publice Murighiol SRL, în Murighiol (populația deservită - circa 3.500 locuitori), conform datelor furnizate de AJPM Tulcea (2021).</w:t>
      </w:r>
    </w:p>
    <w:p w14:paraId="4CD2E4AC"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Deșeurile reciclabile sunt colectate de către SC JT Grup SRL și sunt trimise la stația de sortare a deșeurilor reciclabile (în municipiul Tulcea) unde se sortează pe categorii, se balotează (după caz) și se expediază către fabricile de reciclare. Într-o mică măsură se realizează și la Sulina şi Sf. Gheorghe o sortare manuală a deşeurilor depozitate pentru recuperarea deşeurilor reciclabile de tip PET, cât şi a deşeurilor metalice. Stația de sortare de la Sulina deservește UAT-urile Sulina și C.A. Rosetti (7000 tone /an), iar cea de la Sf. Gheorghe deservește doar UAT cu același nume (30 tone/an). Aceste stații sunt și stații de transfer (capacități de 2.700 tone/an, respectiv 125 tone/an), aici fiind dirijat fluxul de deșeuri verzi mixte și a celor stradale către depozitul Mihai Bravu (situat în afara zonei costiere).</w:t>
      </w:r>
    </w:p>
    <w:p w14:paraId="519B6F01"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Referitor la deșeuri biodegradabile, în prezent, în judeţul Tulcea nu se realizează o colectare separată a deşeurilor organice din deşeurile municipale generate, ponderea cea mai mare în material biodegradabil fiind deţinută de cantităţile de deşeuri colectate în mediul rural. În cursul anului 2016 a fost realizat, în comuna Jurilovca, un depozit pentru colectarea gunoiului de grajd de la populația locală (în cadrul proiectului „Controlul Integrat al Poluării cu Nutrienţi” Finanţare Adiţională (INPCP-AF) PROGRAM COMPETITIV DE FINANŢARE „Investiţii la Nivelul Comunităţilor Locale pentru Reducerea Poluării cu Nutrienţi”. Cantitatea colectată în 2020 (241 tone) a fost semnificativ mai scăzută comparativ cu anii precedenți (2019 - 632 tone, 2018 - 2.096 tone și 2017 - 967 tone) conform datelor furnizate de AJPM Tulcea (2021).</w:t>
      </w:r>
    </w:p>
    <w:p w14:paraId="52FE4F01"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În partea sudică a zonei costiere, cantitățile de deșeuri generate sunt semnificativ mai ridicate. Depozitele de deșeuri din zona situate strict în zona costieră sunt:</w:t>
      </w:r>
    </w:p>
    <w:p w14:paraId="0129CACF"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w:t>
      </w:r>
      <w:r>
        <w:rPr>
          <w:rFonts w:eastAsia="Times New Roman" w:cs="Times New Roman"/>
          <w:color w:val="000000"/>
        </w:rPr>
        <w:tab/>
        <w:t xml:space="preserve">depozitul din incinta portului Constanța (administrat de S.C. IRIDEX GROUP IMPORT EXPORT BUCUREȘTI), unde cantitatea de deșeuri menajere și industriale depozitate este de aproximativ 6.000 t/ an. Depozitul deservește cu precădere zona portului, deșeurile depozitate aici provenind de la nave și alte diverse activități portuare. În imediata vecinătate a acestui depozit se află și un incinerator tip H.P 1250 (capacitate estimată de 300 kg/h) unde ar trebui să fie incinerate două categorii de deșeuri, respectiv deșeuri sanitare (cantitate estimată de 350 t/an) și deșeuri infectate de la nave (cantitate estimată de 44 t/an), în conformitate cu prevederile Ordonantei 42/2004 și ale H.G.1218 din 2005 privind constituirea </w:t>
      </w:r>
      <w:r>
        <w:rPr>
          <w:rFonts w:eastAsia="Times New Roman" w:cs="Times New Roman"/>
          <w:color w:val="000000"/>
        </w:rPr>
        <w:lastRenderedPageBreak/>
        <w:t>Comandamentului Antiepizootic Central (CN APM, 2015). Acest incinerator nu a fost și nici nu este funcțional.</w:t>
      </w:r>
    </w:p>
    <w:p w14:paraId="3B561AD3"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w:t>
      </w:r>
      <w:r>
        <w:rPr>
          <w:rFonts w:eastAsia="Times New Roman" w:cs="Times New Roman"/>
          <w:color w:val="000000"/>
        </w:rPr>
        <w:tab/>
        <w:t>depozitul pentru deșeuri nepericuloase din cadrul Centrului de Management al Deșeurilor de la Costinești (operator S.C. IRIDEX SALUBRIZARE S.R.L). La Centrul de Management Integrat al Deșeurilor din localitatea Costinești sunt gestionate anual o cantitate de peste 100.000 tone deșeuri nepericuloase, și anume deșeuri municipale amestecate (deșeuri menajere), deșeuri biodegradabile, deșeuri din construcții și demolări, deșeuri stradale, deșeuri de ambalaje (reciclabil) și deșeuri nepericuloase de la alte instalații de tratare a reziduurilor. În depozit se realizeaza sortarea manuală a deșeurilor pentru recuperarea celor reciclabile, urmată de balotarea și împachetarea deșeurilor care urmează sa fie depozitate. Capacitatea totală a depozitului este de 1.200.000 m</w:t>
      </w:r>
      <w:r>
        <w:rPr>
          <w:rFonts w:eastAsia="Times New Roman" w:cs="Times New Roman"/>
          <w:color w:val="000000"/>
          <w:vertAlign w:val="superscript"/>
        </w:rPr>
        <w:t>3</w:t>
      </w:r>
      <w:r>
        <w:rPr>
          <w:rFonts w:eastAsia="Times New Roman" w:cs="Times New Roman"/>
          <w:color w:val="000000"/>
        </w:rPr>
        <w:t xml:space="preserve">. </w:t>
      </w:r>
    </w:p>
    <w:p w14:paraId="714FF042"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w:t>
      </w:r>
      <w:r>
        <w:rPr>
          <w:rFonts w:eastAsia="Times New Roman" w:cs="Times New Roman"/>
          <w:color w:val="000000"/>
        </w:rPr>
        <w:tab/>
        <w:t>depozit pentru deșeuri nepericuloase Mangalia-Albești. Depozitul ecologic de deșeuri menajere și industriale, amplasat în Albesti (Mangalia), deservește aproximativ 50.000 de locuitori. Capacitatea de depozitare a celulei noi este de 65.500 m3. În depozit se realizează sortarea manuală a deșeurilor pentru recuperarea celor reciclabile.</w:t>
      </w:r>
    </w:p>
    <w:p w14:paraId="22C116F4"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Pe lângă aceste depozite, în localitatea Luminița există un depozit pentru nămoluri provenite din stațiile de epurare, administrat de RAJA S.A., și realizat într-o alveolă a unei fostei cariere de piatră.</w:t>
      </w:r>
    </w:p>
    <w:p w14:paraId="649A5599"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Referitor la municipiul Constanța, deșeurile menajere și asimilabilele acestore sunt transportate în vederea depozitării la rampa ecologică amplasată pe raza administrativă a orașului Ovidiu, situată în afara zonei costiere.</w:t>
      </w:r>
    </w:p>
    <w:p w14:paraId="0FD2A8F3"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În zona de studiu există trei stații de sortare, la Constanța (capacitate 23.000 t/an), Corbu (capacitate 450 t/an) și Costinești (capacitate (50.000 t/an) și o stație de tratare mecano-biologică a deșeurilor, la Costinești (capacitate 70.000 t/an).</w:t>
      </w:r>
    </w:p>
    <w:p w14:paraId="1FA82801"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Referitor la transportul deșeurilor, în zona de studiu erau avizați în 2020 un număr de 23 de operatori, repartizați după cum urmează: 16 în municipiul Constanța, 4 în orașul Năvodari, 2 în comuna Agigea și 1 în comuna Techirghiol (Consiliul Județean Constanța, 2021).</w:t>
      </w:r>
    </w:p>
    <w:p w14:paraId="11136AE9" w14:textId="77777777" w:rsidR="00670FD4" w:rsidRDefault="00670FD4" w:rsidP="00670FD4">
      <w:pPr>
        <w:pStyle w:val="Heading4"/>
      </w:pPr>
      <w:bookmarkStart w:id="111" w:name="_Toc171084857"/>
      <w:r>
        <w:t>2.4.8.11 Dragare și construcții hidrotehnice</w:t>
      </w:r>
      <w:bookmarkEnd w:id="111"/>
    </w:p>
    <w:p w14:paraId="30F91721" w14:textId="77777777" w:rsidR="00670FD4" w:rsidRDefault="00670FD4" w:rsidP="00670FD4">
      <w:pPr>
        <w:pBdr>
          <w:top w:val="nil"/>
          <w:left w:val="nil"/>
          <w:bottom w:val="nil"/>
          <w:right w:val="nil"/>
          <w:between w:val="nil"/>
        </w:pBdr>
        <w:spacing w:before="0"/>
        <w:ind w:firstLine="540"/>
        <w:rPr>
          <w:rFonts w:eastAsia="Times New Roman" w:cs="Times New Roman"/>
          <w:color w:val="000000"/>
        </w:rPr>
      </w:pPr>
      <w:r>
        <w:rPr>
          <w:rFonts w:eastAsia="Times New Roman" w:cs="Times New Roman"/>
          <w:color w:val="000000"/>
        </w:rPr>
        <w:t>În cazul porturilor maritime, lucrările de dragare sunt necesare pentru eliminarea limitărilor de pescaj în interiorul porturilor; îmbunătățirea manevrelor sigure și a condițiilor de navigație; creșterea eficienței operatorilor prin evitarea operațiunilor de umplere și manipulare dublă; și consolidarea poziției actuale a porturilor în regiunea Mării Negre și a sistemului european de transport. </w:t>
      </w:r>
    </w:p>
    <w:p w14:paraId="5EF92673" w14:textId="77777777" w:rsidR="00670FD4" w:rsidRDefault="00670FD4" w:rsidP="00670FD4">
      <w:pPr>
        <w:pBdr>
          <w:top w:val="nil"/>
          <w:left w:val="nil"/>
          <w:bottom w:val="nil"/>
          <w:right w:val="nil"/>
          <w:between w:val="nil"/>
        </w:pBdr>
        <w:spacing w:before="0"/>
        <w:ind w:firstLine="540"/>
        <w:rPr>
          <w:rFonts w:eastAsia="Times New Roman" w:cs="Times New Roman"/>
          <w:color w:val="000000"/>
        </w:rPr>
      </w:pPr>
      <w:r>
        <w:rPr>
          <w:rFonts w:eastAsia="Times New Roman" w:cs="Times New Roman"/>
          <w:color w:val="000000"/>
        </w:rPr>
        <w:t>În cazul portului Constanța, în prezent, este în implementare proiectul „Modernizarea infrastructurii portuare prin asigurarea creșterii adâncimii canalelor și bazinelor și a siguranței navigației în Portul Constanța”, finanțat prin POIM 2014-2020, Axa prioritară 1, Obiectiv specific 1.3-Creșterea utilizării căilor navigabile și a porturilor situate în rețeaua centrală TEN-T. Proiectul prevede lucrări de dragare în 17 zone portuare pentru a aduce la nivelul proiectat adâncimile apei din bazinele și șenalul de acces din Portul Constanța.</w:t>
      </w:r>
    </w:p>
    <w:p w14:paraId="17450556" w14:textId="77777777" w:rsidR="00670FD4" w:rsidRDefault="00670FD4" w:rsidP="00670FD4">
      <w:pPr>
        <w:pBdr>
          <w:top w:val="nil"/>
          <w:left w:val="nil"/>
          <w:bottom w:val="nil"/>
          <w:right w:val="nil"/>
          <w:between w:val="nil"/>
        </w:pBdr>
        <w:spacing w:before="0"/>
        <w:ind w:firstLine="540"/>
        <w:rPr>
          <w:rFonts w:eastAsia="Times New Roman" w:cs="Times New Roman"/>
          <w:color w:val="000000"/>
        </w:rPr>
      </w:pPr>
      <w:r>
        <w:rPr>
          <w:rFonts w:eastAsia="Times New Roman" w:cs="Times New Roman"/>
          <w:color w:val="000000"/>
        </w:rPr>
        <w:lastRenderedPageBreak/>
        <w:t xml:space="preserve">În porturile Midia și Mangalia, adâncimea apei la dane și accesul în acvatoriul porturilor sunt principalii factori restrictivi pentru operare. Această situație a apărut din cauza întârzierii investițiilor pentru lucrările de dragare și a dus la o scădere semnificativă a eficienței operațiunilor determinate de dificultățile de primire/intrare a navelor mai mari. </w:t>
      </w:r>
    </w:p>
    <w:p w14:paraId="4DEA7BE0" w14:textId="77777777" w:rsidR="00670FD4" w:rsidRDefault="00670FD4" w:rsidP="00670FD4">
      <w:pPr>
        <w:pBdr>
          <w:top w:val="nil"/>
          <w:left w:val="nil"/>
          <w:bottom w:val="nil"/>
          <w:right w:val="nil"/>
          <w:between w:val="nil"/>
        </w:pBdr>
        <w:spacing w:before="0"/>
        <w:ind w:firstLine="20"/>
        <w:rPr>
          <w:rFonts w:eastAsia="Times New Roman" w:cs="Times New Roman"/>
          <w:color w:val="000000"/>
        </w:rPr>
      </w:pPr>
      <w:r>
        <w:rPr>
          <w:rFonts w:eastAsia="Times New Roman" w:cs="Times New Roman"/>
          <w:color w:val="000000"/>
        </w:rPr>
        <w:t>Modificările hidrotehnice din partea nordică a zonei costiere, aferentă Deltei Dunării, au avut ca scop îmbunătăţirea condiţiilor de navigaţie pe Dunăre, accesului navelor din mare spre teritoriu, precum şi asigurarea unor condiţii hidrologice optime pentru habitate acvatice naturale, precum și pentru exploatarea resurselor naturale din interiorul deltei. Până în prezent au fost reprofilate prin lucrări de dragare și decolmatare peste 328 km de canale și renaturare suprafețe de 15.712 ha ale amenajărilor agricole și piscicole abandonate, ineficiente economic.</w:t>
      </w:r>
    </w:p>
    <w:p w14:paraId="379F0CBA" w14:textId="77777777" w:rsidR="00670FD4" w:rsidRDefault="00670FD4" w:rsidP="00670FD4">
      <w:pPr>
        <w:pBdr>
          <w:top w:val="nil"/>
          <w:left w:val="nil"/>
          <w:bottom w:val="nil"/>
          <w:right w:val="nil"/>
          <w:between w:val="nil"/>
        </w:pBdr>
        <w:spacing w:before="0"/>
        <w:ind w:firstLine="540"/>
        <w:rPr>
          <w:rFonts w:eastAsia="Times New Roman" w:cs="Times New Roman"/>
          <w:color w:val="000000"/>
        </w:rPr>
      </w:pPr>
      <w:r>
        <w:rPr>
          <w:rFonts w:eastAsia="Times New Roman" w:cs="Times New Roman"/>
          <w:color w:val="000000"/>
        </w:rPr>
        <w:t xml:space="preserve">În ceea ce privește structurile hidrotehnice de protecție costieră de pe întreg litoralul românesc, în prezent, se află în plină desfășurare execuția proiectului ”Reducerea eroziunii costiere – Faza II (2014-2020). Perimetre: 2 Mai, Mangalia (Saturn, Balta Mangalia, Venus, Cap Aurora, Jupiter, Neptun, Olimp), </w:t>
      </w:r>
      <w:sdt>
        <w:sdtPr>
          <w:tag w:val="goog_rdk_45"/>
          <w:id w:val="1308515926"/>
        </w:sdtPr>
        <w:sdtContent>
          <w:r>
            <w:rPr>
              <w:rFonts w:eastAsia="Times New Roman" w:cs="Times New Roman"/>
              <w:color w:val="000000"/>
            </w:rPr>
            <w:t>Costinești</w:t>
          </w:r>
        </w:sdtContent>
      </w:sdt>
      <w:r>
        <w:rPr>
          <w:rFonts w:eastAsia="Times New Roman" w:cs="Times New Roman"/>
          <w:color w:val="000000"/>
        </w:rPr>
        <w:t xml:space="preserve">, Eforie Sud, Eforie Centru, Agigea, Port Tomis – Constanța Port, Mamaia Centru, Mamaia Nord, Stăvilar Edighiol, Stăvilar Periboina)” care are ca obiect reabilitarea întregului sector sudic al litoralului prin modificarea dimensiunilor celulelor de plaje (îndepărtarea unor structuri existente și execuția unor structuri noi), precum și lucrări de înnisipări ale plajelor. </w:t>
      </w:r>
    </w:p>
    <w:p w14:paraId="6BB818EE" w14:textId="77777777" w:rsidR="00670FD4" w:rsidRDefault="00670FD4" w:rsidP="00670FD4">
      <w:pPr>
        <w:rPr>
          <w:rFonts w:eastAsia="Times New Roman" w:cs="Times New Roman"/>
          <w:sz w:val="28"/>
          <w:u w:val="single"/>
        </w:rPr>
      </w:pPr>
    </w:p>
    <w:p w14:paraId="10A148BE" w14:textId="77777777" w:rsidR="00670FD4" w:rsidRDefault="00670FD4" w:rsidP="00670FD4">
      <w:pPr>
        <w:pStyle w:val="Heading2"/>
      </w:pPr>
      <w:bookmarkStart w:id="112" w:name="_Toc150501471"/>
      <w:bookmarkStart w:id="113" w:name="_Toc171084858"/>
      <w:r>
        <w:t>2.5. Presiunile și impactul acestora asupra zonei costiere:</w:t>
      </w:r>
      <w:bookmarkEnd w:id="112"/>
      <w:bookmarkEnd w:id="113"/>
    </w:p>
    <w:p w14:paraId="16705241" w14:textId="77777777" w:rsidR="00670FD4" w:rsidRDefault="00670FD4" w:rsidP="00670FD4">
      <w:pPr>
        <w:pStyle w:val="Heading3"/>
      </w:pPr>
      <w:bookmarkStart w:id="114" w:name="_heading=h.2u6wntf" w:colFirst="0" w:colLast="0"/>
      <w:bookmarkStart w:id="115" w:name="_Toc150501472"/>
      <w:bookmarkStart w:id="116" w:name="_Toc171084859"/>
      <w:bookmarkEnd w:id="114"/>
      <w:r>
        <w:t>2.5.1 Hazarde naturale și impactul lor asupra componentelor de mediu și socio-economice</w:t>
      </w:r>
      <w:bookmarkEnd w:id="115"/>
      <w:bookmarkEnd w:id="116"/>
      <w:r>
        <w:t xml:space="preserve"> </w:t>
      </w:r>
    </w:p>
    <w:p w14:paraId="6E10480D"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Consecințele schimbărilor climatice, determinate de creșterea concentrațiilor gazelor cu efect de seră, sunt observate atât la nivel global cât și la nivel regional și local. Cele mai evidente manifestări sunt creșterea temperaturii aerului, urmată de modificări ale cantității de precipitații, creșterea nivelului mării, modificări în regimurile termic și salin al mării, îngheț și creșterea frecvenței și intensității fenomenelor extreme.</w:t>
      </w:r>
    </w:p>
    <w:p w14:paraId="01A8FCA8"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b/>
          <w:i/>
          <w:color w:val="000000"/>
        </w:rPr>
        <w:t>Temperatura aerului și precipitații</w:t>
      </w:r>
      <w:r>
        <w:rPr>
          <w:rFonts w:eastAsia="Times New Roman" w:cs="Times New Roman"/>
          <w:color w:val="000000"/>
        </w:rPr>
        <w:t xml:space="preserve"> - scenarii climatice (sursa: Administrația Națională de Meteorologie)</w:t>
      </w:r>
    </w:p>
    <w:p w14:paraId="4AF17C17"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În condițiile schimbărilor climatice, temperatura aerului va crește, cu magnitudine diferită în funcție de orizontul de timp și tipul de scenariu de emisii al gazelor cu efect de seră, conform ansamblului de 5 modele climatice regionale folosit. În toate cazurile, creșterile vor fi mai mici în zona costieră comparativ cu celelalte regiuni ale țării, datorită influenței Mării Negre (Fig. 2.5.1.1).</w:t>
      </w:r>
    </w:p>
    <w:p w14:paraId="2D326E00" w14:textId="77777777" w:rsidR="00670FD4" w:rsidRDefault="00670FD4" w:rsidP="00670FD4">
      <w:pPr>
        <w:pBdr>
          <w:top w:val="nil"/>
          <w:left w:val="nil"/>
          <w:bottom w:val="nil"/>
          <w:right w:val="nil"/>
          <w:between w:val="nil"/>
        </w:pBdr>
        <w:ind w:firstLine="567"/>
        <w:rPr>
          <w:rFonts w:eastAsia="Times New Roman" w:cs="Times New Roman"/>
          <w:color w:val="000000"/>
        </w:rPr>
      </w:pPr>
    </w:p>
    <w:p w14:paraId="02B2CDAC" w14:textId="77777777" w:rsidR="00670FD4" w:rsidRDefault="00670FD4" w:rsidP="00670FD4">
      <w:pPr>
        <w:pBdr>
          <w:top w:val="nil"/>
          <w:left w:val="nil"/>
          <w:bottom w:val="nil"/>
          <w:right w:val="nil"/>
          <w:between w:val="nil"/>
        </w:pBdr>
        <w:ind w:firstLine="567"/>
        <w:rPr>
          <w:rFonts w:eastAsia="Times New Roman" w:cs="Times New Roman"/>
          <w:color w:val="000000"/>
        </w:rPr>
      </w:pPr>
      <w:r>
        <w:rPr>
          <w:rFonts w:eastAsia="Times New Roman" w:cs="Times New Roman"/>
          <w:color w:val="000000"/>
        </w:rPr>
        <w:lastRenderedPageBreak/>
        <w:t xml:space="preserve"> </w:t>
      </w:r>
      <w:r>
        <w:rPr>
          <w:rFonts w:eastAsia="Times New Roman" w:cs="Times New Roman"/>
          <w:noProof/>
          <w:color w:val="000000"/>
        </w:rPr>
        <w:drawing>
          <wp:inline distT="0" distB="0" distL="0" distR="0" wp14:anchorId="003CAD8F" wp14:editId="32DAEB11">
            <wp:extent cx="4590415" cy="3495040"/>
            <wp:effectExtent l="0" t="0" r="0" b="0"/>
            <wp:docPr id="214140193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0"/>
                    <a:srcRect/>
                    <a:stretch>
                      <a:fillRect/>
                    </a:stretch>
                  </pic:blipFill>
                  <pic:spPr>
                    <a:xfrm>
                      <a:off x="0" y="0"/>
                      <a:ext cx="4590415" cy="3495040"/>
                    </a:xfrm>
                    <a:prstGeom prst="rect">
                      <a:avLst/>
                    </a:prstGeom>
                    <a:ln/>
                  </pic:spPr>
                </pic:pic>
              </a:graphicData>
            </a:graphic>
          </wp:inline>
        </w:drawing>
      </w:r>
    </w:p>
    <w:p w14:paraId="2088E088" w14:textId="77777777" w:rsidR="00670FD4" w:rsidRDefault="00670FD4" w:rsidP="00670FD4">
      <w:pPr>
        <w:pBdr>
          <w:top w:val="nil"/>
          <w:left w:val="nil"/>
          <w:bottom w:val="nil"/>
          <w:right w:val="nil"/>
          <w:between w:val="nil"/>
        </w:pBdr>
        <w:ind w:firstLine="567"/>
        <w:jc w:val="center"/>
        <w:rPr>
          <w:rFonts w:eastAsia="Times New Roman" w:cs="Times New Roman"/>
          <w:b/>
          <w:color w:val="000000"/>
        </w:rPr>
      </w:pPr>
      <w:r>
        <w:rPr>
          <w:rFonts w:eastAsia="Times New Roman" w:cs="Times New Roman"/>
          <w:b/>
          <w:color w:val="000000"/>
        </w:rPr>
        <w:t xml:space="preserve">Fig. 2.5.1.1 </w:t>
      </w:r>
      <w:r>
        <w:rPr>
          <w:rFonts w:eastAsia="Times New Roman" w:cs="Times New Roman"/>
          <w:b/>
        </w:rPr>
        <w:t>Proiecțiile</w:t>
      </w:r>
      <w:r>
        <w:rPr>
          <w:rFonts w:eastAsia="Times New Roman" w:cs="Times New Roman"/>
          <w:b/>
          <w:color w:val="000000"/>
        </w:rPr>
        <w:t xml:space="preserve"> creșterilor medii anuale ale temperaturii aerului (°C) la înălțimea de 2 m, în regiunea de interes, pentru perioada 2021-2050 (stânga) și 2071-2100 (dreapta) față de intervalul de referință 1971-2000, în condițiile scenariilor climatice ale concentrațiilor globale medii (RCP 4.5) (sus) și ridicate (RCP 8.5) (jos) ale gazelor cu efect de seră (sursa: ANM)</w:t>
      </w:r>
    </w:p>
    <w:p w14:paraId="3E1A78DB" w14:textId="77777777" w:rsidR="00670FD4" w:rsidRDefault="00670FD4" w:rsidP="00670FD4">
      <w:pPr>
        <w:pBdr>
          <w:top w:val="nil"/>
          <w:left w:val="nil"/>
          <w:bottom w:val="nil"/>
          <w:right w:val="nil"/>
          <w:between w:val="nil"/>
        </w:pBdr>
        <w:ind w:firstLine="567"/>
        <w:jc w:val="center"/>
        <w:rPr>
          <w:rFonts w:eastAsia="Times New Roman" w:cs="Times New Roman"/>
          <w:b/>
          <w:color w:val="000000"/>
        </w:rPr>
      </w:pPr>
    </w:p>
    <w:p w14:paraId="189B43ED" w14:textId="77777777" w:rsidR="00670FD4" w:rsidRDefault="00670FD4" w:rsidP="00670FD4">
      <w:pPr>
        <w:pBdr>
          <w:top w:val="nil"/>
          <w:left w:val="nil"/>
          <w:bottom w:val="nil"/>
          <w:right w:val="nil"/>
          <w:between w:val="nil"/>
        </w:pBdr>
        <w:ind w:firstLine="567"/>
        <w:rPr>
          <w:rFonts w:eastAsia="Times New Roman" w:cs="Times New Roman"/>
          <w:color w:val="000000"/>
        </w:rPr>
      </w:pPr>
      <w:r>
        <w:rPr>
          <w:rFonts w:eastAsia="Times New Roman" w:cs="Times New Roman"/>
          <w:color w:val="000000"/>
        </w:rPr>
        <w:t xml:space="preserve">Conform aceluiași ansamblu de 5 modele climatice regionale folosit, în condițiile schimbărilor climatice, cantitățile medii de precipitații, vara, se vor reduce, mai puternic spre sfârșitul secolului în condițiile scenariului cu cele mai ridicate emisii de gaze cu efect de seră la nivel global (cu peste 20 % față de intervalul de referință 1971-2000; Fig. 2.5.1.2). Pentru proiecția 2021-2050, reducerea precipitațiilor în vară, în condițiile scenariului cu cele mai ridicate concentrații ale gazelor cu efect de seră este semnificativ mai mică (8-12 %). </w:t>
      </w:r>
    </w:p>
    <w:p w14:paraId="178990D3" w14:textId="77777777" w:rsidR="00670FD4" w:rsidRDefault="00670FD4" w:rsidP="00670FD4">
      <w:pPr>
        <w:pBdr>
          <w:top w:val="nil"/>
          <w:left w:val="nil"/>
          <w:bottom w:val="nil"/>
          <w:right w:val="nil"/>
          <w:between w:val="nil"/>
        </w:pBdr>
        <w:ind w:firstLine="567"/>
        <w:rPr>
          <w:rFonts w:eastAsia="Times New Roman" w:cs="Times New Roman"/>
          <w:color w:val="000000"/>
        </w:rPr>
      </w:pPr>
      <w:r>
        <w:rPr>
          <w:rFonts w:eastAsia="Times New Roman" w:cs="Times New Roman"/>
          <w:color w:val="000000"/>
        </w:rPr>
        <w:t xml:space="preserve">Iarna, există un semnal de creștere moderată a cantității medii de precipitații (în medie cu până la 12 % față de intervalul de referință 1971-2000; Fig. 2.5.1.3). Pentru proiecția 2021-2050, creșterea precipitațiilor în perioada de iarnă, în condițiile scenariului concentrații globale medii ale gazelor cu efect de seră, este estimată la circa 3-5 %, în timp ce în scenariul celui mai ridicat nivel al concentrațiilor gazelor cu efect de seră, această creștere a precipitațiilor se dublează. Creșterea cantității de precipitații, determinată de schimbările climatice, reprezintă un factor favorizant pentru producerea fenomenului de eroziune. </w:t>
      </w:r>
    </w:p>
    <w:p w14:paraId="1385AB33" w14:textId="77777777" w:rsidR="00670FD4" w:rsidRDefault="00670FD4" w:rsidP="00670FD4">
      <w:pPr>
        <w:pBdr>
          <w:top w:val="nil"/>
          <w:left w:val="nil"/>
          <w:bottom w:val="nil"/>
          <w:right w:val="nil"/>
          <w:between w:val="nil"/>
        </w:pBdr>
        <w:ind w:firstLine="567"/>
        <w:rPr>
          <w:rFonts w:eastAsia="Times New Roman" w:cs="Times New Roman"/>
          <w:color w:val="000000"/>
        </w:rPr>
      </w:pPr>
    </w:p>
    <w:p w14:paraId="0A056E04" w14:textId="77777777" w:rsidR="00670FD4" w:rsidRDefault="00670FD4" w:rsidP="00670FD4">
      <w:pPr>
        <w:pBdr>
          <w:top w:val="nil"/>
          <w:left w:val="nil"/>
          <w:bottom w:val="nil"/>
          <w:right w:val="nil"/>
          <w:between w:val="nil"/>
        </w:pBdr>
        <w:ind w:firstLine="567"/>
        <w:jc w:val="center"/>
        <w:rPr>
          <w:rFonts w:eastAsia="Times New Roman" w:cs="Times New Roman"/>
          <w:color w:val="000000"/>
        </w:rPr>
      </w:pPr>
      <w:r>
        <w:rPr>
          <w:rFonts w:eastAsia="Times New Roman" w:cs="Times New Roman"/>
          <w:noProof/>
          <w:color w:val="000000"/>
        </w:rPr>
        <w:lastRenderedPageBreak/>
        <w:drawing>
          <wp:inline distT="0" distB="0" distL="0" distR="0" wp14:anchorId="1378B3C9" wp14:editId="1895E842">
            <wp:extent cx="4676140" cy="3780790"/>
            <wp:effectExtent l="0" t="0" r="0" b="0"/>
            <wp:docPr id="214140193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1"/>
                    <a:srcRect/>
                    <a:stretch>
                      <a:fillRect/>
                    </a:stretch>
                  </pic:blipFill>
                  <pic:spPr>
                    <a:xfrm>
                      <a:off x="0" y="0"/>
                      <a:ext cx="4676140" cy="3780790"/>
                    </a:xfrm>
                    <a:prstGeom prst="rect">
                      <a:avLst/>
                    </a:prstGeom>
                    <a:ln/>
                  </pic:spPr>
                </pic:pic>
              </a:graphicData>
            </a:graphic>
          </wp:inline>
        </w:drawing>
      </w:r>
    </w:p>
    <w:p w14:paraId="0D5A428F" w14:textId="77777777" w:rsidR="00670FD4" w:rsidRDefault="00670FD4" w:rsidP="00670FD4">
      <w:pPr>
        <w:pBdr>
          <w:top w:val="nil"/>
          <w:left w:val="nil"/>
          <w:bottom w:val="nil"/>
          <w:right w:val="nil"/>
          <w:between w:val="nil"/>
        </w:pBdr>
        <w:ind w:firstLine="567"/>
        <w:jc w:val="center"/>
        <w:rPr>
          <w:rFonts w:eastAsia="Times New Roman" w:cs="Times New Roman"/>
          <w:b/>
          <w:color w:val="000000"/>
        </w:rPr>
      </w:pPr>
      <w:r>
        <w:rPr>
          <w:rFonts w:eastAsia="Times New Roman" w:cs="Times New Roman"/>
          <w:b/>
          <w:color w:val="000000"/>
        </w:rPr>
        <w:t>Fig. 2.5.1.2 Proiecțiile diferențelor medii ale cantității de precipitații de vară (%), în regiunea de interes, pentru perioada 2021-2050 (stânga) și 2071-2100 (dreapta) față de intervalul de referință 1971- 2000, în condițiile scenariilor climatice ale concentrațiilor globale medii (RCP 4.5) (sus) și ridicate (RCP 8.5) (jos) ale gazelor cu efect de seră (</w:t>
      </w:r>
      <w:r>
        <w:rPr>
          <w:rFonts w:eastAsia="Times New Roman" w:cs="Times New Roman"/>
          <w:b/>
          <w:i/>
          <w:color w:val="000000"/>
        </w:rPr>
        <w:t>sursa: ANM)</w:t>
      </w:r>
    </w:p>
    <w:p w14:paraId="5AB816C7" w14:textId="77777777" w:rsidR="00670FD4" w:rsidRDefault="00670FD4" w:rsidP="00670FD4">
      <w:pPr>
        <w:pBdr>
          <w:top w:val="nil"/>
          <w:left w:val="nil"/>
          <w:bottom w:val="nil"/>
          <w:right w:val="nil"/>
          <w:between w:val="nil"/>
        </w:pBdr>
        <w:rPr>
          <w:rFonts w:eastAsia="Times New Roman" w:cs="Times New Roman"/>
          <w:i/>
          <w:color w:val="000000"/>
        </w:rPr>
      </w:pPr>
    </w:p>
    <w:p w14:paraId="634EBE49" w14:textId="77777777" w:rsidR="00670FD4" w:rsidRDefault="00670FD4" w:rsidP="00670FD4">
      <w:pPr>
        <w:pBdr>
          <w:top w:val="nil"/>
          <w:left w:val="nil"/>
          <w:bottom w:val="nil"/>
          <w:right w:val="nil"/>
          <w:between w:val="nil"/>
        </w:pBdr>
        <w:spacing w:before="0"/>
        <w:rPr>
          <w:rFonts w:eastAsia="Times New Roman" w:cs="Times New Roman"/>
          <w:i/>
          <w:color w:val="000000"/>
        </w:rPr>
      </w:pPr>
      <w:r>
        <w:rPr>
          <w:rFonts w:eastAsia="Times New Roman" w:cs="Times New Roman"/>
          <w:i/>
          <w:color w:val="000000"/>
        </w:rPr>
        <w:t>Inundații</w:t>
      </w:r>
    </w:p>
    <w:p w14:paraId="5EE6E93C"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Deși nivelul precipitațiilor este redus, iar proiecțiile diferențelor medii ale cantităților de preecipitații pentru perioada 2021-2050, în condițiile scenariului climatic ale concentrațiilor globale medii (RCP 4.5) nu indică modificări considerabile, în zona costieră există, totuși, riscul de inundații semnificative ca urmare a ploilor torențiale cu aspect de vijelie. Astfel, se pot înregistra cantități importante de precipitații în intervale scurte de timp, ce pot avea consecințe catastrofale uneori depășind valorile istorice cunoscute. Așa s-a întâmplat în 28 august 2004, în județul Constanța, când cantităţile mari de precipitaţii căzute într-un timp relativ scurt, combinate cu scurgerile de versanţii şi a reţelelor de canalizare subdimensionate, au provocat inundaţii puternice afectând 6 localităţi din zona costieră (Constanța, Năvodari, Eforie, Techirghiol, Agigea și Tuzla), conform Inspectoratul pentru Situații de Urgență „DOBROGEA” al județului Constanța (2018).</w:t>
      </w:r>
    </w:p>
    <w:p w14:paraId="5B8E8028"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 xml:space="preserve">Cel mai important astfel de eveniment în zona costieră, catalogat ca fiind istoric, s-a produs în septembrie 2005, la Costinești, când o viitură a distrus locuinţe din fostul sat Schitu. S-au înregistrat pagube materiale prin distrugerea rambleului de cale ferată pe o lungime de circa 1,5 km (rambleu ce a obturat de fapt cursul văii torenţiale), a numeroase drumuri de acces, case şi moteluri, terase şi restaurante. S-au înregistrat şi pierderi de vieţi omeneşti. Cu această </w:t>
      </w:r>
      <w:r>
        <w:rPr>
          <w:rFonts w:eastAsia="Times New Roman" w:cs="Times New Roman"/>
          <w:color w:val="000000"/>
        </w:rPr>
        <w:lastRenderedPageBreak/>
        <w:t xml:space="preserve">ocazie o mare parte din lacul Costineşti a redevenit golf prin spălarea perisipului şi a zonei de plajă pe o lungime de circa 2 km. </w:t>
      </w:r>
    </w:p>
    <w:p w14:paraId="04D764D0" w14:textId="77777777" w:rsidR="00670FD4" w:rsidRDefault="00670FD4" w:rsidP="00670FD4">
      <w:pPr>
        <w:pBdr>
          <w:top w:val="nil"/>
          <w:left w:val="nil"/>
          <w:bottom w:val="nil"/>
          <w:right w:val="nil"/>
          <w:between w:val="nil"/>
        </w:pBdr>
        <w:ind w:firstLine="567"/>
        <w:rPr>
          <w:rFonts w:eastAsia="Times New Roman" w:cs="Times New Roman"/>
          <w:color w:val="000000"/>
        </w:rPr>
      </w:pPr>
    </w:p>
    <w:p w14:paraId="564330B7" w14:textId="77777777" w:rsidR="00670FD4" w:rsidRDefault="00670FD4" w:rsidP="00670FD4">
      <w:pPr>
        <w:pBdr>
          <w:top w:val="nil"/>
          <w:left w:val="nil"/>
          <w:bottom w:val="nil"/>
          <w:right w:val="nil"/>
          <w:between w:val="nil"/>
        </w:pBdr>
        <w:ind w:firstLine="567"/>
        <w:jc w:val="center"/>
        <w:rPr>
          <w:rFonts w:eastAsia="Times New Roman" w:cs="Times New Roman"/>
          <w:color w:val="000000"/>
        </w:rPr>
      </w:pPr>
      <w:r>
        <w:rPr>
          <w:rFonts w:eastAsia="Times New Roman" w:cs="Times New Roman"/>
          <w:noProof/>
          <w:color w:val="000000"/>
        </w:rPr>
        <w:drawing>
          <wp:inline distT="0" distB="0" distL="0" distR="0" wp14:anchorId="49FBF555" wp14:editId="61FF910C">
            <wp:extent cx="4666615" cy="3799840"/>
            <wp:effectExtent l="0" t="0" r="0" b="0"/>
            <wp:docPr id="214140193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2"/>
                    <a:srcRect/>
                    <a:stretch>
                      <a:fillRect/>
                    </a:stretch>
                  </pic:blipFill>
                  <pic:spPr>
                    <a:xfrm>
                      <a:off x="0" y="0"/>
                      <a:ext cx="4666615" cy="3799840"/>
                    </a:xfrm>
                    <a:prstGeom prst="rect">
                      <a:avLst/>
                    </a:prstGeom>
                    <a:ln/>
                  </pic:spPr>
                </pic:pic>
              </a:graphicData>
            </a:graphic>
          </wp:inline>
        </w:drawing>
      </w:r>
    </w:p>
    <w:p w14:paraId="6AB0BC50" w14:textId="77777777" w:rsidR="00670FD4" w:rsidRDefault="00670FD4" w:rsidP="00670FD4">
      <w:pPr>
        <w:pBdr>
          <w:top w:val="nil"/>
          <w:left w:val="nil"/>
          <w:bottom w:val="nil"/>
          <w:right w:val="nil"/>
          <w:between w:val="nil"/>
        </w:pBdr>
        <w:ind w:firstLine="567"/>
        <w:jc w:val="center"/>
        <w:rPr>
          <w:rFonts w:eastAsia="Times New Roman" w:cs="Times New Roman"/>
          <w:b/>
          <w:color w:val="000000"/>
        </w:rPr>
      </w:pPr>
      <w:r>
        <w:rPr>
          <w:rFonts w:eastAsia="Times New Roman" w:cs="Times New Roman"/>
          <w:b/>
          <w:color w:val="000000"/>
        </w:rPr>
        <w:t>Fig. 2.5.1.3 Proiecțiile diferențelor medii ale cantității de precipitații de iarnă (%), în regiunea de interes, pentru perioada 2021-2050 (stânga) și 2071-2100 (dreapta) față de intervalul de referință 1971- 2000, în condițiile scenariilor climatice ale concentrațiilor globale medii (RCP 4.5) (sus) și ridicate (RCP 8.5) (jos) ale gazelor cu efect de seră (</w:t>
      </w:r>
      <w:r>
        <w:rPr>
          <w:rFonts w:eastAsia="Times New Roman" w:cs="Times New Roman"/>
          <w:b/>
          <w:i/>
          <w:color w:val="000000"/>
        </w:rPr>
        <w:t>sursa: ANM</w:t>
      </w:r>
      <w:r>
        <w:rPr>
          <w:rFonts w:eastAsia="Times New Roman" w:cs="Times New Roman"/>
          <w:b/>
          <w:color w:val="000000"/>
        </w:rPr>
        <w:t>)</w:t>
      </w:r>
    </w:p>
    <w:p w14:paraId="19352F1E" w14:textId="77777777" w:rsidR="00670FD4" w:rsidRDefault="00670FD4" w:rsidP="00670FD4">
      <w:pPr>
        <w:pBdr>
          <w:top w:val="nil"/>
          <w:left w:val="nil"/>
          <w:bottom w:val="nil"/>
          <w:right w:val="nil"/>
          <w:between w:val="nil"/>
        </w:pBdr>
        <w:spacing w:before="0"/>
        <w:ind w:firstLine="567"/>
        <w:jc w:val="center"/>
        <w:rPr>
          <w:rFonts w:eastAsia="Times New Roman" w:cs="Times New Roman"/>
          <w:b/>
          <w:color w:val="000000"/>
        </w:rPr>
      </w:pPr>
    </w:p>
    <w:p w14:paraId="285D5483"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Raportul de evaluare preliminară a riscului la inundații, elaborat de ABADL evidențiază zonele de risc semnificativ la inundații din spațiul hidrografic Dobrogea. În zona costieră, zonele cu risc semnificativ la inundații, cu sursă fluvială, conform ABADL, sunt:</w:t>
      </w:r>
    </w:p>
    <w:p w14:paraId="1F7FEB6D"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w:t>
      </w:r>
      <w:r>
        <w:rPr>
          <w:rFonts w:eastAsia="Times New Roman" w:cs="Times New Roman"/>
          <w:color w:val="000000"/>
        </w:rPr>
        <w:tab/>
        <w:t>sector litoral localitatea Mamaia-lacul Razim;</w:t>
      </w:r>
    </w:p>
    <w:p w14:paraId="0977732B"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w:t>
      </w:r>
      <w:r>
        <w:rPr>
          <w:rFonts w:eastAsia="Times New Roman" w:cs="Times New Roman"/>
          <w:color w:val="000000"/>
        </w:rPr>
        <w:tab/>
        <w:t>sector litoral localitatea Costinești-localitatea Mangalia;</w:t>
      </w:r>
    </w:p>
    <w:p w14:paraId="4689DF6F"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w:t>
      </w:r>
      <w:r>
        <w:rPr>
          <w:rFonts w:eastAsia="Times New Roman" w:cs="Times New Roman"/>
          <w:color w:val="000000"/>
        </w:rPr>
        <w:tab/>
        <w:t>râul Casimcea;</w:t>
      </w:r>
    </w:p>
    <w:p w14:paraId="324D829C"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w:t>
      </w:r>
      <w:r>
        <w:rPr>
          <w:rFonts w:eastAsia="Times New Roman" w:cs="Times New Roman"/>
          <w:color w:val="000000"/>
        </w:rPr>
        <w:tab/>
        <w:t>râul valea Albești.</w:t>
      </w:r>
    </w:p>
    <w:p w14:paraId="629879FB"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Aceste inundații se formează datorită depășirii capacității de transport a albiei, iar în cazul sectorului litoral localitatea Mamaia - lacul Razim și depăşirii infrastructurii de apărare. Consecințele se manifestă asupra sănătății umane, comunităților, infrastructurii de orice fel, surselor de poluare (în sectorul litoral Costinești-Mangalia), obiectivelor culturale activități economice și utilizarea terenurilor (sectoarele Casimcea și Albești).</w:t>
      </w:r>
    </w:p>
    <w:p w14:paraId="0E8C6DD3"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lastRenderedPageBreak/>
        <w:t xml:space="preserve"> De asemenea, în Planul de Management al Riscului la Inundații al A.B.A. Dobrogea-Litoral, ciclul II de implementare a Directivei Inundații 2007/60/CE 60/CE, sunt incluse ca și zone de risc semnificativ la inundații și localitățile Corbu, Constanța, Eforie și Costinești. Sursa, în cazul acestor localități este inundarea pluvială, consecințele manifestându-se asupra sănătății umane, comunităților, infrastructurii de orice natură, zonelor protejate (biodiversitate și habitate), obiectivelor culturale, utilizării terenurilor și activităților economice (agricultură, industrie, turism, transporturi, pescuit, etc.).</w:t>
      </w:r>
    </w:p>
    <w:p w14:paraId="3C5DF0C0"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 xml:space="preserve">Principala problemă în ceea ce privește protecția populației și infrastructurii din localități o constituie inexistența (în unele localități rurale) sau subdimensionarea rețelei de colectare a apelor, a sistemelor de canale de desecare, precum și a stațiilor de pompare. Una dintre principale cauze pentru subdimensionarea rețelei de canalizare este legată de dezvoltarea urbană necontrolată, construcțiile spațiilor destinate locuirii sau activităților de turism nu au fost, întotdeauna însoțite și de actualizarea infrastructurii de canalizare. De asemenea, o altă problemă ar putea deriva din nerealizarea periodică a lucrărilor de mentenanță a infrastructurilor existente de protecţie împotriva inundaţiilor, a lucrărilor de întreținere a albiilor cursurilor de apă și eliminarea blocajelor, obstacolelor pe cursurile de apă. </w:t>
      </w:r>
    </w:p>
    <w:p w14:paraId="7AE9B8F5" w14:textId="77777777" w:rsidR="00670FD4" w:rsidRDefault="00670FD4" w:rsidP="00670FD4">
      <w:pPr>
        <w:pBdr>
          <w:top w:val="nil"/>
          <w:left w:val="nil"/>
          <w:bottom w:val="nil"/>
          <w:right w:val="nil"/>
          <w:between w:val="nil"/>
        </w:pBdr>
        <w:spacing w:before="0"/>
        <w:rPr>
          <w:rFonts w:eastAsia="Times New Roman" w:cs="Times New Roman"/>
          <w:i/>
          <w:color w:val="000000"/>
        </w:rPr>
      </w:pPr>
      <w:r>
        <w:rPr>
          <w:rFonts w:eastAsia="Times New Roman" w:cs="Times New Roman"/>
          <w:i/>
          <w:color w:val="000000"/>
        </w:rPr>
        <w:t>Seceta</w:t>
      </w:r>
    </w:p>
    <w:p w14:paraId="73698C95"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În “Studiul pentru elaborarea Strategiei Naționale privind Prevenirea și Combaterea Deșertificării și Degradării Terenurilor 2019-2030”, elaborat la cererea Ministerului Mediului, Apelor și Pădurilor, au fost identificate zonele susceptibile la procesele de degradare a terenurilor și deșertificare. Conform acestui studiu, în zona costieră, UAT-urile din Delta Dunării aparțin zonei cu o susceptibilitate extrem de mare la deșertificare (Delta Dunării fiind singura zonă din România încadrată în această categorie), în timp ce sudul zoneii costiere este încadrat la categoria zone cu susceptibilitate mare. Proiecţiile climatice pentru perioadele 2021-2050 şi 2071-2100 estimează o menținere a condițiilor actuale de aridizare în sud-estul României (Fig 2.5.1.4).</w:t>
      </w:r>
    </w:p>
    <w:p w14:paraId="33431A74" w14:textId="77777777" w:rsidR="00670FD4" w:rsidRDefault="00670FD4" w:rsidP="00670FD4">
      <w:pPr>
        <w:pBdr>
          <w:top w:val="nil"/>
          <w:left w:val="nil"/>
          <w:bottom w:val="nil"/>
          <w:right w:val="nil"/>
          <w:between w:val="nil"/>
        </w:pBdr>
        <w:ind w:firstLine="567"/>
        <w:rPr>
          <w:rFonts w:eastAsia="Times New Roman" w:cs="Times New Roman"/>
          <w:color w:val="000000"/>
        </w:rPr>
      </w:pPr>
    </w:p>
    <w:p w14:paraId="305AA464" w14:textId="77777777" w:rsidR="00670FD4" w:rsidRDefault="00670FD4" w:rsidP="00670FD4">
      <w:pPr>
        <w:pBdr>
          <w:top w:val="nil"/>
          <w:left w:val="nil"/>
          <w:bottom w:val="nil"/>
          <w:right w:val="nil"/>
          <w:between w:val="nil"/>
        </w:pBdr>
        <w:jc w:val="center"/>
        <w:rPr>
          <w:rFonts w:eastAsia="Times New Roman" w:cs="Times New Roman"/>
          <w:color w:val="000000"/>
        </w:rPr>
      </w:pPr>
      <w:r>
        <w:rPr>
          <w:rFonts w:eastAsia="Times New Roman" w:cs="Times New Roman"/>
          <w:noProof/>
          <w:color w:val="000000"/>
        </w:rPr>
        <w:drawing>
          <wp:inline distT="0" distB="0" distL="0" distR="0" wp14:anchorId="246C6B07" wp14:editId="6E52B412">
            <wp:extent cx="5563949" cy="2941697"/>
            <wp:effectExtent l="0" t="0" r="0" b="0"/>
            <wp:docPr id="214140193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3"/>
                    <a:srcRect/>
                    <a:stretch>
                      <a:fillRect/>
                    </a:stretch>
                  </pic:blipFill>
                  <pic:spPr>
                    <a:xfrm>
                      <a:off x="0" y="0"/>
                      <a:ext cx="5563949" cy="2941697"/>
                    </a:xfrm>
                    <a:prstGeom prst="rect">
                      <a:avLst/>
                    </a:prstGeom>
                    <a:ln/>
                  </pic:spPr>
                </pic:pic>
              </a:graphicData>
            </a:graphic>
          </wp:inline>
        </w:drawing>
      </w:r>
    </w:p>
    <w:p w14:paraId="20615869" w14:textId="77777777" w:rsidR="00670FD4" w:rsidRDefault="00670FD4" w:rsidP="00670FD4">
      <w:pPr>
        <w:pBdr>
          <w:top w:val="nil"/>
          <w:left w:val="nil"/>
          <w:bottom w:val="nil"/>
          <w:right w:val="nil"/>
          <w:between w:val="nil"/>
        </w:pBdr>
        <w:ind w:firstLine="567"/>
        <w:jc w:val="center"/>
        <w:rPr>
          <w:rFonts w:eastAsia="Times New Roman" w:cs="Times New Roman"/>
          <w:b/>
          <w:color w:val="000000"/>
        </w:rPr>
      </w:pPr>
      <w:r>
        <w:rPr>
          <w:rFonts w:eastAsia="Times New Roman" w:cs="Times New Roman"/>
          <w:b/>
          <w:color w:val="000000"/>
        </w:rPr>
        <w:lastRenderedPageBreak/>
        <w:t>Fig. 5.1.4 Evoluțiile proiecțiilor indicelui Palmer de severitate a secetei (PDSI) și ale tendințelor liniare asociate (linie albastră punctată) mediate la nivelul bazinului Dunării, pentru intervalul octombrie¬-aprilie (stânga) și mai-septembrie (dreapta) în condițiile scenariilor climatice de concentrațiilor globale medii (RCP 4.5) (sus) și ridicate (RCP 8.5) (jos) ale gazelor cu efect de seră (</w:t>
      </w:r>
      <w:r>
        <w:rPr>
          <w:rFonts w:eastAsia="Times New Roman" w:cs="Times New Roman"/>
          <w:b/>
          <w:i/>
          <w:color w:val="000000"/>
        </w:rPr>
        <w:t>sursa: ANM</w:t>
      </w:r>
      <w:r>
        <w:rPr>
          <w:rFonts w:eastAsia="Times New Roman" w:cs="Times New Roman"/>
          <w:b/>
          <w:color w:val="000000"/>
        </w:rPr>
        <w:t>)</w:t>
      </w:r>
    </w:p>
    <w:p w14:paraId="518983F1" w14:textId="77777777" w:rsidR="00670FD4" w:rsidRDefault="00670FD4" w:rsidP="00670FD4">
      <w:pPr>
        <w:ind w:firstLine="567"/>
        <w:rPr>
          <w:rFonts w:eastAsia="Times New Roman" w:cs="Times New Roman"/>
          <w:color w:val="000000"/>
        </w:rPr>
      </w:pPr>
    </w:p>
    <w:p w14:paraId="23979F8D" w14:textId="77777777" w:rsidR="00670FD4" w:rsidRDefault="00670FD4" w:rsidP="00670FD4">
      <w:pPr>
        <w:spacing w:before="0"/>
        <w:ind w:firstLine="567"/>
        <w:rPr>
          <w:rFonts w:eastAsia="Times New Roman" w:cs="Times New Roman"/>
        </w:rPr>
      </w:pPr>
      <w:r>
        <w:rPr>
          <w:rFonts w:eastAsia="Times New Roman" w:cs="Times New Roman"/>
          <w:color w:val="000000"/>
        </w:rPr>
        <w:t xml:space="preserve">Principalele amenințări legate de gestionarea inadecvată a secetei în zona costieră sunt legate atât de reducerea resurselor de sol, cât și modificarea însușirilor fizice, chimice, mineralogice și biologice ale acestuia. Modificarea (în sens de aridizare) a regimului de umiditate a solului are drept consecinţă reducerea semnificativă a ponderii fazei lichide şi încetinirea / stoparea majorităţii proceselor fizice, biologice, biochimice şi chimice. </w:t>
      </w:r>
    </w:p>
    <w:p w14:paraId="0AD0A663" w14:textId="77777777" w:rsidR="00670FD4" w:rsidRDefault="00670FD4" w:rsidP="00670FD4">
      <w:pPr>
        <w:spacing w:before="0"/>
        <w:ind w:firstLine="567"/>
        <w:rPr>
          <w:rFonts w:eastAsia="Times New Roman" w:cs="Times New Roman"/>
        </w:rPr>
      </w:pPr>
      <w:r>
        <w:rPr>
          <w:rFonts w:eastAsia="Times New Roman" w:cs="Times New Roman"/>
          <w:color w:val="000000"/>
        </w:rPr>
        <w:t xml:space="preserve">O altă amenințare legată de secetă și, în special de deșertificare, se referă la apele de suprafață și cele subterane al căror nivel poate fi serios afectat. Un exemplu în acest sens îl reprezintă secarea lacului Nuntași, în vara anului 2020, datorită secetei accentuată, dar favorizată și de dezinteresul autorităților în a asigura reconectarea cu lacurile Sinoe și Istria. Din cauza secetei hidrologice, acviferele de mică adâncime în Dobrogea de Nord pot suferi scăderi temporare sau permanente ale suprafeţelor piezometrice sub </w:t>
      </w:r>
      <w:r>
        <w:rPr>
          <w:rFonts w:eastAsia="Times New Roman" w:cs="Times New Roman"/>
        </w:rPr>
        <w:t>minimele</w:t>
      </w:r>
      <w:r>
        <w:rPr>
          <w:rFonts w:eastAsia="Times New Roman" w:cs="Times New Roman"/>
          <w:color w:val="000000"/>
        </w:rPr>
        <w:t xml:space="preserve"> istorice, ca urmare a variaţiilor sezoniere, semnificative pentru acviferele freatice.</w:t>
      </w:r>
    </w:p>
    <w:p w14:paraId="018BE65B" w14:textId="77777777" w:rsidR="00670FD4" w:rsidRDefault="00670FD4" w:rsidP="00670FD4">
      <w:pPr>
        <w:spacing w:before="0" w:line="257" w:lineRule="auto"/>
        <w:rPr>
          <w:rFonts w:eastAsia="Times New Roman" w:cs="Times New Roman"/>
          <w:b/>
          <w:i/>
          <w:color w:val="000000"/>
        </w:rPr>
      </w:pPr>
      <w:r>
        <w:rPr>
          <w:rFonts w:eastAsia="Times New Roman" w:cs="Times New Roman"/>
          <w:b/>
          <w:i/>
          <w:color w:val="000000"/>
        </w:rPr>
        <w:t>Fenomene meteorologice extreme</w:t>
      </w:r>
    </w:p>
    <w:p w14:paraId="6F10E1FC" w14:textId="77777777" w:rsidR="00670FD4" w:rsidRDefault="00670FD4" w:rsidP="00670FD4">
      <w:pPr>
        <w:spacing w:before="0" w:line="257" w:lineRule="auto"/>
        <w:ind w:firstLine="567"/>
        <w:rPr>
          <w:rFonts w:eastAsia="Times New Roman" w:cs="Times New Roman"/>
          <w:color w:val="000000"/>
        </w:rPr>
      </w:pPr>
      <w:r>
        <w:rPr>
          <w:rFonts w:eastAsia="Times New Roman" w:cs="Times New Roman"/>
          <w:color w:val="000000"/>
        </w:rPr>
        <w:t>În contextul încălzirii globale, schimbările în regimul climatic la nivel național sunt influențate și de condițiile regionale. Datele furnizate de ANM arată că schimbările referitoare la regimului termic atmosferic, precum și precipitațiile medii, apar împreună cu modificări ale statisticilor fenomenelor meteorologice extreme. Frecvența și intensitatea acestor fenomene meteorologice extreme au crescut semnificativ la nivelul României, astfel, în anul 2021 au fost emise de către ANM cele mai multe mesaje pentru fenomene meteorologice periculoase la nivel național (167).</w:t>
      </w:r>
    </w:p>
    <w:p w14:paraId="75BA71D6" w14:textId="77777777" w:rsidR="00670FD4" w:rsidRDefault="00670FD4" w:rsidP="00670FD4">
      <w:pPr>
        <w:spacing w:before="0" w:line="257" w:lineRule="auto"/>
        <w:ind w:firstLine="567"/>
        <w:rPr>
          <w:rFonts w:eastAsia="Times New Roman" w:cs="Times New Roman"/>
          <w:color w:val="000000"/>
        </w:rPr>
      </w:pPr>
      <w:r>
        <w:rPr>
          <w:rFonts w:eastAsia="Times New Roman" w:cs="Times New Roman"/>
          <w:color w:val="000000"/>
        </w:rPr>
        <w:t>Datele furnizate de ANM pentru zona costieră arată cel mai ridicat număr mediu anual de zile cu vînt tare și cu viscol la Sulina și cel mai mare număr mediu anual de zile cu vijelie la Constanța (Tabele 2.5.1.1 – 2.5.1.3). Este de remarcat numărul ridicat de zile cu vânt tare înregistrate la Sulina inclusiv pe perioada verii, comparativ cu celelalte stații unde acesta a fost nesemnificativ (Tabel 2.5.1.1).</w:t>
      </w:r>
    </w:p>
    <w:p w14:paraId="0CAE1CB3" w14:textId="77777777" w:rsidR="00670FD4" w:rsidRDefault="00670FD4" w:rsidP="00670FD4">
      <w:pPr>
        <w:spacing w:after="0"/>
      </w:pPr>
    </w:p>
    <w:p w14:paraId="0E8FBF8B" w14:textId="77777777" w:rsidR="00670FD4" w:rsidRDefault="00670FD4" w:rsidP="00670FD4">
      <w:pPr>
        <w:spacing w:after="0"/>
        <w:ind w:left="1038" w:right="799"/>
        <w:jc w:val="center"/>
        <w:rPr>
          <w:rFonts w:eastAsia="Times New Roman" w:cs="Times New Roman"/>
        </w:rPr>
      </w:pPr>
      <w:bookmarkStart w:id="117" w:name="_heading=h.19c6y18" w:colFirst="0" w:colLast="0"/>
      <w:bookmarkEnd w:id="117"/>
      <w:r>
        <w:rPr>
          <w:rFonts w:eastAsia="Times New Roman" w:cs="Times New Roman"/>
          <w:b/>
          <w:color w:val="000000"/>
        </w:rPr>
        <w:t>Tabel 2.5.1.1 Număr total lunar multianual de zile cu vânt tare - perioada 1991-2020 (sursa; ANM)</w:t>
      </w:r>
    </w:p>
    <w:tbl>
      <w:tblPr>
        <w:tblW w:w="8798" w:type="dxa"/>
        <w:tblLayout w:type="fixed"/>
        <w:tblLook w:val="0400" w:firstRow="0" w:lastRow="0" w:firstColumn="0" w:lastColumn="0" w:noHBand="0" w:noVBand="1"/>
      </w:tblPr>
      <w:tblGrid>
        <w:gridCol w:w="1436"/>
        <w:gridCol w:w="580"/>
        <w:gridCol w:w="500"/>
        <w:gridCol w:w="580"/>
        <w:gridCol w:w="572"/>
        <w:gridCol w:w="480"/>
        <w:gridCol w:w="540"/>
        <w:gridCol w:w="538"/>
        <w:gridCol w:w="680"/>
        <w:gridCol w:w="540"/>
        <w:gridCol w:w="480"/>
        <w:gridCol w:w="540"/>
        <w:gridCol w:w="598"/>
        <w:gridCol w:w="734"/>
      </w:tblGrid>
      <w:tr w:rsidR="00670FD4" w14:paraId="4929E774" w14:textId="77777777" w:rsidTr="001925BA">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BB3FA08" w14:textId="77777777" w:rsidR="00670FD4" w:rsidRDefault="00670FD4" w:rsidP="001925BA">
            <w:pPr>
              <w:spacing w:after="0" w:line="240" w:lineRule="auto"/>
              <w:ind w:left="300" w:right="60" w:firstLine="0"/>
              <w:rPr>
                <w:rFonts w:eastAsia="Times New Roman" w:cs="Times New Roman"/>
                <w:sz w:val="20"/>
                <w:szCs w:val="20"/>
              </w:rPr>
            </w:pPr>
            <w:r>
              <w:rPr>
                <w:rFonts w:eastAsia="Times New Roman" w:cs="Times New Roman"/>
                <w:color w:val="000000"/>
                <w:sz w:val="20"/>
                <w:szCs w:val="20"/>
              </w:rPr>
              <w:t>Stația</w:t>
            </w:r>
          </w:p>
        </w:tc>
        <w:tc>
          <w:tcPr>
            <w:tcW w:w="5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28BEA23"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I</w:t>
            </w:r>
          </w:p>
        </w:tc>
        <w:tc>
          <w:tcPr>
            <w:tcW w:w="5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CA20367" w14:textId="77777777" w:rsidR="00670FD4" w:rsidRDefault="00670FD4" w:rsidP="001925BA">
            <w:pPr>
              <w:spacing w:after="0" w:line="240" w:lineRule="auto"/>
              <w:ind w:right="60" w:firstLine="0"/>
              <w:rPr>
                <w:rFonts w:eastAsia="Times New Roman" w:cs="Times New Roman"/>
                <w:sz w:val="20"/>
                <w:szCs w:val="20"/>
              </w:rPr>
            </w:pPr>
            <w:r>
              <w:rPr>
                <w:rFonts w:eastAsia="Times New Roman" w:cs="Times New Roman"/>
                <w:color w:val="000000"/>
                <w:sz w:val="20"/>
                <w:szCs w:val="20"/>
              </w:rPr>
              <w:t>II</w:t>
            </w:r>
          </w:p>
        </w:tc>
        <w:tc>
          <w:tcPr>
            <w:tcW w:w="5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E695338" w14:textId="77777777" w:rsidR="00670FD4" w:rsidRDefault="00670FD4" w:rsidP="001925BA">
            <w:pPr>
              <w:spacing w:after="0" w:line="240" w:lineRule="auto"/>
              <w:ind w:right="60" w:firstLine="0"/>
              <w:rPr>
                <w:rFonts w:eastAsia="Times New Roman" w:cs="Times New Roman"/>
                <w:sz w:val="20"/>
                <w:szCs w:val="20"/>
              </w:rPr>
            </w:pPr>
            <w:r>
              <w:rPr>
                <w:rFonts w:eastAsia="Times New Roman" w:cs="Times New Roman"/>
                <w:color w:val="000000"/>
                <w:sz w:val="20"/>
                <w:szCs w:val="20"/>
              </w:rPr>
              <w:t>Ill</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9AA8328" w14:textId="77777777" w:rsidR="00670FD4" w:rsidRDefault="00670FD4" w:rsidP="001925BA">
            <w:pPr>
              <w:spacing w:after="0" w:line="240" w:lineRule="auto"/>
              <w:ind w:right="160" w:firstLine="0"/>
              <w:rPr>
                <w:rFonts w:eastAsia="Times New Roman" w:cs="Times New Roman"/>
                <w:sz w:val="20"/>
                <w:szCs w:val="20"/>
              </w:rPr>
            </w:pPr>
            <w:r>
              <w:rPr>
                <w:rFonts w:eastAsia="Times New Roman" w:cs="Times New Roman"/>
                <w:color w:val="000000"/>
                <w:sz w:val="20"/>
                <w:szCs w:val="20"/>
              </w:rPr>
              <w:t>IV</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D765A1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V</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06B05EA" w14:textId="77777777" w:rsidR="00670FD4" w:rsidRDefault="00670FD4" w:rsidP="001925BA">
            <w:pPr>
              <w:spacing w:after="0" w:line="240" w:lineRule="auto"/>
              <w:ind w:right="100" w:firstLine="0"/>
              <w:rPr>
                <w:rFonts w:eastAsia="Times New Roman" w:cs="Times New Roman"/>
                <w:sz w:val="20"/>
                <w:szCs w:val="20"/>
              </w:rPr>
            </w:pPr>
            <w:r>
              <w:rPr>
                <w:rFonts w:eastAsia="Times New Roman" w:cs="Times New Roman"/>
                <w:color w:val="000000"/>
                <w:sz w:val="20"/>
                <w:szCs w:val="20"/>
              </w:rPr>
              <w:t>VI</w:t>
            </w:r>
          </w:p>
        </w:tc>
        <w:tc>
          <w:tcPr>
            <w:tcW w:w="5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4CEA883" w14:textId="77777777" w:rsidR="00670FD4" w:rsidRDefault="00670FD4" w:rsidP="001925BA">
            <w:pPr>
              <w:spacing w:after="0" w:line="240" w:lineRule="auto"/>
              <w:ind w:right="60" w:firstLine="0"/>
              <w:rPr>
                <w:rFonts w:eastAsia="Times New Roman" w:cs="Times New Roman"/>
                <w:sz w:val="20"/>
                <w:szCs w:val="20"/>
              </w:rPr>
            </w:pPr>
            <w:r>
              <w:rPr>
                <w:rFonts w:eastAsia="Times New Roman" w:cs="Times New Roman"/>
                <w:color w:val="000000"/>
                <w:sz w:val="20"/>
                <w:szCs w:val="20"/>
              </w:rPr>
              <w:t>VII</w:t>
            </w:r>
          </w:p>
        </w:tc>
        <w:tc>
          <w:tcPr>
            <w:tcW w:w="6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723A6DF" w14:textId="77777777" w:rsidR="00670FD4" w:rsidRDefault="00670FD4" w:rsidP="001925BA">
            <w:pPr>
              <w:spacing w:after="0" w:line="240" w:lineRule="auto"/>
              <w:ind w:right="120" w:firstLine="0"/>
              <w:rPr>
                <w:rFonts w:eastAsia="Times New Roman" w:cs="Times New Roman"/>
                <w:sz w:val="20"/>
                <w:szCs w:val="20"/>
              </w:rPr>
            </w:pPr>
            <w:r>
              <w:rPr>
                <w:rFonts w:eastAsia="Times New Roman" w:cs="Times New Roman"/>
                <w:color w:val="000000"/>
                <w:sz w:val="20"/>
                <w:szCs w:val="20"/>
              </w:rPr>
              <w:t>VIII</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DC58776" w14:textId="77777777" w:rsidR="00670FD4" w:rsidRDefault="00670FD4" w:rsidP="001925BA">
            <w:pPr>
              <w:spacing w:after="0" w:line="240" w:lineRule="auto"/>
              <w:ind w:right="120" w:firstLine="0"/>
              <w:rPr>
                <w:rFonts w:eastAsia="Times New Roman" w:cs="Times New Roman"/>
                <w:sz w:val="20"/>
                <w:szCs w:val="20"/>
              </w:rPr>
            </w:pPr>
            <w:r>
              <w:rPr>
                <w:rFonts w:eastAsia="Times New Roman" w:cs="Times New Roman"/>
                <w:color w:val="000000"/>
                <w:sz w:val="20"/>
                <w:szCs w:val="20"/>
              </w:rPr>
              <w:t>IX</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DEA9A8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X</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C36ECCF" w14:textId="77777777" w:rsidR="00670FD4" w:rsidRDefault="00670FD4" w:rsidP="001925BA">
            <w:pPr>
              <w:spacing w:after="0" w:line="240" w:lineRule="auto"/>
              <w:ind w:right="120" w:firstLine="0"/>
              <w:rPr>
                <w:rFonts w:eastAsia="Times New Roman" w:cs="Times New Roman"/>
                <w:sz w:val="20"/>
                <w:szCs w:val="20"/>
              </w:rPr>
            </w:pPr>
            <w:r>
              <w:rPr>
                <w:rFonts w:eastAsia="Times New Roman" w:cs="Times New Roman"/>
                <w:color w:val="000000"/>
                <w:sz w:val="20"/>
                <w:szCs w:val="20"/>
              </w:rPr>
              <w:t>XI</w:t>
            </w:r>
          </w:p>
        </w:tc>
        <w:tc>
          <w:tcPr>
            <w:tcW w:w="59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2278AC8" w14:textId="77777777" w:rsidR="00670FD4" w:rsidRDefault="00670FD4" w:rsidP="001925BA">
            <w:pPr>
              <w:spacing w:after="0" w:line="240" w:lineRule="auto"/>
              <w:ind w:right="120" w:firstLine="0"/>
              <w:rPr>
                <w:rFonts w:eastAsia="Times New Roman" w:cs="Times New Roman"/>
                <w:sz w:val="20"/>
                <w:szCs w:val="20"/>
              </w:rPr>
            </w:pPr>
            <w:r>
              <w:rPr>
                <w:rFonts w:eastAsia="Times New Roman" w:cs="Times New Roman"/>
                <w:color w:val="000000"/>
                <w:sz w:val="20"/>
                <w:szCs w:val="20"/>
              </w:rPr>
              <w:t>XII</w:t>
            </w:r>
          </w:p>
        </w:tc>
        <w:tc>
          <w:tcPr>
            <w:tcW w:w="73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203DC5E" w14:textId="77777777" w:rsidR="00670FD4" w:rsidRDefault="00670FD4" w:rsidP="001925BA">
            <w:pPr>
              <w:spacing w:after="0" w:line="240" w:lineRule="auto"/>
              <w:ind w:right="100" w:firstLine="0"/>
              <w:rPr>
                <w:rFonts w:eastAsia="Times New Roman" w:cs="Times New Roman"/>
                <w:sz w:val="20"/>
                <w:szCs w:val="20"/>
              </w:rPr>
            </w:pPr>
            <w:r>
              <w:rPr>
                <w:rFonts w:eastAsia="Times New Roman" w:cs="Times New Roman"/>
                <w:color w:val="000000"/>
                <w:sz w:val="20"/>
                <w:szCs w:val="20"/>
              </w:rPr>
              <w:t>anual</w:t>
            </w:r>
          </w:p>
        </w:tc>
      </w:tr>
      <w:tr w:rsidR="00670FD4" w14:paraId="0615B209" w14:textId="77777777" w:rsidTr="001925BA">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7A116CB" w14:textId="77777777" w:rsidR="00670FD4" w:rsidRDefault="00670FD4" w:rsidP="001925BA">
            <w:pPr>
              <w:spacing w:after="0" w:line="240" w:lineRule="auto"/>
              <w:ind w:right="60" w:firstLine="0"/>
              <w:rPr>
                <w:rFonts w:eastAsia="Times New Roman" w:cs="Times New Roman"/>
                <w:sz w:val="20"/>
                <w:szCs w:val="20"/>
              </w:rPr>
            </w:pPr>
            <w:r>
              <w:rPr>
                <w:rFonts w:eastAsia="Times New Roman" w:cs="Times New Roman"/>
                <w:color w:val="000000"/>
                <w:sz w:val="20"/>
                <w:szCs w:val="20"/>
              </w:rPr>
              <w:t>Constanța</w:t>
            </w:r>
          </w:p>
        </w:tc>
        <w:tc>
          <w:tcPr>
            <w:tcW w:w="5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9F458CB" w14:textId="77777777" w:rsidR="00670FD4" w:rsidRDefault="00670FD4" w:rsidP="001925BA">
            <w:pPr>
              <w:spacing w:after="0" w:line="240" w:lineRule="auto"/>
              <w:ind w:right="60"/>
              <w:rPr>
                <w:rFonts w:eastAsia="Times New Roman" w:cs="Times New Roman"/>
                <w:sz w:val="20"/>
                <w:szCs w:val="20"/>
              </w:rPr>
            </w:pPr>
            <w:r>
              <w:rPr>
                <w:rFonts w:eastAsia="Times New Roman" w:cs="Times New Roman"/>
                <w:color w:val="000000"/>
                <w:sz w:val="20"/>
                <w:szCs w:val="20"/>
              </w:rPr>
              <w:t>11</w:t>
            </w:r>
          </w:p>
        </w:tc>
        <w:tc>
          <w:tcPr>
            <w:tcW w:w="5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DFF1E9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3</w:t>
            </w:r>
          </w:p>
        </w:tc>
        <w:tc>
          <w:tcPr>
            <w:tcW w:w="5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F446AB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4</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EBE66E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2</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97EEB9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520A56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075ED9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6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7292BF2" w14:textId="77777777" w:rsidR="00670FD4" w:rsidRDefault="00670FD4" w:rsidP="001925BA">
            <w:pPr>
              <w:spacing w:after="0" w:line="240" w:lineRule="auto"/>
              <w:ind w:right="240" w:firstLine="0"/>
              <w:rPr>
                <w:rFonts w:eastAsia="Times New Roman" w:cs="Times New Roman"/>
                <w:sz w:val="20"/>
                <w:szCs w:val="20"/>
              </w:rPr>
            </w:pPr>
            <w:r>
              <w:rPr>
                <w:rFonts w:eastAsia="Times New Roman" w:cs="Times New Roman"/>
                <w:color w:val="000000"/>
                <w:sz w:val="20"/>
                <w:szCs w:val="20"/>
              </w:rPr>
              <w:t>0</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187DEA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4744F6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3</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D1713D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4</w:t>
            </w:r>
          </w:p>
        </w:tc>
        <w:tc>
          <w:tcPr>
            <w:tcW w:w="59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961C46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7</w:t>
            </w:r>
          </w:p>
        </w:tc>
        <w:tc>
          <w:tcPr>
            <w:tcW w:w="73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6B76E77" w14:textId="77777777" w:rsidR="00670FD4" w:rsidRDefault="00670FD4" w:rsidP="001925BA">
            <w:pPr>
              <w:spacing w:after="0" w:line="240" w:lineRule="auto"/>
              <w:ind w:right="100" w:firstLine="0"/>
              <w:rPr>
                <w:rFonts w:eastAsia="Times New Roman" w:cs="Times New Roman"/>
                <w:sz w:val="20"/>
                <w:szCs w:val="20"/>
              </w:rPr>
            </w:pPr>
            <w:r>
              <w:rPr>
                <w:rFonts w:eastAsia="Times New Roman" w:cs="Times New Roman"/>
                <w:color w:val="000000"/>
                <w:sz w:val="20"/>
                <w:szCs w:val="20"/>
              </w:rPr>
              <w:t>34</w:t>
            </w:r>
          </w:p>
        </w:tc>
      </w:tr>
      <w:tr w:rsidR="00670FD4" w14:paraId="445408AA" w14:textId="77777777" w:rsidTr="001925BA">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95BBED7" w14:textId="77777777" w:rsidR="00670FD4" w:rsidRDefault="00670FD4" w:rsidP="001925BA">
            <w:pPr>
              <w:spacing w:after="0" w:line="240" w:lineRule="auto"/>
              <w:ind w:right="60" w:firstLine="0"/>
              <w:rPr>
                <w:rFonts w:eastAsia="Times New Roman" w:cs="Times New Roman"/>
                <w:sz w:val="20"/>
                <w:szCs w:val="20"/>
              </w:rPr>
            </w:pPr>
            <w:r>
              <w:rPr>
                <w:rFonts w:eastAsia="Times New Roman" w:cs="Times New Roman"/>
                <w:color w:val="000000"/>
                <w:sz w:val="20"/>
                <w:szCs w:val="20"/>
              </w:rPr>
              <w:t>Gura Portiței</w:t>
            </w:r>
          </w:p>
        </w:tc>
        <w:tc>
          <w:tcPr>
            <w:tcW w:w="5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FB5011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9</w:t>
            </w:r>
          </w:p>
        </w:tc>
        <w:tc>
          <w:tcPr>
            <w:tcW w:w="5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DF7B80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3</w:t>
            </w:r>
          </w:p>
        </w:tc>
        <w:tc>
          <w:tcPr>
            <w:tcW w:w="5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35BDB3B" w14:textId="77777777" w:rsidR="00670FD4" w:rsidRDefault="00670FD4" w:rsidP="001925BA">
            <w:pPr>
              <w:spacing w:after="0" w:line="240" w:lineRule="auto"/>
              <w:ind w:right="80" w:firstLine="0"/>
              <w:rPr>
                <w:rFonts w:eastAsia="Times New Roman" w:cs="Times New Roman"/>
                <w:sz w:val="20"/>
                <w:szCs w:val="20"/>
              </w:rPr>
            </w:pPr>
            <w:r>
              <w:rPr>
                <w:rFonts w:eastAsia="Times New Roman" w:cs="Times New Roman"/>
                <w:color w:val="000000"/>
                <w:sz w:val="20"/>
                <w:szCs w:val="20"/>
              </w:rPr>
              <w:t>10</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5F6357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4</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16EA1B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C3F219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CF80FC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6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381CCB7" w14:textId="77777777" w:rsidR="00670FD4" w:rsidRDefault="00670FD4" w:rsidP="001925BA">
            <w:pPr>
              <w:spacing w:after="0" w:line="240" w:lineRule="auto"/>
              <w:ind w:right="220" w:firstLine="0"/>
              <w:rPr>
                <w:rFonts w:eastAsia="Times New Roman" w:cs="Times New Roman"/>
                <w:sz w:val="20"/>
                <w:szCs w:val="20"/>
              </w:rPr>
            </w:pPr>
            <w:r>
              <w:rPr>
                <w:rFonts w:eastAsia="Times New Roman" w:cs="Times New Roman"/>
                <w:color w:val="000000"/>
                <w:sz w:val="20"/>
                <w:szCs w:val="20"/>
              </w:rPr>
              <w:t>2</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5973B4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5CA18D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527C83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4</w:t>
            </w:r>
          </w:p>
        </w:tc>
        <w:tc>
          <w:tcPr>
            <w:tcW w:w="59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238FD9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7</w:t>
            </w:r>
          </w:p>
        </w:tc>
        <w:tc>
          <w:tcPr>
            <w:tcW w:w="73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F644265" w14:textId="77777777" w:rsidR="00670FD4" w:rsidRDefault="00670FD4" w:rsidP="001925BA">
            <w:pPr>
              <w:spacing w:after="0" w:line="240" w:lineRule="auto"/>
              <w:ind w:right="100" w:firstLine="0"/>
              <w:rPr>
                <w:rFonts w:eastAsia="Times New Roman" w:cs="Times New Roman"/>
                <w:sz w:val="20"/>
                <w:szCs w:val="20"/>
              </w:rPr>
            </w:pPr>
            <w:r>
              <w:rPr>
                <w:rFonts w:eastAsia="Times New Roman" w:cs="Times New Roman"/>
                <w:color w:val="000000"/>
                <w:sz w:val="20"/>
                <w:szCs w:val="20"/>
              </w:rPr>
              <w:t>44</w:t>
            </w:r>
          </w:p>
        </w:tc>
      </w:tr>
      <w:tr w:rsidR="00670FD4" w14:paraId="3EA4A22F" w14:textId="77777777" w:rsidTr="001925BA">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6DD31DB" w14:textId="77777777" w:rsidR="00670FD4" w:rsidRDefault="00670FD4" w:rsidP="001925BA">
            <w:pPr>
              <w:spacing w:after="0" w:line="240" w:lineRule="auto"/>
              <w:ind w:right="60" w:firstLine="0"/>
              <w:rPr>
                <w:rFonts w:eastAsia="Times New Roman" w:cs="Times New Roman"/>
                <w:sz w:val="20"/>
                <w:szCs w:val="20"/>
              </w:rPr>
            </w:pPr>
            <w:r>
              <w:rPr>
                <w:rFonts w:eastAsia="Times New Roman" w:cs="Times New Roman"/>
                <w:color w:val="000000"/>
                <w:sz w:val="20"/>
                <w:szCs w:val="20"/>
              </w:rPr>
              <w:lastRenderedPageBreak/>
              <w:t>Jurilovca</w:t>
            </w:r>
          </w:p>
        </w:tc>
        <w:tc>
          <w:tcPr>
            <w:tcW w:w="5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ECE7F11" w14:textId="77777777" w:rsidR="00670FD4" w:rsidRDefault="00670FD4" w:rsidP="001925BA">
            <w:pPr>
              <w:spacing w:after="0" w:line="240" w:lineRule="auto"/>
              <w:ind w:right="60" w:firstLine="0"/>
              <w:rPr>
                <w:rFonts w:eastAsia="Times New Roman" w:cs="Times New Roman"/>
                <w:sz w:val="20"/>
                <w:szCs w:val="20"/>
              </w:rPr>
            </w:pPr>
            <w:r>
              <w:rPr>
                <w:rFonts w:eastAsia="Times New Roman" w:cs="Times New Roman"/>
                <w:color w:val="000000"/>
                <w:sz w:val="20"/>
                <w:szCs w:val="20"/>
              </w:rPr>
              <w:t>21</w:t>
            </w:r>
          </w:p>
        </w:tc>
        <w:tc>
          <w:tcPr>
            <w:tcW w:w="5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2ED8737" w14:textId="77777777" w:rsidR="00670FD4" w:rsidRDefault="00670FD4" w:rsidP="001925BA">
            <w:pPr>
              <w:spacing w:after="0" w:line="240" w:lineRule="auto"/>
              <w:ind w:right="100" w:firstLine="0"/>
              <w:rPr>
                <w:rFonts w:eastAsia="Times New Roman" w:cs="Times New Roman"/>
                <w:sz w:val="20"/>
                <w:szCs w:val="20"/>
              </w:rPr>
            </w:pPr>
            <w:r>
              <w:rPr>
                <w:rFonts w:eastAsia="Times New Roman" w:cs="Times New Roman"/>
                <w:color w:val="000000"/>
                <w:sz w:val="20"/>
                <w:szCs w:val="20"/>
              </w:rPr>
              <w:t>12</w:t>
            </w:r>
          </w:p>
        </w:tc>
        <w:tc>
          <w:tcPr>
            <w:tcW w:w="5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D69333A" w14:textId="77777777" w:rsidR="00670FD4" w:rsidRDefault="00670FD4" w:rsidP="001925BA">
            <w:pPr>
              <w:spacing w:after="0" w:line="240" w:lineRule="auto"/>
              <w:ind w:right="80" w:firstLine="0"/>
              <w:rPr>
                <w:rFonts w:eastAsia="Times New Roman" w:cs="Times New Roman"/>
                <w:sz w:val="20"/>
                <w:szCs w:val="20"/>
              </w:rPr>
            </w:pPr>
            <w:r>
              <w:rPr>
                <w:rFonts w:eastAsia="Times New Roman" w:cs="Times New Roman"/>
                <w:color w:val="000000"/>
                <w:sz w:val="20"/>
                <w:szCs w:val="20"/>
              </w:rPr>
              <w:t>16</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7DF27A3"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70083D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9CD961B"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2</w:t>
            </w:r>
          </w:p>
        </w:tc>
        <w:tc>
          <w:tcPr>
            <w:tcW w:w="5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F0477F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6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97AA5EE" w14:textId="77777777" w:rsidR="00670FD4" w:rsidRDefault="00670FD4" w:rsidP="001925BA">
            <w:pPr>
              <w:spacing w:after="0" w:line="240" w:lineRule="auto"/>
              <w:ind w:right="220" w:firstLine="0"/>
              <w:rPr>
                <w:rFonts w:eastAsia="Times New Roman" w:cs="Times New Roman"/>
                <w:sz w:val="20"/>
                <w:szCs w:val="20"/>
              </w:rPr>
            </w:pPr>
            <w:r>
              <w:rPr>
                <w:rFonts w:eastAsia="Times New Roman" w:cs="Times New Roman"/>
                <w:color w:val="000000"/>
                <w:sz w:val="20"/>
                <w:szCs w:val="20"/>
              </w:rPr>
              <w:t>0</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13C709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3</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6B7C4C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2</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305703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4</w:t>
            </w:r>
          </w:p>
        </w:tc>
        <w:tc>
          <w:tcPr>
            <w:tcW w:w="59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2AEF15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8</w:t>
            </w:r>
          </w:p>
        </w:tc>
        <w:tc>
          <w:tcPr>
            <w:tcW w:w="73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C6D0D51" w14:textId="77777777" w:rsidR="00670FD4" w:rsidRDefault="00670FD4" w:rsidP="001925BA">
            <w:pPr>
              <w:spacing w:after="0" w:line="240" w:lineRule="auto"/>
              <w:ind w:right="100" w:firstLine="0"/>
              <w:rPr>
                <w:rFonts w:eastAsia="Times New Roman" w:cs="Times New Roman"/>
                <w:sz w:val="20"/>
                <w:szCs w:val="20"/>
              </w:rPr>
            </w:pPr>
            <w:r>
              <w:rPr>
                <w:rFonts w:eastAsia="Times New Roman" w:cs="Times New Roman"/>
                <w:color w:val="000000"/>
                <w:sz w:val="20"/>
                <w:szCs w:val="20"/>
              </w:rPr>
              <w:t>61</w:t>
            </w:r>
          </w:p>
        </w:tc>
      </w:tr>
      <w:tr w:rsidR="00670FD4" w14:paraId="50BDD4B5" w14:textId="77777777" w:rsidTr="001925BA">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CEEC309" w14:textId="77777777" w:rsidR="00670FD4" w:rsidRDefault="00670FD4" w:rsidP="001925BA">
            <w:pPr>
              <w:spacing w:after="0" w:line="240" w:lineRule="auto"/>
              <w:ind w:right="60" w:firstLine="0"/>
              <w:rPr>
                <w:rFonts w:eastAsia="Times New Roman" w:cs="Times New Roman"/>
                <w:sz w:val="20"/>
                <w:szCs w:val="20"/>
              </w:rPr>
            </w:pPr>
            <w:r>
              <w:rPr>
                <w:rFonts w:eastAsia="Times New Roman" w:cs="Times New Roman"/>
                <w:color w:val="000000"/>
                <w:sz w:val="20"/>
                <w:szCs w:val="20"/>
              </w:rPr>
              <w:t>Mangalia</w:t>
            </w:r>
          </w:p>
        </w:tc>
        <w:tc>
          <w:tcPr>
            <w:tcW w:w="5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EBD019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3</w:t>
            </w:r>
          </w:p>
        </w:tc>
        <w:tc>
          <w:tcPr>
            <w:tcW w:w="5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3F1F49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2</w:t>
            </w:r>
          </w:p>
        </w:tc>
        <w:tc>
          <w:tcPr>
            <w:tcW w:w="5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441015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CDC970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59AEB7E"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349159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5CE335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6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295A478" w14:textId="77777777" w:rsidR="00670FD4" w:rsidRDefault="00670FD4" w:rsidP="001925BA">
            <w:pPr>
              <w:spacing w:after="0" w:line="240" w:lineRule="auto"/>
              <w:ind w:right="220" w:firstLine="0"/>
              <w:rPr>
                <w:rFonts w:eastAsia="Times New Roman" w:cs="Times New Roman"/>
                <w:sz w:val="20"/>
                <w:szCs w:val="20"/>
              </w:rPr>
            </w:pPr>
            <w:r>
              <w:rPr>
                <w:rFonts w:eastAsia="Times New Roman" w:cs="Times New Roman"/>
                <w:color w:val="000000"/>
                <w:sz w:val="20"/>
                <w:szCs w:val="20"/>
              </w:rPr>
              <w:t>0</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1D36B1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6BFD62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887619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9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CB8E73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73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C8B8D7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9</w:t>
            </w:r>
          </w:p>
        </w:tc>
      </w:tr>
      <w:tr w:rsidR="00670FD4" w14:paraId="0AD20C68" w14:textId="77777777" w:rsidTr="001925BA">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D96077C" w14:textId="77777777" w:rsidR="00670FD4" w:rsidRDefault="00670FD4" w:rsidP="001925BA">
            <w:pPr>
              <w:spacing w:after="0" w:line="240" w:lineRule="auto"/>
              <w:ind w:right="120" w:firstLine="0"/>
              <w:rPr>
                <w:rFonts w:eastAsia="Times New Roman" w:cs="Times New Roman"/>
                <w:sz w:val="20"/>
                <w:szCs w:val="20"/>
              </w:rPr>
            </w:pPr>
            <w:r>
              <w:rPr>
                <w:rFonts w:eastAsia="Times New Roman" w:cs="Times New Roman"/>
                <w:color w:val="000000"/>
                <w:sz w:val="20"/>
                <w:szCs w:val="20"/>
              </w:rPr>
              <w:t>Sf. Gheorghe </w:t>
            </w:r>
          </w:p>
        </w:tc>
        <w:tc>
          <w:tcPr>
            <w:tcW w:w="5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FA9F0D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9</w:t>
            </w:r>
          </w:p>
        </w:tc>
        <w:tc>
          <w:tcPr>
            <w:tcW w:w="5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5887AC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4</w:t>
            </w:r>
          </w:p>
        </w:tc>
        <w:tc>
          <w:tcPr>
            <w:tcW w:w="5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FDB4A5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9</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ABF8C8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5</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17DDA73"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432405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6DB769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6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C624E89" w14:textId="77777777" w:rsidR="00670FD4" w:rsidRDefault="00670FD4" w:rsidP="001925BA">
            <w:pPr>
              <w:spacing w:after="0" w:line="240" w:lineRule="auto"/>
              <w:ind w:right="220" w:firstLine="0"/>
              <w:rPr>
                <w:rFonts w:eastAsia="Times New Roman" w:cs="Times New Roman"/>
                <w:sz w:val="20"/>
                <w:szCs w:val="20"/>
              </w:rPr>
            </w:pPr>
            <w:r>
              <w:rPr>
                <w:rFonts w:eastAsia="Times New Roman" w:cs="Times New Roman"/>
                <w:color w:val="000000"/>
                <w:sz w:val="20"/>
                <w:szCs w:val="20"/>
              </w:rPr>
              <w:t>2</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26BAE0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7FFBDE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924F05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6</w:t>
            </w:r>
          </w:p>
        </w:tc>
        <w:tc>
          <w:tcPr>
            <w:tcW w:w="59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92597B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7</w:t>
            </w:r>
          </w:p>
        </w:tc>
        <w:tc>
          <w:tcPr>
            <w:tcW w:w="73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23949D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 xml:space="preserve"> 38</w:t>
            </w:r>
          </w:p>
        </w:tc>
      </w:tr>
      <w:tr w:rsidR="00670FD4" w14:paraId="50FE209A" w14:textId="77777777" w:rsidTr="001925BA">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732A2B6" w14:textId="77777777" w:rsidR="00670FD4" w:rsidRDefault="00670FD4" w:rsidP="001925BA">
            <w:pPr>
              <w:spacing w:after="0" w:line="240" w:lineRule="auto"/>
              <w:ind w:right="60" w:firstLine="0"/>
              <w:rPr>
                <w:rFonts w:eastAsia="Times New Roman" w:cs="Times New Roman"/>
                <w:sz w:val="20"/>
                <w:szCs w:val="20"/>
              </w:rPr>
            </w:pPr>
            <w:r>
              <w:rPr>
                <w:rFonts w:eastAsia="Times New Roman" w:cs="Times New Roman"/>
                <w:color w:val="000000"/>
                <w:sz w:val="20"/>
                <w:szCs w:val="20"/>
              </w:rPr>
              <w:t>Sulina</w:t>
            </w:r>
          </w:p>
        </w:tc>
        <w:tc>
          <w:tcPr>
            <w:tcW w:w="5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C98EB0C" w14:textId="77777777" w:rsidR="00670FD4" w:rsidRDefault="00670FD4" w:rsidP="001925BA">
            <w:pPr>
              <w:spacing w:after="0" w:line="240" w:lineRule="auto"/>
              <w:ind w:right="80" w:firstLine="0"/>
              <w:rPr>
                <w:rFonts w:eastAsia="Times New Roman" w:cs="Times New Roman"/>
                <w:sz w:val="20"/>
                <w:szCs w:val="20"/>
              </w:rPr>
            </w:pPr>
            <w:r>
              <w:rPr>
                <w:rFonts w:eastAsia="Times New Roman" w:cs="Times New Roman"/>
                <w:color w:val="000000"/>
                <w:sz w:val="20"/>
                <w:szCs w:val="20"/>
              </w:rPr>
              <w:t>104</w:t>
            </w:r>
          </w:p>
        </w:tc>
        <w:tc>
          <w:tcPr>
            <w:tcW w:w="5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17DF76A" w14:textId="77777777" w:rsidR="00670FD4" w:rsidRDefault="00670FD4" w:rsidP="001925BA">
            <w:pPr>
              <w:spacing w:after="0" w:line="240" w:lineRule="auto"/>
              <w:ind w:right="100" w:firstLine="0"/>
              <w:rPr>
                <w:rFonts w:eastAsia="Times New Roman" w:cs="Times New Roman"/>
                <w:sz w:val="20"/>
                <w:szCs w:val="20"/>
              </w:rPr>
            </w:pPr>
            <w:r>
              <w:rPr>
                <w:rFonts w:eastAsia="Times New Roman" w:cs="Times New Roman"/>
                <w:color w:val="000000"/>
                <w:sz w:val="20"/>
                <w:szCs w:val="20"/>
              </w:rPr>
              <w:t>84</w:t>
            </w:r>
          </w:p>
        </w:tc>
        <w:tc>
          <w:tcPr>
            <w:tcW w:w="5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8895EFE" w14:textId="77777777" w:rsidR="00670FD4" w:rsidRDefault="00670FD4" w:rsidP="001925BA">
            <w:pPr>
              <w:spacing w:after="0" w:line="240" w:lineRule="auto"/>
              <w:ind w:right="80" w:firstLine="0"/>
              <w:rPr>
                <w:rFonts w:eastAsia="Times New Roman" w:cs="Times New Roman"/>
                <w:sz w:val="20"/>
                <w:szCs w:val="20"/>
              </w:rPr>
            </w:pPr>
            <w:r>
              <w:rPr>
                <w:rFonts w:eastAsia="Times New Roman" w:cs="Times New Roman"/>
                <w:color w:val="000000"/>
                <w:sz w:val="20"/>
                <w:szCs w:val="20"/>
              </w:rPr>
              <w:t>118</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90E2D0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61</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FE293C1" w14:textId="77777777" w:rsidR="00670FD4" w:rsidRDefault="00670FD4" w:rsidP="001925BA">
            <w:pPr>
              <w:spacing w:after="0" w:line="240" w:lineRule="auto"/>
              <w:ind w:right="80" w:firstLine="0"/>
              <w:rPr>
                <w:rFonts w:eastAsia="Times New Roman" w:cs="Times New Roman"/>
                <w:sz w:val="20"/>
                <w:szCs w:val="20"/>
              </w:rPr>
            </w:pPr>
            <w:r>
              <w:rPr>
                <w:rFonts w:eastAsia="Times New Roman" w:cs="Times New Roman"/>
                <w:color w:val="000000"/>
                <w:sz w:val="20"/>
                <w:szCs w:val="20"/>
              </w:rPr>
              <w:t>37</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24B12A7" w14:textId="77777777" w:rsidR="00670FD4" w:rsidRDefault="00670FD4" w:rsidP="001925BA">
            <w:pPr>
              <w:spacing w:after="0" w:line="240" w:lineRule="auto"/>
              <w:ind w:right="140" w:firstLine="0"/>
              <w:rPr>
                <w:rFonts w:eastAsia="Times New Roman" w:cs="Times New Roman"/>
                <w:sz w:val="20"/>
                <w:szCs w:val="20"/>
              </w:rPr>
            </w:pPr>
            <w:r>
              <w:rPr>
                <w:rFonts w:eastAsia="Times New Roman" w:cs="Times New Roman"/>
                <w:color w:val="000000"/>
                <w:sz w:val="20"/>
                <w:szCs w:val="20"/>
              </w:rPr>
              <w:t>28</w:t>
            </w:r>
          </w:p>
        </w:tc>
        <w:tc>
          <w:tcPr>
            <w:tcW w:w="5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5176BB5" w14:textId="77777777" w:rsidR="00670FD4" w:rsidRDefault="00670FD4" w:rsidP="001925BA">
            <w:pPr>
              <w:spacing w:after="0" w:line="240" w:lineRule="auto"/>
              <w:ind w:right="80" w:firstLine="0"/>
              <w:rPr>
                <w:rFonts w:eastAsia="Times New Roman" w:cs="Times New Roman"/>
                <w:sz w:val="20"/>
                <w:szCs w:val="20"/>
              </w:rPr>
            </w:pPr>
            <w:r>
              <w:rPr>
                <w:rFonts w:eastAsia="Times New Roman" w:cs="Times New Roman"/>
                <w:color w:val="000000"/>
                <w:sz w:val="20"/>
                <w:szCs w:val="20"/>
              </w:rPr>
              <w:t>23</w:t>
            </w:r>
          </w:p>
        </w:tc>
        <w:tc>
          <w:tcPr>
            <w:tcW w:w="6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E8BCCD5" w14:textId="77777777" w:rsidR="00670FD4" w:rsidRDefault="00670FD4" w:rsidP="001925BA">
            <w:pPr>
              <w:spacing w:after="0" w:line="240" w:lineRule="auto"/>
              <w:ind w:right="160" w:firstLine="0"/>
              <w:rPr>
                <w:rFonts w:eastAsia="Times New Roman" w:cs="Times New Roman"/>
                <w:sz w:val="20"/>
                <w:szCs w:val="20"/>
              </w:rPr>
            </w:pPr>
            <w:r>
              <w:rPr>
                <w:rFonts w:eastAsia="Times New Roman" w:cs="Times New Roman"/>
                <w:color w:val="000000"/>
                <w:sz w:val="20"/>
                <w:szCs w:val="20"/>
              </w:rPr>
              <w:t>22</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43DC532" w14:textId="77777777" w:rsidR="00670FD4" w:rsidRDefault="00670FD4" w:rsidP="001925BA">
            <w:pPr>
              <w:spacing w:after="0" w:line="240" w:lineRule="auto"/>
              <w:ind w:right="140" w:firstLine="0"/>
              <w:rPr>
                <w:rFonts w:eastAsia="Times New Roman" w:cs="Times New Roman"/>
                <w:sz w:val="20"/>
                <w:szCs w:val="20"/>
              </w:rPr>
            </w:pPr>
            <w:r>
              <w:rPr>
                <w:rFonts w:eastAsia="Times New Roman" w:cs="Times New Roman"/>
                <w:color w:val="000000"/>
                <w:sz w:val="20"/>
                <w:szCs w:val="20"/>
              </w:rPr>
              <w:t>46</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0C2E361" w14:textId="77777777" w:rsidR="00670FD4" w:rsidRDefault="00670FD4" w:rsidP="001925BA">
            <w:pPr>
              <w:spacing w:after="0" w:line="240" w:lineRule="auto"/>
              <w:ind w:right="80" w:firstLine="0"/>
              <w:rPr>
                <w:rFonts w:eastAsia="Times New Roman" w:cs="Times New Roman"/>
                <w:sz w:val="20"/>
                <w:szCs w:val="20"/>
              </w:rPr>
            </w:pPr>
            <w:r>
              <w:rPr>
                <w:rFonts w:eastAsia="Times New Roman" w:cs="Times New Roman"/>
                <w:color w:val="000000"/>
                <w:sz w:val="20"/>
                <w:szCs w:val="20"/>
              </w:rPr>
              <w:t>57</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F9A06BB" w14:textId="77777777" w:rsidR="00670FD4" w:rsidRDefault="00670FD4" w:rsidP="001925BA">
            <w:pPr>
              <w:spacing w:after="0" w:line="240" w:lineRule="auto"/>
              <w:ind w:right="140" w:firstLine="0"/>
              <w:rPr>
                <w:rFonts w:eastAsia="Times New Roman" w:cs="Times New Roman"/>
                <w:sz w:val="20"/>
                <w:szCs w:val="20"/>
              </w:rPr>
            </w:pPr>
            <w:r>
              <w:rPr>
                <w:rFonts w:eastAsia="Times New Roman" w:cs="Times New Roman"/>
                <w:color w:val="000000"/>
                <w:sz w:val="20"/>
                <w:szCs w:val="20"/>
              </w:rPr>
              <w:t>68</w:t>
            </w:r>
          </w:p>
        </w:tc>
        <w:tc>
          <w:tcPr>
            <w:tcW w:w="59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30135EF" w14:textId="77777777" w:rsidR="00670FD4" w:rsidRDefault="00670FD4" w:rsidP="001925BA">
            <w:pPr>
              <w:spacing w:after="0" w:line="240" w:lineRule="auto"/>
              <w:ind w:right="140" w:firstLine="0"/>
              <w:rPr>
                <w:rFonts w:eastAsia="Times New Roman" w:cs="Times New Roman"/>
                <w:sz w:val="20"/>
                <w:szCs w:val="20"/>
              </w:rPr>
            </w:pPr>
            <w:r>
              <w:rPr>
                <w:rFonts w:eastAsia="Times New Roman" w:cs="Times New Roman"/>
                <w:color w:val="000000"/>
                <w:sz w:val="20"/>
                <w:szCs w:val="20"/>
              </w:rPr>
              <w:t>77</w:t>
            </w:r>
          </w:p>
        </w:tc>
        <w:tc>
          <w:tcPr>
            <w:tcW w:w="73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07EF15B" w14:textId="77777777" w:rsidR="00670FD4" w:rsidRDefault="00670FD4" w:rsidP="001925BA">
            <w:pPr>
              <w:spacing w:after="0" w:line="240" w:lineRule="auto"/>
              <w:ind w:right="100" w:firstLine="0"/>
              <w:rPr>
                <w:rFonts w:eastAsia="Times New Roman" w:cs="Times New Roman"/>
                <w:sz w:val="20"/>
                <w:szCs w:val="20"/>
              </w:rPr>
            </w:pPr>
            <w:r>
              <w:rPr>
                <w:rFonts w:eastAsia="Times New Roman" w:cs="Times New Roman"/>
                <w:color w:val="000000"/>
                <w:sz w:val="20"/>
                <w:szCs w:val="20"/>
              </w:rPr>
              <w:t>725</w:t>
            </w:r>
          </w:p>
        </w:tc>
      </w:tr>
    </w:tbl>
    <w:p w14:paraId="40358731" w14:textId="77777777" w:rsidR="00670FD4" w:rsidRPr="00C0792F" w:rsidRDefault="00670FD4" w:rsidP="00670FD4">
      <w:pPr>
        <w:rPr>
          <w:rFonts w:cs="Times New Roman"/>
          <w:szCs w:val="20"/>
        </w:rPr>
      </w:pPr>
    </w:p>
    <w:p w14:paraId="60903512" w14:textId="77777777" w:rsidR="00670FD4" w:rsidRDefault="00670FD4" w:rsidP="00670FD4">
      <w:pPr>
        <w:spacing w:after="0"/>
        <w:ind w:right="799"/>
        <w:jc w:val="center"/>
        <w:rPr>
          <w:rFonts w:eastAsia="Times New Roman" w:cs="Times New Roman"/>
        </w:rPr>
      </w:pPr>
      <w:bookmarkStart w:id="118" w:name="_heading=h.3tbugp1" w:colFirst="0" w:colLast="0"/>
      <w:bookmarkEnd w:id="118"/>
      <w:r>
        <w:rPr>
          <w:rFonts w:eastAsia="Times New Roman" w:cs="Times New Roman"/>
          <w:b/>
          <w:color w:val="000000"/>
        </w:rPr>
        <w:t>Tabel 2.5.1.2 Număr total lunar multianual de zile cu vijelie - perioada 1991-2020 (sursa: ANM)</w:t>
      </w:r>
    </w:p>
    <w:tbl>
      <w:tblPr>
        <w:tblW w:w="8779" w:type="dxa"/>
        <w:tblLayout w:type="fixed"/>
        <w:tblLook w:val="0400" w:firstRow="0" w:lastRow="0" w:firstColumn="0" w:lastColumn="0" w:noHBand="0" w:noVBand="1"/>
      </w:tblPr>
      <w:tblGrid>
        <w:gridCol w:w="1437"/>
        <w:gridCol w:w="396"/>
        <w:gridCol w:w="531"/>
        <w:gridCol w:w="438"/>
        <w:gridCol w:w="572"/>
        <w:gridCol w:w="380"/>
        <w:gridCol w:w="512"/>
        <w:gridCol w:w="544"/>
        <w:gridCol w:w="709"/>
        <w:gridCol w:w="567"/>
        <w:gridCol w:w="567"/>
        <w:gridCol w:w="567"/>
        <w:gridCol w:w="708"/>
        <w:gridCol w:w="851"/>
      </w:tblGrid>
      <w:tr w:rsidR="00670FD4" w14:paraId="3863B8CF" w14:textId="77777777" w:rsidTr="001925BA">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750DE51" w14:textId="77777777" w:rsidR="00670FD4" w:rsidRDefault="00670FD4" w:rsidP="001925BA">
            <w:pPr>
              <w:spacing w:after="0" w:line="240" w:lineRule="auto"/>
              <w:ind w:left="300" w:right="60" w:firstLine="0"/>
              <w:rPr>
                <w:rFonts w:eastAsia="Times New Roman" w:cs="Times New Roman"/>
                <w:sz w:val="20"/>
                <w:szCs w:val="20"/>
              </w:rPr>
            </w:pPr>
            <w:r>
              <w:rPr>
                <w:rFonts w:eastAsia="Times New Roman" w:cs="Times New Roman"/>
                <w:color w:val="000000"/>
                <w:sz w:val="20"/>
                <w:szCs w:val="20"/>
              </w:rPr>
              <w:t>Stația</w:t>
            </w:r>
          </w:p>
        </w:tc>
        <w:tc>
          <w:tcPr>
            <w:tcW w:w="39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46D76A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I</w:t>
            </w:r>
          </w:p>
        </w:tc>
        <w:tc>
          <w:tcPr>
            <w:tcW w:w="53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66EE653" w14:textId="77777777" w:rsidR="00670FD4" w:rsidRDefault="00670FD4" w:rsidP="001925BA">
            <w:pPr>
              <w:spacing w:after="0" w:line="240" w:lineRule="auto"/>
              <w:ind w:right="60" w:firstLine="0"/>
              <w:rPr>
                <w:rFonts w:eastAsia="Times New Roman" w:cs="Times New Roman"/>
                <w:sz w:val="20"/>
                <w:szCs w:val="20"/>
              </w:rPr>
            </w:pPr>
            <w:r>
              <w:rPr>
                <w:rFonts w:eastAsia="Times New Roman" w:cs="Times New Roman"/>
                <w:color w:val="000000"/>
                <w:sz w:val="20"/>
                <w:szCs w:val="20"/>
              </w:rPr>
              <w:t>II</w:t>
            </w:r>
          </w:p>
        </w:tc>
        <w:tc>
          <w:tcPr>
            <w:tcW w:w="4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786D452" w14:textId="77777777" w:rsidR="00670FD4" w:rsidRDefault="00670FD4" w:rsidP="001925BA">
            <w:pPr>
              <w:spacing w:after="0" w:line="240" w:lineRule="auto"/>
              <w:ind w:right="60" w:firstLine="0"/>
              <w:rPr>
                <w:rFonts w:eastAsia="Times New Roman" w:cs="Times New Roman"/>
                <w:sz w:val="20"/>
                <w:szCs w:val="20"/>
              </w:rPr>
            </w:pPr>
            <w:r>
              <w:rPr>
                <w:rFonts w:eastAsia="Times New Roman" w:cs="Times New Roman"/>
                <w:color w:val="000000"/>
                <w:sz w:val="20"/>
                <w:szCs w:val="20"/>
              </w:rPr>
              <w:t>Ill</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A8C2347" w14:textId="77777777" w:rsidR="00670FD4" w:rsidRDefault="00670FD4" w:rsidP="001925BA">
            <w:pPr>
              <w:spacing w:after="0" w:line="240" w:lineRule="auto"/>
              <w:ind w:right="160" w:firstLine="0"/>
              <w:rPr>
                <w:rFonts w:eastAsia="Times New Roman" w:cs="Times New Roman"/>
                <w:sz w:val="20"/>
                <w:szCs w:val="20"/>
              </w:rPr>
            </w:pPr>
            <w:r>
              <w:rPr>
                <w:rFonts w:eastAsia="Times New Roman" w:cs="Times New Roman"/>
                <w:color w:val="000000"/>
                <w:sz w:val="20"/>
                <w:szCs w:val="20"/>
              </w:rPr>
              <w:t>IV</w:t>
            </w:r>
          </w:p>
        </w:tc>
        <w:tc>
          <w:tcPr>
            <w:tcW w:w="3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D3264A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V</w:t>
            </w:r>
          </w:p>
        </w:tc>
        <w:tc>
          <w:tcPr>
            <w:tcW w:w="51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14C89A0" w14:textId="77777777" w:rsidR="00670FD4" w:rsidRDefault="00670FD4" w:rsidP="001925BA">
            <w:pPr>
              <w:spacing w:after="0" w:line="240" w:lineRule="auto"/>
              <w:ind w:right="100" w:firstLine="0"/>
              <w:rPr>
                <w:rFonts w:eastAsia="Times New Roman" w:cs="Times New Roman"/>
                <w:sz w:val="20"/>
                <w:szCs w:val="20"/>
              </w:rPr>
            </w:pPr>
            <w:r>
              <w:rPr>
                <w:rFonts w:eastAsia="Times New Roman" w:cs="Times New Roman"/>
                <w:color w:val="000000"/>
                <w:sz w:val="20"/>
                <w:szCs w:val="20"/>
              </w:rPr>
              <w:t>VI</w:t>
            </w:r>
          </w:p>
        </w:tc>
        <w:tc>
          <w:tcPr>
            <w:tcW w:w="54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0489E0F" w14:textId="77777777" w:rsidR="00670FD4" w:rsidRDefault="00670FD4" w:rsidP="001925BA">
            <w:pPr>
              <w:spacing w:after="0" w:line="240" w:lineRule="auto"/>
              <w:ind w:right="60" w:firstLine="0"/>
              <w:rPr>
                <w:rFonts w:eastAsia="Times New Roman" w:cs="Times New Roman"/>
                <w:sz w:val="20"/>
                <w:szCs w:val="20"/>
              </w:rPr>
            </w:pPr>
            <w:r>
              <w:rPr>
                <w:rFonts w:eastAsia="Times New Roman" w:cs="Times New Roman"/>
                <w:color w:val="000000"/>
                <w:sz w:val="20"/>
                <w:szCs w:val="20"/>
              </w:rPr>
              <w:t>VII</w:t>
            </w: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CE4849B" w14:textId="77777777" w:rsidR="00670FD4" w:rsidRDefault="00670FD4" w:rsidP="001925BA">
            <w:pPr>
              <w:spacing w:after="0" w:line="240" w:lineRule="auto"/>
              <w:ind w:right="120" w:firstLine="0"/>
              <w:rPr>
                <w:rFonts w:eastAsia="Times New Roman" w:cs="Times New Roman"/>
                <w:sz w:val="20"/>
                <w:szCs w:val="20"/>
              </w:rPr>
            </w:pPr>
            <w:r>
              <w:rPr>
                <w:rFonts w:eastAsia="Times New Roman" w:cs="Times New Roman"/>
                <w:color w:val="000000"/>
                <w:sz w:val="20"/>
                <w:szCs w:val="20"/>
              </w:rPr>
              <w:t>VIII</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5C02260" w14:textId="77777777" w:rsidR="00670FD4" w:rsidRDefault="00670FD4" w:rsidP="001925BA">
            <w:pPr>
              <w:spacing w:after="0" w:line="240" w:lineRule="auto"/>
              <w:ind w:right="120" w:firstLine="0"/>
              <w:rPr>
                <w:rFonts w:eastAsia="Times New Roman" w:cs="Times New Roman"/>
                <w:sz w:val="20"/>
                <w:szCs w:val="20"/>
              </w:rPr>
            </w:pPr>
            <w:r>
              <w:rPr>
                <w:rFonts w:eastAsia="Times New Roman" w:cs="Times New Roman"/>
                <w:color w:val="000000"/>
                <w:sz w:val="20"/>
                <w:szCs w:val="20"/>
              </w:rPr>
              <w:t>IX</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6F37E4B"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X</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640A650" w14:textId="77777777" w:rsidR="00670FD4" w:rsidRDefault="00670FD4" w:rsidP="001925BA">
            <w:pPr>
              <w:spacing w:after="0" w:line="240" w:lineRule="auto"/>
              <w:ind w:right="120" w:firstLine="0"/>
              <w:rPr>
                <w:rFonts w:eastAsia="Times New Roman" w:cs="Times New Roman"/>
                <w:sz w:val="20"/>
                <w:szCs w:val="20"/>
              </w:rPr>
            </w:pPr>
            <w:r>
              <w:rPr>
                <w:rFonts w:eastAsia="Times New Roman" w:cs="Times New Roman"/>
                <w:color w:val="000000"/>
                <w:sz w:val="20"/>
                <w:szCs w:val="20"/>
              </w:rPr>
              <w:t>XI</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9392534" w14:textId="77777777" w:rsidR="00670FD4" w:rsidRDefault="00670FD4" w:rsidP="001925BA">
            <w:pPr>
              <w:spacing w:after="0" w:line="240" w:lineRule="auto"/>
              <w:ind w:right="120" w:firstLine="0"/>
              <w:rPr>
                <w:rFonts w:eastAsia="Times New Roman" w:cs="Times New Roman"/>
                <w:sz w:val="20"/>
                <w:szCs w:val="20"/>
              </w:rPr>
            </w:pPr>
            <w:r>
              <w:rPr>
                <w:rFonts w:eastAsia="Times New Roman" w:cs="Times New Roman"/>
                <w:color w:val="000000"/>
                <w:sz w:val="20"/>
                <w:szCs w:val="20"/>
              </w:rPr>
              <w:t>XII</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0550312" w14:textId="77777777" w:rsidR="00670FD4" w:rsidRDefault="00670FD4" w:rsidP="001925BA">
            <w:pPr>
              <w:spacing w:after="0" w:line="240" w:lineRule="auto"/>
              <w:ind w:right="100" w:firstLine="0"/>
              <w:rPr>
                <w:rFonts w:eastAsia="Times New Roman" w:cs="Times New Roman"/>
                <w:sz w:val="20"/>
                <w:szCs w:val="20"/>
              </w:rPr>
            </w:pPr>
            <w:r>
              <w:rPr>
                <w:rFonts w:eastAsia="Times New Roman" w:cs="Times New Roman"/>
                <w:color w:val="000000"/>
                <w:sz w:val="20"/>
                <w:szCs w:val="20"/>
              </w:rPr>
              <w:t>anual</w:t>
            </w:r>
          </w:p>
        </w:tc>
      </w:tr>
      <w:tr w:rsidR="00670FD4" w14:paraId="49CE90B6" w14:textId="77777777" w:rsidTr="001925BA">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4B5ACEC" w14:textId="77777777" w:rsidR="00670FD4" w:rsidRDefault="00670FD4" w:rsidP="001925BA">
            <w:pPr>
              <w:spacing w:after="0" w:line="240" w:lineRule="auto"/>
              <w:ind w:right="60" w:firstLine="0"/>
              <w:rPr>
                <w:rFonts w:eastAsia="Times New Roman" w:cs="Times New Roman"/>
                <w:sz w:val="20"/>
                <w:szCs w:val="20"/>
              </w:rPr>
            </w:pPr>
            <w:r>
              <w:rPr>
                <w:rFonts w:eastAsia="Times New Roman" w:cs="Times New Roman"/>
                <w:color w:val="000000"/>
                <w:sz w:val="20"/>
                <w:szCs w:val="20"/>
              </w:rPr>
              <w:t>Constanța</w:t>
            </w:r>
          </w:p>
        </w:tc>
        <w:tc>
          <w:tcPr>
            <w:tcW w:w="39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8B7BDC4" w14:textId="77777777" w:rsidR="00670FD4" w:rsidRDefault="00670FD4" w:rsidP="001925BA">
            <w:pPr>
              <w:spacing w:after="0" w:line="240" w:lineRule="auto"/>
              <w:ind w:right="60" w:firstLine="0"/>
              <w:rPr>
                <w:rFonts w:eastAsia="Times New Roman" w:cs="Times New Roman"/>
                <w:sz w:val="20"/>
                <w:szCs w:val="20"/>
              </w:rPr>
            </w:pPr>
            <w:r>
              <w:rPr>
                <w:rFonts w:eastAsia="Times New Roman" w:cs="Times New Roman"/>
                <w:color w:val="000000"/>
                <w:sz w:val="20"/>
                <w:szCs w:val="20"/>
              </w:rPr>
              <w:t>0</w:t>
            </w:r>
          </w:p>
        </w:tc>
        <w:tc>
          <w:tcPr>
            <w:tcW w:w="53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BF7CE7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4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CB9536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CC2310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3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0E078E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1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E8AB35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4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A10169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6402302" w14:textId="77777777" w:rsidR="00670FD4" w:rsidRDefault="00670FD4" w:rsidP="001925BA">
            <w:pPr>
              <w:spacing w:after="0" w:line="240" w:lineRule="auto"/>
              <w:ind w:right="240" w:firstLine="0"/>
              <w:rPr>
                <w:rFonts w:eastAsia="Times New Roman" w:cs="Times New Roman"/>
                <w:sz w:val="20"/>
                <w:szCs w:val="20"/>
              </w:rPr>
            </w:pPr>
            <w:r>
              <w:rPr>
                <w:rFonts w:eastAsia="Times New Roman" w:cs="Times New Roman"/>
                <w:color w:val="000000"/>
                <w:sz w:val="20"/>
                <w:szCs w:val="20"/>
              </w:rPr>
              <w:t>2</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58BD06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FC5EC1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6FFC3F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D0DB3B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1B57823" w14:textId="77777777" w:rsidR="00670FD4" w:rsidRDefault="00670FD4" w:rsidP="001925BA">
            <w:pPr>
              <w:spacing w:after="0" w:line="240" w:lineRule="auto"/>
              <w:ind w:right="100" w:firstLine="0"/>
              <w:rPr>
                <w:rFonts w:eastAsia="Times New Roman" w:cs="Times New Roman"/>
                <w:sz w:val="20"/>
                <w:szCs w:val="20"/>
              </w:rPr>
            </w:pPr>
            <w:r>
              <w:rPr>
                <w:rFonts w:eastAsia="Times New Roman" w:cs="Times New Roman"/>
                <w:color w:val="000000"/>
                <w:sz w:val="20"/>
                <w:szCs w:val="20"/>
              </w:rPr>
              <w:t>9</w:t>
            </w:r>
          </w:p>
        </w:tc>
      </w:tr>
      <w:tr w:rsidR="00670FD4" w14:paraId="01CA1C87" w14:textId="77777777" w:rsidTr="001925BA">
        <w:trPr>
          <w:trHeight w:val="553"/>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4926039" w14:textId="77777777" w:rsidR="00670FD4" w:rsidRDefault="00670FD4" w:rsidP="001925BA">
            <w:pPr>
              <w:spacing w:after="0" w:line="240" w:lineRule="auto"/>
              <w:ind w:right="60" w:firstLine="0"/>
              <w:rPr>
                <w:rFonts w:eastAsia="Times New Roman" w:cs="Times New Roman"/>
                <w:sz w:val="20"/>
                <w:szCs w:val="20"/>
              </w:rPr>
            </w:pPr>
            <w:r>
              <w:rPr>
                <w:rFonts w:eastAsia="Times New Roman" w:cs="Times New Roman"/>
                <w:color w:val="000000"/>
                <w:sz w:val="20"/>
                <w:szCs w:val="20"/>
              </w:rPr>
              <w:t>Gura Portiței</w:t>
            </w:r>
          </w:p>
        </w:tc>
        <w:tc>
          <w:tcPr>
            <w:tcW w:w="39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E8236D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3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47E783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4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2D608CE" w14:textId="77777777" w:rsidR="00670FD4" w:rsidRDefault="00670FD4" w:rsidP="001925BA">
            <w:pPr>
              <w:spacing w:after="0" w:line="240" w:lineRule="auto"/>
              <w:ind w:right="80" w:firstLine="0"/>
              <w:rPr>
                <w:rFonts w:eastAsia="Times New Roman" w:cs="Times New Roman"/>
                <w:sz w:val="20"/>
                <w:szCs w:val="20"/>
              </w:rPr>
            </w:pPr>
            <w:r>
              <w:rPr>
                <w:rFonts w:eastAsia="Times New Roman" w:cs="Times New Roman"/>
                <w:color w:val="000000"/>
                <w:sz w:val="20"/>
                <w:szCs w:val="20"/>
              </w:rPr>
              <w:t>0</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81C9D6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3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CCE643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1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4E73A8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4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5BCBE0E"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4D412B4" w14:textId="77777777" w:rsidR="00670FD4" w:rsidRDefault="00670FD4" w:rsidP="001925BA">
            <w:pPr>
              <w:spacing w:after="0" w:line="240" w:lineRule="auto"/>
              <w:ind w:right="220"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6DE414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77B425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EAD05F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ECB4A1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7E75C3A" w14:textId="77777777" w:rsidR="00670FD4" w:rsidRDefault="00670FD4" w:rsidP="001925BA">
            <w:pPr>
              <w:spacing w:after="0" w:line="240" w:lineRule="auto"/>
              <w:ind w:right="100" w:firstLine="0"/>
              <w:rPr>
                <w:rFonts w:eastAsia="Times New Roman" w:cs="Times New Roman"/>
                <w:sz w:val="20"/>
                <w:szCs w:val="20"/>
              </w:rPr>
            </w:pPr>
            <w:r>
              <w:rPr>
                <w:rFonts w:eastAsia="Times New Roman" w:cs="Times New Roman"/>
                <w:color w:val="000000"/>
                <w:sz w:val="20"/>
                <w:szCs w:val="20"/>
              </w:rPr>
              <w:t>1</w:t>
            </w:r>
          </w:p>
        </w:tc>
      </w:tr>
      <w:tr w:rsidR="00670FD4" w14:paraId="7252DEDA" w14:textId="77777777" w:rsidTr="001925BA">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1B51978" w14:textId="77777777" w:rsidR="00670FD4" w:rsidRDefault="00670FD4" w:rsidP="001925BA">
            <w:pPr>
              <w:spacing w:after="0" w:line="240" w:lineRule="auto"/>
              <w:ind w:right="60" w:firstLine="0"/>
              <w:rPr>
                <w:rFonts w:eastAsia="Times New Roman" w:cs="Times New Roman"/>
                <w:sz w:val="20"/>
                <w:szCs w:val="20"/>
              </w:rPr>
            </w:pPr>
            <w:r>
              <w:rPr>
                <w:rFonts w:eastAsia="Times New Roman" w:cs="Times New Roman"/>
                <w:color w:val="000000"/>
                <w:sz w:val="20"/>
                <w:szCs w:val="20"/>
              </w:rPr>
              <w:t>Jurilovca</w:t>
            </w:r>
          </w:p>
        </w:tc>
        <w:tc>
          <w:tcPr>
            <w:tcW w:w="39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B9EF3CD" w14:textId="77777777" w:rsidR="00670FD4" w:rsidRDefault="00670FD4" w:rsidP="001925BA">
            <w:pPr>
              <w:spacing w:after="0" w:line="240" w:lineRule="auto"/>
              <w:ind w:right="60" w:firstLine="0"/>
              <w:rPr>
                <w:rFonts w:eastAsia="Times New Roman" w:cs="Times New Roman"/>
                <w:sz w:val="20"/>
                <w:szCs w:val="20"/>
              </w:rPr>
            </w:pPr>
            <w:r>
              <w:rPr>
                <w:rFonts w:eastAsia="Times New Roman" w:cs="Times New Roman"/>
                <w:color w:val="000000"/>
                <w:sz w:val="20"/>
                <w:szCs w:val="20"/>
              </w:rPr>
              <w:t>0</w:t>
            </w:r>
          </w:p>
        </w:tc>
        <w:tc>
          <w:tcPr>
            <w:tcW w:w="53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BFBDCD4" w14:textId="77777777" w:rsidR="00670FD4" w:rsidRDefault="00670FD4" w:rsidP="001925BA">
            <w:pPr>
              <w:spacing w:after="0" w:line="240" w:lineRule="auto"/>
              <w:ind w:right="100" w:firstLine="0"/>
              <w:rPr>
                <w:rFonts w:eastAsia="Times New Roman" w:cs="Times New Roman"/>
                <w:sz w:val="20"/>
                <w:szCs w:val="20"/>
              </w:rPr>
            </w:pPr>
            <w:r>
              <w:rPr>
                <w:rFonts w:eastAsia="Times New Roman" w:cs="Times New Roman"/>
                <w:color w:val="000000"/>
                <w:sz w:val="20"/>
                <w:szCs w:val="20"/>
              </w:rPr>
              <w:t>0</w:t>
            </w:r>
          </w:p>
        </w:tc>
        <w:tc>
          <w:tcPr>
            <w:tcW w:w="4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853BDA9" w14:textId="77777777" w:rsidR="00670FD4" w:rsidRDefault="00670FD4" w:rsidP="001925BA">
            <w:pPr>
              <w:spacing w:after="0" w:line="240" w:lineRule="auto"/>
              <w:ind w:right="80" w:firstLine="0"/>
              <w:rPr>
                <w:rFonts w:eastAsia="Times New Roman" w:cs="Times New Roman"/>
                <w:sz w:val="20"/>
                <w:szCs w:val="20"/>
              </w:rPr>
            </w:pPr>
            <w:r>
              <w:rPr>
                <w:rFonts w:eastAsia="Times New Roman" w:cs="Times New Roman"/>
                <w:color w:val="000000"/>
                <w:sz w:val="20"/>
                <w:szCs w:val="20"/>
              </w:rPr>
              <w:t>0</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F9FADA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3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BD4938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1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52DDD3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4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B8D7CF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DFF3F8F" w14:textId="77777777" w:rsidR="00670FD4" w:rsidRDefault="00670FD4" w:rsidP="001925BA">
            <w:pPr>
              <w:spacing w:after="0" w:line="240" w:lineRule="auto"/>
              <w:ind w:right="220"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4361D4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B0EF05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726D32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77F7D0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0ED1532" w14:textId="77777777" w:rsidR="00670FD4" w:rsidRDefault="00670FD4" w:rsidP="001925BA">
            <w:pPr>
              <w:spacing w:after="0" w:line="240" w:lineRule="auto"/>
              <w:ind w:right="100" w:firstLine="0"/>
              <w:rPr>
                <w:rFonts w:eastAsia="Times New Roman" w:cs="Times New Roman"/>
                <w:sz w:val="20"/>
                <w:szCs w:val="20"/>
              </w:rPr>
            </w:pPr>
            <w:r>
              <w:rPr>
                <w:rFonts w:eastAsia="Times New Roman" w:cs="Times New Roman"/>
                <w:color w:val="000000"/>
                <w:sz w:val="20"/>
                <w:szCs w:val="20"/>
              </w:rPr>
              <w:t>0</w:t>
            </w:r>
          </w:p>
        </w:tc>
      </w:tr>
      <w:tr w:rsidR="00670FD4" w14:paraId="19C0CF45" w14:textId="77777777" w:rsidTr="001925BA">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03C3A2B" w14:textId="77777777" w:rsidR="00670FD4" w:rsidRDefault="00670FD4" w:rsidP="001925BA">
            <w:pPr>
              <w:spacing w:after="0" w:line="240" w:lineRule="auto"/>
              <w:ind w:right="60" w:firstLine="0"/>
              <w:rPr>
                <w:rFonts w:eastAsia="Times New Roman" w:cs="Times New Roman"/>
                <w:sz w:val="20"/>
                <w:szCs w:val="20"/>
              </w:rPr>
            </w:pPr>
            <w:r>
              <w:rPr>
                <w:rFonts w:eastAsia="Times New Roman" w:cs="Times New Roman"/>
                <w:color w:val="000000"/>
                <w:sz w:val="20"/>
                <w:szCs w:val="20"/>
              </w:rPr>
              <w:t>Mangalia</w:t>
            </w:r>
          </w:p>
        </w:tc>
        <w:tc>
          <w:tcPr>
            <w:tcW w:w="39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1906FE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3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D2169C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4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5E4AD7E"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0E0BAA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3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8665B1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1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9C1257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4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1C75B9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8107D9A" w14:textId="77777777" w:rsidR="00670FD4" w:rsidRDefault="00670FD4" w:rsidP="001925BA">
            <w:pPr>
              <w:spacing w:after="0" w:line="240" w:lineRule="auto"/>
              <w:ind w:right="220"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BAF521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FEC2DD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2A77EE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EBB352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EF435C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2</w:t>
            </w:r>
          </w:p>
        </w:tc>
      </w:tr>
      <w:tr w:rsidR="00670FD4" w14:paraId="0E09512B" w14:textId="77777777" w:rsidTr="001925BA">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4DC3CB9" w14:textId="77777777" w:rsidR="00670FD4" w:rsidRDefault="00670FD4" w:rsidP="001925BA">
            <w:pPr>
              <w:spacing w:after="0" w:line="240" w:lineRule="auto"/>
              <w:ind w:right="120" w:firstLine="0"/>
              <w:rPr>
                <w:rFonts w:eastAsia="Times New Roman" w:cs="Times New Roman"/>
                <w:sz w:val="20"/>
                <w:szCs w:val="20"/>
              </w:rPr>
            </w:pPr>
            <w:r>
              <w:rPr>
                <w:rFonts w:eastAsia="Times New Roman" w:cs="Times New Roman"/>
                <w:color w:val="000000"/>
                <w:sz w:val="20"/>
                <w:szCs w:val="20"/>
              </w:rPr>
              <w:t>Sf. Gheorghe </w:t>
            </w:r>
          </w:p>
        </w:tc>
        <w:tc>
          <w:tcPr>
            <w:tcW w:w="39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012309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3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4DEF13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4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7D8951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ADC391E"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3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D8822B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1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AA8B933"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4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5D5909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D192AD3" w14:textId="77777777" w:rsidR="00670FD4" w:rsidRDefault="00670FD4" w:rsidP="001925BA">
            <w:pPr>
              <w:spacing w:after="0" w:line="240" w:lineRule="auto"/>
              <w:ind w:right="220"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98CDA6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BA3CE6E"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633151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0BD305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 xml:space="preserve"> 0</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4F3F4F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 xml:space="preserve"> 1</w:t>
            </w:r>
          </w:p>
        </w:tc>
      </w:tr>
      <w:tr w:rsidR="00670FD4" w14:paraId="5B7A5188" w14:textId="77777777" w:rsidTr="001925BA">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67BA342" w14:textId="77777777" w:rsidR="00670FD4" w:rsidRDefault="00670FD4" w:rsidP="001925BA">
            <w:pPr>
              <w:spacing w:after="0" w:line="240" w:lineRule="auto"/>
              <w:ind w:right="60" w:firstLine="0"/>
              <w:rPr>
                <w:rFonts w:eastAsia="Times New Roman" w:cs="Times New Roman"/>
                <w:sz w:val="20"/>
                <w:szCs w:val="20"/>
              </w:rPr>
            </w:pPr>
            <w:r>
              <w:rPr>
                <w:rFonts w:eastAsia="Times New Roman" w:cs="Times New Roman"/>
                <w:color w:val="000000"/>
                <w:sz w:val="20"/>
                <w:szCs w:val="20"/>
              </w:rPr>
              <w:t>Sulina</w:t>
            </w:r>
          </w:p>
        </w:tc>
        <w:tc>
          <w:tcPr>
            <w:tcW w:w="39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032DD24" w14:textId="77777777" w:rsidR="00670FD4" w:rsidRDefault="00670FD4" w:rsidP="001925BA">
            <w:pPr>
              <w:spacing w:after="0" w:line="240" w:lineRule="auto"/>
              <w:ind w:right="80" w:firstLine="0"/>
              <w:rPr>
                <w:rFonts w:eastAsia="Times New Roman" w:cs="Times New Roman"/>
                <w:sz w:val="20"/>
                <w:szCs w:val="20"/>
              </w:rPr>
            </w:pPr>
            <w:r>
              <w:rPr>
                <w:rFonts w:eastAsia="Times New Roman" w:cs="Times New Roman"/>
                <w:color w:val="000000"/>
                <w:sz w:val="20"/>
                <w:szCs w:val="20"/>
              </w:rPr>
              <w:t>0</w:t>
            </w:r>
          </w:p>
        </w:tc>
        <w:tc>
          <w:tcPr>
            <w:tcW w:w="53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A5A7077" w14:textId="77777777" w:rsidR="00670FD4" w:rsidRDefault="00670FD4" w:rsidP="001925BA">
            <w:pPr>
              <w:spacing w:after="0" w:line="240" w:lineRule="auto"/>
              <w:ind w:right="100" w:firstLine="0"/>
              <w:rPr>
                <w:rFonts w:eastAsia="Times New Roman" w:cs="Times New Roman"/>
                <w:sz w:val="20"/>
                <w:szCs w:val="20"/>
              </w:rPr>
            </w:pPr>
            <w:r>
              <w:rPr>
                <w:rFonts w:eastAsia="Times New Roman" w:cs="Times New Roman"/>
                <w:color w:val="000000"/>
                <w:sz w:val="20"/>
                <w:szCs w:val="20"/>
              </w:rPr>
              <w:t>0</w:t>
            </w:r>
          </w:p>
        </w:tc>
        <w:tc>
          <w:tcPr>
            <w:tcW w:w="4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A995C85" w14:textId="77777777" w:rsidR="00670FD4" w:rsidRDefault="00670FD4" w:rsidP="001925BA">
            <w:pPr>
              <w:spacing w:after="0" w:line="240" w:lineRule="auto"/>
              <w:ind w:right="80" w:firstLine="0"/>
              <w:rPr>
                <w:rFonts w:eastAsia="Times New Roman" w:cs="Times New Roman"/>
                <w:sz w:val="20"/>
                <w:szCs w:val="20"/>
              </w:rPr>
            </w:pPr>
            <w:r>
              <w:rPr>
                <w:rFonts w:eastAsia="Times New Roman" w:cs="Times New Roman"/>
                <w:color w:val="000000"/>
                <w:sz w:val="20"/>
                <w:szCs w:val="20"/>
              </w:rPr>
              <w:t>0</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87F4B9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3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6846BB9" w14:textId="77777777" w:rsidR="00670FD4" w:rsidRDefault="00670FD4" w:rsidP="001925BA">
            <w:pPr>
              <w:spacing w:after="0" w:line="240" w:lineRule="auto"/>
              <w:ind w:right="80" w:firstLine="0"/>
              <w:rPr>
                <w:rFonts w:eastAsia="Times New Roman" w:cs="Times New Roman"/>
                <w:sz w:val="20"/>
                <w:szCs w:val="20"/>
              </w:rPr>
            </w:pPr>
            <w:r>
              <w:rPr>
                <w:rFonts w:eastAsia="Times New Roman" w:cs="Times New Roman"/>
                <w:color w:val="000000"/>
                <w:sz w:val="20"/>
                <w:szCs w:val="20"/>
              </w:rPr>
              <w:t>0</w:t>
            </w:r>
          </w:p>
        </w:tc>
        <w:tc>
          <w:tcPr>
            <w:tcW w:w="51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125800F" w14:textId="77777777" w:rsidR="00670FD4" w:rsidRDefault="00670FD4" w:rsidP="001925BA">
            <w:pPr>
              <w:spacing w:after="0" w:line="240" w:lineRule="auto"/>
              <w:ind w:right="140" w:firstLine="0"/>
              <w:rPr>
                <w:rFonts w:eastAsia="Times New Roman" w:cs="Times New Roman"/>
                <w:sz w:val="20"/>
                <w:szCs w:val="20"/>
              </w:rPr>
            </w:pPr>
            <w:r>
              <w:rPr>
                <w:rFonts w:eastAsia="Times New Roman" w:cs="Times New Roman"/>
                <w:color w:val="000000"/>
                <w:sz w:val="20"/>
                <w:szCs w:val="20"/>
              </w:rPr>
              <w:t>0</w:t>
            </w:r>
          </w:p>
        </w:tc>
        <w:tc>
          <w:tcPr>
            <w:tcW w:w="54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6AE8FDA" w14:textId="77777777" w:rsidR="00670FD4" w:rsidRDefault="00670FD4" w:rsidP="001925BA">
            <w:pPr>
              <w:spacing w:after="0" w:line="240" w:lineRule="auto"/>
              <w:ind w:right="80" w:firstLine="0"/>
              <w:rPr>
                <w:rFonts w:eastAsia="Times New Roman" w:cs="Times New Roman"/>
                <w:sz w:val="20"/>
                <w:szCs w:val="20"/>
              </w:rPr>
            </w:pPr>
            <w:r>
              <w:rPr>
                <w:rFonts w:eastAsia="Times New Roman" w:cs="Times New Roman"/>
                <w:color w:val="000000"/>
                <w:sz w:val="20"/>
                <w:szCs w:val="20"/>
              </w:rPr>
              <w:t>0</w:t>
            </w: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1D14DD9" w14:textId="77777777" w:rsidR="00670FD4" w:rsidRDefault="00670FD4" w:rsidP="001925BA">
            <w:pPr>
              <w:spacing w:after="0" w:line="240" w:lineRule="auto"/>
              <w:ind w:right="160" w:firstLine="0"/>
              <w:rPr>
                <w:rFonts w:eastAsia="Times New Roman" w:cs="Times New Roman"/>
                <w:sz w:val="20"/>
                <w:szCs w:val="20"/>
              </w:rPr>
            </w:pPr>
            <w:r>
              <w:rPr>
                <w:rFonts w:eastAsia="Times New Roman" w:cs="Times New Roman"/>
                <w:color w:val="000000"/>
                <w:sz w:val="20"/>
                <w:szCs w:val="20"/>
              </w:rPr>
              <w:t>2</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5A46BC1" w14:textId="77777777" w:rsidR="00670FD4" w:rsidRDefault="00670FD4" w:rsidP="001925BA">
            <w:pPr>
              <w:spacing w:after="0" w:line="240" w:lineRule="auto"/>
              <w:ind w:right="140"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FC69093" w14:textId="77777777" w:rsidR="00670FD4" w:rsidRDefault="00670FD4" w:rsidP="001925BA">
            <w:pPr>
              <w:spacing w:after="0" w:line="240" w:lineRule="auto"/>
              <w:ind w:right="80"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FA5197D" w14:textId="77777777" w:rsidR="00670FD4" w:rsidRDefault="00670FD4" w:rsidP="001925BA">
            <w:pPr>
              <w:spacing w:after="0" w:line="240" w:lineRule="auto"/>
              <w:ind w:right="140" w:firstLine="0"/>
              <w:rPr>
                <w:rFonts w:eastAsia="Times New Roman" w:cs="Times New Roman"/>
                <w:sz w:val="20"/>
                <w:szCs w:val="20"/>
              </w:rPr>
            </w:pPr>
            <w:r>
              <w:rPr>
                <w:rFonts w:eastAsia="Times New Roman" w:cs="Times New Roman"/>
                <w:color w:val="000000"/>
                <w:sz w:val="20"/>
                <w:szCs w:val="20"/>
              </w:rPr>
              <w:t>0</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BCFB232" w14:textId="77777777" w:rsidR="00670FD4" w:rsidRDefault="00670FD4" w:rsidP="001925BA">
            <w:pPr>
              <w:spacing w:after="0" w:line="240" w:lineRule="auto"/>
              <w:ind w:right="140" w:firstLine="0"/>
              <w:rPr>
                <w:rFonts w:eastAsia="Times New Roman" w:cs="Times New Roman"/>
                <w:sz w:val="20"/>
                <w:szCs w:val="20"/>
              </w:rPr>
            </w:pPr>
            <w:r>
              <w:rPr>
                <w:rFonts w:eastAsia="Times New Roman" w:cs="Times New Roman"/>
                <w:color w:val="000000"/>
                <w:sz w:val="20"/>
                <w:szCs w:val="20"/>
              </w:rPr>
              <w:t>0</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9F3DD37" w14:textId="77777777" w:rsidR="00670FD4" w:rsidRDefault="00670FD4" w:rsidP="001925BA">
            <w:pPr>
              <w:spacing w:after="0" w:line="240" w:lineRule="auto"/>
              <w:ind w:right="100" w:firstLine="0"/>
              <w:rPr>
                <w:rFonts w:eastAsia="Times New Roman" w:cs="Times New Roman"/>
                <w:sz w:val="20"/>
                <w:szCs w:val="20"/>
              </w:rPr>
            </w:pPr>
            <w:r>
              <w:rPr>
                <w:rFonts w:eastAsia="Times New Roman" w:cs="Times New Roman"/>
                <w:color w:val="000000"/>
                <w:sz w:val="20"/>
                <w:szCs w:val="20"/>
              </w:rPr>
              <w:t>2</w:t>
            </w:r>
          </w:p>
        </w:tc>
      </w:tr>
    </w:tbl>
    <w:p w14:paraId="7E96C457" w14:textId="77777777" w:rsidR="00670FD4" w:rsidRPr="00C0792F" w:rsidRDefault="00670FD4" w:rsidP="00670FD4">
      <w:pPr>
        <w:rPr>
          <w:rFonts w:cs="Times New Roman"/>
        </w:rPr>
      </w:pPr>
    </w:p>
    <w:p w14:paraId="78F73A0F" w14:textId="77777777" w:rsidR="00670FD4" w:rsidRDefault="00670FD4" w:rsidP="00670FD4">
      <w:pPr>
        <w:spacing w:after="0"/>
        <w:ind w:right="799"/>
        <w:jc w:val="center"/>
        <w:rPr>
          <w:rFonts w:eastAsia="Times New Roman" w:cs="Times New Roman"/>
        </w:rPr>
      </w:pPr>
      <w:bookmarkStart w:id="119" w:name="_heading=h.28h4qwu" w:colFirst="0" w:colLast="0"/>
      <w:bookmarkEnd w:id="119"/>
      <w:r>
        <w:rPr>
          <w:rFonts w:eastAsia="Times New Roman" w:cs="Times New Roman"/>
          <w:b/>
          <w:color w:val="000000"/>
        </w:rPr>
        <w:t>Tabel 2.5.1.3 Număr total lunar multianual de zile cu viscol - perioada 1991-2020</w:t>
      </w:r>
    </w:p>
    <w:tbl>
      <w:tblPr>
        <w:tblW w:w="8921" w:type="dxa"/>
        <w:tblLayout w:type="fixed"/>
        <w:tblLook w:val="0400" w:firstRow="0" w:lastRow="0" w:firstColumn="0" w:lastColumn="0" w:noHBand="0" w:noVBand="1"/>
      </w:tblPr>
      <w:tblGrid>
        <w:gridCol w:w="1437"/>
        <w:gridCol w:w="527"/>
        <w:gridCol w:w="500"/>
        <w:gridCol w:w="480"/>
        <w:gridCol w:w="572"/>
        <w:gridCol w:w="380"/>
        <w:gridCol w:w="512"/>
        <w:gridCol w:w="538"/>
        <w:gridCol w:w="680"/>
        <w:gridCol w:w="532"/>
        <w:gridCol w:w="495"/>
        <w:gridCol w:w="567"/>
        <w:gridCol w:w="850"/>
        <w:gridCol w:w="851"/>
      </w:tblGrid>
      <w:tr w:rsidR="00670FD4" w14:paraId="166100A4" w14:textId="77777777" w:rsidTr="001925BA">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F7B466A" w14:textId="77777777" w:rsidR="00670FD4" w:rsidRDefault="00670FD4" w:rsidP="001925BA">
            <w:pPr>
              <w:spacing w:after="0" w:line="240" w:lineRule="auto"/>
              <w:ind w:left="300" w:right="60" w:hanging="126"/>
              <w:rPr>
                <w:rFonts w:eastAsia="Times New Roman" w:cs="Times New Roman"/>
                <w:sz w:val="20"/>
                <w:szCs w:val="20"/>
              </w:rPr>
            </w:pPr>
            <w:r>
              <w:rPr>
                <w:rFonts w:eastAsia="Times New Roman" w:cs="Times New Roman"/>
                <w:color w:val="000000"/>
                <w:sz w:val="20"/>
                <w:szCs w:val="20"/>
              </w:rPr>
              <w:t>Stația</w:t>
            </w:r>
          </w:p>
        </w:tc>
        <w:tc>
          <w:tcPr>
            <w:tcW w:w="52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74918D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I</w:t>
            </w:r>
          </w:p>
        </w:tc>
        <w:tc>
          <w:tcPr>
            <w:tcW w:w="5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A49C844" w14:textId="77777777" w:rsidR="00670FD4" w:rsidRDefault="00670FD4" w:rsidP="001925BA">
            <w:pPr>
              <w:spacing w:after="0" w:line="240" w:lineRule="auto"/>
              <w:ind w:right="60" w:firstLine="0"/>
              <w:rPr>
                <w:rFonts w:eastAsia="Times New Roman" w:cs="Times New Roman"/>
                <w:sz w:val="20"/>
                <w:szCs w:val="20"/>
              </w:rPr>
            </w:pPr>
            <w:r>
              <w:rPr>
                <w:rFonts w:eastAsia="Times New Roman" w:cs="Times New Roman"/>
                <w:color w:val="000000"/>
                <w:sz w:val="20"/>
                <w:szCs w:val="20"/>
              </w:rPr>
              <w:t>II</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B94B757" w14:textId="77777777" w:rsidR="00670FD4" w:rsidRDefault="00670FD4" w:rsidP="001925BA">
            <w:pPr>
              <w:spacing w:after="0" w:line="240" w:lineRule="auto"/>
              <w:ind w:right="60" w:firstLine="0"/>
              <w:rPr>
                <w:rFonts w:eastAsia="Times New Roman" w:cs="Times New Roman"/>
                <w:sz w:val="20"/>
                <w:szCs w:val="20"/>
              </w:rPr>
            </w:pPr>
            <w:r>
              <w:rPr>
                <w:rFonts w:eastAsia="Times New Roman" w:cs="Times New Roman"/>
                <w:color w:val="000000"/>
                <w:sz w:val="20"/>
                <w:szCs w:val="20"/>
              </w:rPr>
              <w:t>Ill</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34A47E4" w14:textId="77777777" w:rsidR="00670FD4" w:rsidRDefault="00670FD4" w:rsidP="001925BA">
            <w:pPr>
              <w:spacing w:after="0" w:line="240" w:lineRule="auto"/>
              <w:ind w:right="160" w:firstLine="0"/>
              <w:rPr>
                <w:rFonts w:eastAsia="Times New Roman" w:cs="Times New Roman"/>
                <w:sz w:val="20"/>
                <w:szCs w:val="20"/>
              </w:rPr>
            </w:pPr>
            <w:r>
              <w:rPr>
                <w:rFonts w:eastAsia="Times New Roman" w:cs="Times New Roman"/>
                <w:color w:val="000000"/>
                <w:sz w:val="20"/>
                <w:szCs w:val="20"/>
              </w:rPr>
              <w:t>IV</w:t>
            </w:r>
          </w:p>
        </w:tc>
        <w:tc>
          <w:tcPr>
            <w:tcW w:w="3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3B4D40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V</w:t>
            </w:r>
          </w:p>
        </w:tc>
        <w:tc>
          <w:tcPr>
            <w:tcW w:w="51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B365D4B" w14:textId="77777777" w:rsidR="00670FD4" w:rsidRDefault="00670FD4" w:rsidP="001925BA">
            <w:pPr>
              <w:spacing w:after="0" w:line="240" w:lineRule="auto"/>
              <w:ind w:right="100" w:firstLine="0"/>
              <w:rPr>
                <w:rFonts w:eastAsia="Times New Roman" w:cs="Times New Roman"/>
                <w:sz w:val="20"/>
                <w:szCs w:val="20"/>
              </w:rPr>
            </w:pPr>
            <w:r>
              <w:rPr>
                <w:rFonts w:eastAsia="Times New Roman" w:cs="Times New Roman"/>
                <w:color w:val="000000"/>
                <w:sz w:val="20"/>
                <w:szCs w:val="20"/>
              </w:rPr>
              <w:t>VI</w:t>
            </w:r>
          </w:p>
        </w:tc>
        <w:tc>
          <w:tcPr>
            <w:tcW w:w="5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FA5D6CC" w14:textId="77777777" w:rsidR="00670FD4" w:rsidRDefault="00670FD4" w:rsidP="001925BA">
            <w:pPr>
              <w:spacing w:after="0" w:line="240" w:lineRule="auto"/>
              <w:ind w:right="60" w:firstLine="0"/>
              <w:rPr>
                <w:rFonts w:eastAsia="Times New Roman" w:cs="Times New Roman"/>
                <w:sz w:val="20"/>
                <w:szCs w:val="20"/>
              </w:rPr>
            </w:pPr>
            <w:r>
              <w:rPr>
                <w:rFonts w:eastAsia="Times New Roman" w:cs="Times New Roman"/>
                <w:color w:val="000000"/>
                <w:sz w:val="20"/>
                <w:szCs w:val="20"/>
              </w:rPr>
              <w:t>VII</w:t>
            </w:r>
          </w:p>
        </w:tc>
        <w:tc>
          <w:tcPr>
            <w:tcW w:w="6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82E0DB4" w14:textId="77777777" w:rsidR="00670FD4" w:rsidRDefault="00670FD4" w:rsidP="001925BA">
            <w:pPr>
              <w:spacing w:after="0" w:line="240" w:lineRule="auto"/>
              <w:ind w:right="120" w:firstLine="0"/>
              <w:rPr>
                <w:rFonts w:eastAsia="Times New Roman" w:cs="Times New Roman"/>
                <w:sz w:val="20"/>
                <w:szCs w:val="20"/>
              </w:rPr>
            </w:pPr>
            <w:r>
              <w:rPr>
                <w:rFonts w:eastAsia="Times New Roman" w:cs="Times New Roman"/>
                <w:color w:val="000000"/>
                <w:sz w:val="20"/>
                <w:szCs w:val="20"/>
              </w:rPr>
              <w:t>VIII</w:t>
            </w:r>
          </w:p>
        </w:tc>
        <w:tc>
          <w:tcPr>
            <w:tcW w:w="53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9D071B4" w14:textId="77777777" w:rsidR="00670FD4" w:rsidRDefault="00670FD4" w:rsidP="001925BA">
            <w:pPr>
              <w:spacing w:after="0" w:line="240" w:lineRule="auto"/>
              <w:ind w:right="120" w:firstLine="0"/>
              <w:rPr>
                <w:rFonts w:eastAsia="Times New Roman" w:cs="Times New Roman"/>
                <w:sz w:val="20"/>
                <w:szCs w:val="20"/>
              </w:rPr>
            </w:pPr>
            <w:r>
              <w:rPr>
                <w:rFonts w:eastAsia="Times New Roman" w:cs="Times New Roman"/>
                <w:color w:val="000000"/>
                <w:sz w:val="20"/>
                <w:szCs w:val="20"/>
              </w:rPr>
              <w:t>IX</w:t>
            </w:r>
          </w:p>
        </w:tc>
        <w:tc>
          <w:tcPr>
            <w:tcW w:w="49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CA6F2E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X</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BC0C8E8" w14:textId="77777777" w:rsidR="00670FD4" w:rsidRDefault="00670FD4" w:rsidP="001925BA">
            <w:pPr>
              <w:spacing w:after="0" w:line="240" w:lineRule="auto"/>
              <w:ind w:right="120" w:firstLine="0"/>
              <w:rPr>
                <w:rFonts w:eastAsia="Times New Roman" w:cs="Times New Roman"/>
                <w:sz w:val="20"/>
                <w:szCs w:val="20"/>
              </w:rPr>
            </w:pPr>
            <w:r>
              <w:rPr>
                <w:rFonts w:eastAsia="Times New Roman" w:cs="Times New Roman"/>
                <w:color w:val="000000"/>
                <w:sz w:val="20"/>
                <w:szCs w:val="20"/>
              </w:rPr>
              <w:t>XI</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DE8290D" w14:textId="77777777" w:rsidR="00670FD4" w:rsidRDefault="00670FD4" w:rsidP="001925BA">
            <w:pPr>
              <w:spacing w:after="0" w:line="240" w:lineRule="auto"/>
              <w:ind w:right="120" w:firstLine="0"/>
              <w:rPr>
                <w:rFonts w:eastAsia="Times New Roman" w:cs="Times New Roman"/>
                <w:sz w:val="20"/>
                <w:szCs w:val="20"/>
              </w:rPr>
            </w:pPr>
            <w:r>
              <w:rPr>
                <w:rFonts w:eastAsia="Times New Roman" w:cs="Times New Roman"/>
                <w:color w:val="000000"/>
                <w:sz w:val="20"/>
                <w:szCs w:val="20"/>
              </w:rPr>
              <w:t>XII</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E7B971C" w14:textId="77777777" w:rsidR="00670FD4" w:rsidRDefault="00670FD4" w:rsidP="001925BA">
            <w:pPr>
              <w:spacing w:after="0" w:line="240" w:lineRule="auto"/>
              <w:ind w:right="100" w:firstLine="0"/>
              <w:rPr>
                <w:rFonts w:eastAsia="Times New Roman" w:cs="Times New Roman"/>
                <w:sz w:val="20"/>
                <w:szCs w:val="20"/>
              </w:rPr>
            </w:pPr>
            <w:r>
              <w:rPr>
                <w:rFonts w:eastAsia="Times New Roman" w:cs="Times New Roman"/>
                <w:color w:val="000000"/>
                <w:sz w:val="20"/>
                <w:szCs w:val="20"/>
              </w:rPr>
              <w:t>Anual</w:t>
            </w:r>
          </w:p>
        </w:tc>
      </w:tr>
      <w:tr w:rsidR="00670FD4" w14:paraId="6E590FCC" w14:textId="77777777" w:rsidTr="001925BA">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262439C" w14:textId="77777777" w:rsidR="00670FD4" w:rsidRDefault="00670FD4" w:rsidP="001925BA">
            <w:pPr>
              <w:spacing w:after="0" w:line="240" w:lineRule="auto"/>
              <w:ind w:right="60" w:hanging="126"/>
              <w:rPr>
                <w:rFonts w:eastAsia="Times New Roman" w:cs="Times New Roman"/>
                <w:sz w:val="20"/>
                <w:szCs w:val="20"/>
              </w:rPr>
            </w:pPr>
            <w:r>
              <w:rPr>
                <w:rFonts w:eastAsia="Times New Roman" w:cs="Times New Roman"/>
                <w:color w:val="000000"/>
                <w:sz w:val="20"/>
                <w:szCs w:val="20"/>
              </w:rPr>
              <w:t>Constanța</w:t>
            </w:r>
          </w:p>
        </w:tc>
        <w:tc>
          <w:tcPr>
            <w:tcW w:w="52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EC87BB5" w14:textId="77777777" w:rsidR="00670FD4" w:rsidRDefault="00670FD4" w:rsidP="001925BA">
            <w:pPr>
              <w:spacing w:after="0" w:line="240" w:lineRule="auto"/>
              <w:ind w:right="60" w:firstLine="0"/>
              <w:rPr>
                <w:rFonts w:eastAsia="Times New Roman" w:cs="Times New Roman"/>
                <w:sz w:val="20"/>
                <w:szCs w:val="20"/>
              </w:rPr>
            </w:pPr>
            <w:r>
              <w:rPr>
                <w:rFonts w:eastAsia="Times New Roman" w:cs="Times New Roman"/>
                <w:color w:val="000000"/>
                <w:sz w:val="20"/>
                <w:szCs w:val="20"/>
              </w:rPr>
              <w:t>28</w:t>
            </w:r>
          </w:p>
        </w:tc>
        <w:tc>
          <w:tcPr>
            <w:tcW w:w="5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C3EA5E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13</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A6F258B"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4</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500402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3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5A9FF4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1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5B2D18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81C411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6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EF9F986" w14:textId="77777777" w:rsidR="00670FD4" w:rsidRDefault="00670FD4" w:rsidP="001925BA">
            <w:pPr>
              <w:spacing w:after="0" w:line="240" w:lineRule="auto"/>
              <w:ind w:right="240" w:firstLine="0"/>
              <w:rPr>
                <w:rFonts w:eastAsia="Times New Roman" w:cs="Times New Roman"/>
                <w:sz w:val="20"/>
                <w:szCs w:val="20"/>
              </w:rPr>
            </w:pPr>
            <w:r>
              <w:rPr>
                <w:rFonts w:eastAsia="Times New Roman" w:cs="Times New Roman"/>
                <w:color w:val="000000"/>
                <w:sz w:val="20"/>
                <w:szCs w:val="20"/>
              </w:rPr>
              <w:t>0</w:t>
            </w:r>
          </w:p>
        </w:tc>
        <w:tc>
          <w:tcPr>
            <w:tcW w:w="53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6E698A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49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77ABB4B"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A7025C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2</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B6634F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6</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B0A89E6" w14:textId="77777777" w:rsidR="00670FD4" w:rsidRDefault="00670FD4" w:rsidP="001925BA">
            <w:pPr>
              <w:spacing w:after="0" w:line="240" w:lineRule="auto"/>
              <w:ind w:right="100" w:firstLine="0"/>
              <w:rPr>
                <w:rFonts w:eastAsia="Times New Roman" w:cs="Times New Roman"/>
                <w:sz w:val="20"/>
                <w:szCs w:val="20"/>
              </w:rPr>
            </w:pPr>
            <w:r>
              <w:rPr>
                <w:rFonts w:eastAsia="Times New Roman" w:cs="Times New Roman"/>
                <w:color w:val="000000"/>
                <w:sz w:val="20"/>
                <w:szCs w:val="20"/>
              </w:rPr>
              <w:t>53</w:t>
            </w:r>
          </w:p>
        </w:tc>
      </w:tr>
      <w:tr w:rsidR="00670FD4" w14:paraId="5D9A3EC7" w14:textId="77777777" w:rsidTr="001925BA">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9BFFDBE" w14:textId="77777777" w:rsidR="00670FD4" w:rsidRDefault="00670FD4" w:rsidP="001925BA">
            <w:pPr>
              <w:spacing w:after="0" w:line="240" w:lineRule="auto"/>
              <w:ind w:right="60" w:hanging="126"/>
              <w:rPr>
                <w:rFonts w:eastAsia="Times New Roman" w:cs="Times New Roman"/>
                <w:sz w:val="20"/>
                <w:szCs w:val="20"/>
              </w:rPr>
            </w:pPr>
            <w:r>
              <w:rPr>
                <w:rFonts w:eastAsia="Times New Roman" w:cs="Times New Roman"/>
                <w:color w:val="000000"/>
                <w:sz w:val="20"/>
                <w:szCs w:val="20"/>
              </w:rPr>
              <w:t>Gura Portiței</w:t>
            </w:r>
          </w:p>
        </w:tc>
        <w:tc>
          <w:tcPr>
            <w:tcW w:w="52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5764CF3"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14</w:t>
            </w:r>
          </w:p>
        </w:tc>
        <w:tc>
          <w:tcPr>
            <w:tcW w:w="5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672C17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8</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B750578" w14:textId="77777777" w:rsidR="00670FD4" w:rsidRDefault="00670FD4" w:rsidP="001925BA">
            <w:pPr>
              <w:spacing w:after="0" w:line="240" w:lineRule="auto"/>
              <w:ind w:right="80" w:firstLine="0"/>
              <w:rPr>
                <w:rFonts w:eastAsia="Times New Roman" w:cs="Times New Roman"/>
                <w:sz w:val="20"/>
                <w:szCs w:val="20"/>
              </w:rPr>
            </w:pPr>
            <w:r>
              <w:rPr>
                <w:rFonts w:eastAsia="Times New Roman" w:cs="Times New Roman"/>
                <w:color w:val="000000"/>
                <w:sz w:val="20"/>
                <w:szCs w:val="20"/>
              </w:rPr>
              <w:t>1</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35F7D2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3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150E94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1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811435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95173EB"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6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4D8B5E4" w14:textId="77777777" w:rsidR="00670FD4" w:rsidRDefault="00670FD4" w:rsidP="001925BA">
            <w:pPr>
              <w:spacing w:after="0" w:line="240" w:lineRule="auto"/>
              <w:ind w:right="220" w:firstLine="0"/>
              <w:rPr>
                <w:rFonts w:eastAsia="Times New Roman" w:cs="Times New Roman"/>
                <w:sz w:val="20"/>
                <w:szCs w:val="20"/>
              </w:rPr>
            </w:pPr>
            <w:r>
              <w:rPr>
                <w:rFonts w:eastAsia="Times New Roman" w:cs="Times New Roman"/>
                <w:color w:val="000000"/>
                <w:sz w:val="20"/>
                <w:szCs w:val="20"/>
              </w:rPr>
              <w:t>0</w:t>
            </w:r>
          </w:p>
        </w:tc>
        <w:tc>
          <w:tcPr>
            <w:tcW w:w="53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8C6DC8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49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006BB5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D4E27CB"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A593DC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4</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CA413D9" w14:textId="77777777" w:rsidR="00670FD4" w:rsidRDefault="00670FD4" w:rsidP="001925BA">
            <w:pPr>
              <w:spacing w:after="0" w:line="240" w:lineRule="auto"/>
              <w:ind w:right="100" w:firstLine="0"/>
              <w:rPr>
                <w:rFonts w:eastAsia="Times New Roman" w:cs="Times New Roman"/>
                <w:sz w:val="20"/>
                <w:szCs w:val="20"/>
              </w:rPr>
            </w:pPr>
            <w:r>
              <w:rPr>
                <w:rFonts w:eastAsia="Times New Roman" w:cs="Times New Roman"/>
                <w:color w:val="000000"/>
                <w:sz w:val="20"/>
                <w:szCs w:val="20"/>
              </w:rPr>
              <w:t>27</w:t>
            </w:r>
          </w:p>
        </w:tc>
      </w:tr>
      <w:tr w:rsidR="00670FD4" w14:paraId="79478096" w14:textId="77777777" w:rsidTr="001925BA">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167350F" w14:textId="77777777" w:rsidR="00670FD4" w:rsidRDefault="00670FD4" w:rsidP="001925BA">
            <w:pPr>
              <w:spacing w:after="0" w:line="240" w:lineRule="auto"/>
              <w:ind w:right="60" w:hanging="126"/>
              <w:rPr>
                <w:rFonts w:eastAsia="Times New Roman" w:cs="Times New Roman"/>
                <w:sz w:val="20"/>
                <w:szCs w:val="20"/>
              </w:rPr>
            </w:pPr>
            <w:r>
              <w:rPr>
                <w:rFonts w:eastAsia="Times New Roman" w:cs="Times New Roman"/>
                <w:color w:val="000000"/>
                <w:sz w:val="20"/>
                <w:szCs w:val="20"/>
              </w:rPr>
              <w:t>Jurilovca</w:t>
            </w:r>
          </w:p>
        </w:tc>
        <w:tc>
          <w:tcPr>
            <w:tcW w:w="52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F6B2EFA" w14:textId="77777777" w:rsidR="00670FD4" w:rsidRDefault="00670FD4" w:rsidP="001925BA">
            <w:pPr>
              <w:spacing w:after="0" w:line="240" w:lineRule="auto"/>
              <w:ind w:right="60" w:firstLine="0"/>
              <w:rPr>
                <w:rFonts w:eastAsia="Times New Roman" w:cs="Times New Roman"/>
                <w:sz w:val="20"/>
                <w:szCs w:val="20"/>
              </w:rPr>
            </w:pPr>
            <w:r>
              <w:rPr>
                <w:rFonts w:eastAsia="Times New Roman" w:cs="Times New Roman"/>
                <w:color w:val="000000"/>
                <w:sz w:val="20"/>
                <w:szCs w:val="20"/>
              </w:rPr>
              <w:t>22</w:t>
            </w:r>
          </w:p>
        </w:tc>
        <w:tc>
          <w:tcPr>
            <w:tcW w:w="5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DF6254D" w14:textId="77777777" w:rsidR="00670FD4" w:rsidRDefault="00670FD4" w:rsidP="001925BA">
            <w:pPr>
              <w:spacing w:after="0" w:line="240" w:lineRule="auto"/>
              <w:ind w:right="100" w:firstLine="0"/>
              <w:rPr>
                <w:rFonts w:eastAsia="Times New Roman" w:cs="Times New Roman"/>
                <w:sz w:val="20"/>
                <w:szCs w:val="20"/>
              </w:rPr>
            </w:pPr>
            <w:r>
              <w:rPr>
                <w:rFonts w:eastAsia="Times New Roman" w:cs="Times New Roman"/>
                <w:color w:val="000000"/>
                <w:sz w:val="20"/>
                <w:szCs w:val="20"/>
              </w:rPr>
              <w:t>18</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70209B6" w14:textId="77777777" w:rsidR="00670FD4" w:rsidRDefault="00670FD4" w:rsidP="001925BA">
            <w:pPr>
              <w:spacing w:after="0" w:line="240" w:lineRule="auto"/>
              <w:ind w:right="80" w:firstLine="0"/>
              <w:rPr>
                <w:rFonts w:eastAsia="Times New Roman" w:cs="Times New Roman"/>
                <w:sz w:val="20"/>
                <w:szCs w:val="20"/>
              </w:rPr>
            </w:pPr>
            <w:r>
              <w:rPr>
                <w:rFonts w:eastAsia="Times New Roman" w:cs="Times New Roman"/>
                <w:color w:val="000000"/>
                <w:sz w:val="20"/>
                <w:szCs w:val="20"/>
              </w:rPr>
              <w:t>11</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43B660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3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5C51ADE"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1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5A47CB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250FF3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6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85C1509" w14:textId="77777777" w:rsidR="00670FD4" w:rsidRDefault="00670FD4" w:rsidP="001925BA">
            <w:pPr>
              <w:spacing w:after="0" w:line="240" w:lineRule="auto"/>
              <w:ind w:right="220" w:firstLine="0"/>
              <w:rPr>
                <w:rFonts w:eastAsia="Times New Roman" w:cs="Times New Roman"/>
                <w:sz w:val="20"/>
                <w:szCs w:val="20"/>
              </w:rPr>
            </w:pPr>
            <w:r>
              <w:rPr>
                <w:rFonts w:eastAsia="Times New Roman" w:cs="Times New Roman"/>
                <w:color w:val="000000"/>
                <w:sz w:val="20"/>
                <w:szCs w:val="20"/>
              </w:rPr>
              <w:t>0</w:t>
            </w:r>
          </w:p>
        </w:tc>
        <w:tc>
          <w:tcPr>
            <w:tcW w:w="53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F9FC04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49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E9F4A1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FEB25D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B173A6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13</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528CCD9" w14:textId="77777777" w:rsidR="00670FD4" w:rsidRDefault="00670FD4" w:rsidP="001925BA">
            <w:pPr>
              <w:spacing w:after="0" w:line="240" w:lineRule="auto"/>
              <w:ind w:right="100" w:firstLine="0"/>
              <w:rPr>
                <w:rFonts w:eastAsia="Times New Roman" w:cs="Times New Roman"/>
                <w:sz w:val="20"/>
                <w:szCs w:val="20"/>
              </w:rPr>
            </w:pPr>
            <w:r>
              <w:rPr>
                <w:rFonts w:eastAsia="Times New Roman" w:cs="Times New Roman"/>
                <w:color w:val="000000"/>
                <w:sz w:val="20"/>
                <w:szCs w:val="20"/>
              </w:rPr>
              <w:t>46</w:t>
            </w:r>
          </w:p>
        </w:tc>
      </w:tr>
      <w:tr w:rsidR="00670FD4" w14:paraId="0C172EBD" w14:textId="77777777" w:rsidTr="001925BA">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71CFFF0" w14:textId="77777777" w:rsidR="00670FD4" w:rsidRDefault="00670FD4" w:rsidP="001925BA">
            <w:pPr>
              <w:spacing w:after="0" w:line="240" w:lineRule="auto"/>
              <w:ind w:right="60" w:hanging="126"/>
              <w:rPr>
                <w:rFonts w:eastAsia="Times New Roman" w:cs="Times New Roman"/>
                <w:sz w:val="20"/>
                <w:szCs w:val="20"/>
              </w:rPr>
            </w:pPr>
            <w:r>
              <w:rPr>
                <w:rFonts w:eastAsia="Times New Roman" w:cs="Times New Roman"/>
                <w:color w:val="000000"/>
                <w:sz w:val="20"/>
                <w:szCs w:val="20"/>
              </w:rPr>
              <w:t>Mangalia</w:t>
            </w:r>
          </w:p>
        </w:tc>
        <w:tc>
          <w:tcPr>
            <w:tcW w:w="52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E93875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13</w:t>
            </w:r>
          </w:p>
        </w:tc>
        <w:tc>
          <w:tcPr>
            <w:tcW w:w="5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CBCA0D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9</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B73892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A61CC0E"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3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4DDE69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1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FE4F15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D0BB4C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6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5232124" w14:textId="77777777" w:rsidR="00670FD4" w:rsidRDefault="00670FD4" w:rsidP="001925BA">
            <w:pPr>
              <w:spacing w:after="0" w:line="240" w:lineRule="auto"/>
              <w:ind w:right="220" w:firstLine="0"/>
              <w:rPr>
                <w:rFonts w:eastAsia="Times New Roman" w:cs="Times New Roman"/>
                <w:sz w:val="20"/>
                <w:szCs w:val="20"/>
              </w:rPr>
            </w:pPr>
            <w:r>
              <w:rPr>
                <w:rFonts w:eastAsia="Times New Roman" w:cs="Times New Roman"/>
                <w:color w:val="000000"/>
                <w:sz w:val="20"/>
                <w:szCs w:val="20"/>
              </w:rPr>
              <w:t>0</w:t>
            </w:r>
          </w:p>
        </w:tc>
        <w:tc>
          <w:tcPr>
            <w:tcW w:w="53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FBB3CD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49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D18F67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1B50E3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9EF817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44592A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19</w:t>
            </w:r>
          </w:p>
        </w:tc>
      </w:tr>
      <w:tr w:rsidR="00670FD4" w14:paraId="53411A5C" w14:textId="77777777" w:rsidTr="001925BA">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068D2FD" w14:textId="77777777" w:rsidR="00670FD4" w:rsidRDefault="00670FD4" w:rsidP="001925BA">
            <w:pPr>
              <w:spacing w:after="0" w:line="240" w:lineRule="auto"/>
              <w:ind w:right="120" w:hanging="126"/>
              <w:rPr>
                <w:rFonts w:eastAsia="Times New Roman" w:cs="Times New Roman"/>
                <w:sz w:val="20"/>
                <w:szCs w:val="20"/>
              </w:rPr>
            </w:pPr>
            <w:r>
              <w:rPr>
                <w:rFonts w:eastAsia="Times New Roman" w:cs="Times New Roman"/>
                <w:color w:val="000000"/>
                <w:sz w:val="20"/>
                <w:szCs w:val="20"/>
              </w:rPr>
              <w:t>Sf. Gheorghe </w:t>
            </w:r>
          </w:p>
        </w:tc>
        <w:tc>
          <w:tcPr>
            <w:tcW w:w="52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7314F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5</w:t>
            </w:r>
          </w:p>
        </w:tc>
        <w:tc>
          <w:tcPr>
            <w:tcW w:w="5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9F7441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8</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DFBADF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B4F092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3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21FA86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1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38DA72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C52748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6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24D7EDE" w14:textId="77777777" w:rsidR="00670FD4" w:rsidRDefault="00670FD4" w:rsidP="001925BA">
            <w:pPr>
              <w:spacing w:after="0" w:line="240" w:lineRule="auto"/>
              <w:ind w:right="220" w:firstLine="0"/>
              <w:rPr>
                <w:rFonts w:eastAsia="Times New Roman" w:cs="Times New Roman"/>
                <w:sz w:val="20"/>
                <w:szCs w:val="20"/>
              </w:rPr>
            </w:pPr>
            <w:r>
              <w:rPr>
                <w:rFonts w:eastAsia="Times New Roman" w:cs="Times New Roman"/>
                <w:color w:val="000000"/>
                <w:sz w:val="20"/>
                <w:szCs w:val="20"/>
              </w:rPr>
              <w:t>0</w:t>
            </w:r>
          </w:p>
        </w:tc>
        <w:tc>
          <w:tcPr>
            <w:tcW w:w="53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208CEF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49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6F9663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8D2856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F54700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 xml:space="preserve"> 7</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559709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12</w:t>
            </w:r>
          </w:p>
        </w:tc>
      </w:tr>
      <w:tr w:rsidR="00670FD4" w14:paraId="7B260287" w14:textId="77777777" w:rsidTr="001925BA">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39D1C88" w14:textId="77777777" w:rsidR="00670FD4" w:rsidRDefault="00670FD4" w:rsidP="001925BA">
            <w:pPr>
              <w:spacing w:after="0" w:line="240" w:lineRule="auto"/>
              <w:ind w:right="60" w:hanging="126"/>
              <w:rPr>
                <w:rFonts w:eastAsia="Times New Roman" w:cs="Times New Roman"/>
                <w:sz w:val="20"/>
                <w:szCs w:val="20"/>
              </w:rPr>
            </w:pPr>
            <w:r>
              <w:rPr>
                <w:rFonts w:eastAsia="Times New Roman" w:cs="Times New Roman"/>
                <w:color w:val="000000"/>
                <w:sz w:val="20"/>
                <w:szCs w:val="20"/>
              </w:rPr>
              <w:t>Sulina</w:t>
            </w:r>
          </w:p>
        </w:tc>
        <w:tc>
          <w:tcPr>
            <w:tcW w:w="52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D5C5078" w14:textId="77777777" w:rsidR="00670FD4" w:rsidRDefault="00670FD4" w:rsidP="001925BA">
            <w:pPr>
              <w:spacing w:after="0" w:line="240" w:lineRule="auto"/>
              <w:ind w:right="80" w:firstLine="0"/>
              <w:rPr>
                <w:rFonts w:eastAsia="Times New Roman" w:cs="Times New Roman"/>
                <w:sz w:val="20"/>
                <w:szCs w:val="20"/>
              </w:rPr>
            </w:pPr>
            <w:r>
              <w:rPr>
                <w:rFonts w:eastAsia="Times New Roman" w:cs="Times New Roman"/>
                <w:color w:val="000000"/>
                <w:sz w:val="20"/>
                <w:szCs w:val="20"/>
              </w:rPr>
              <w:t>25</w:t>
            </w:r>
          </w:p>
        </w:tc>
        <w:tc>
          <w:tcPr>
            <w:tcW w:w="5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987D4E0" w14:textId="77777777" w:rsidR="00670FD4" w:rsidRDefault="00670FD4" w:rsidP="001925BA">
            <w:pPr>
              <w:spacing w:after="0" w:line="240" w:lineRule="auto"/>
              <w:ind w:right="100" w:firstLine="0"/>
              <w:rPr>
                <w:rFonts w:eastAsia="Times New Roman" w:cs="Times New Roman"/>
                <w:sz w:val="20"/>
                <w:szCs w:val="20"/>
              </w:rPr>
            </w:pPr>
            <w:r>
              <w:rPr>
                <w:rFonts w:eastAsia="Times New Roman" w:cs="Times New Roman"/>
                <w:color w:val="000000"/>
                <w:sz w:val="20"/>
                <w:szCs w:val="20"/>
              </w:rPr>
              <w:t>19</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AFE6195" w14:textId="77777777" w:rsidR="00670FD4" w:rsidRDefault="00670FD4" w:rsidP="001925BA">
            <w:pPr>
              <w:spacing w:after="0" w:line="240" w:lineRule="auto"/>
              <w:ind w:right="80" w:firstLine="0"/>
              <w:rPr>
                <w:rFonts w:eastAsia="Times New Roman" w:cs="Times New Roman"/>
                <w:sz w:val="20"/>
                <w:szCs w:val="20"/>
              </w:rPr>
            </w:pPr>
            <w:r>
              <w:rPr>
                <w:rFonts w:eastAsia="Times New Roman" w:cs="Times New Roman"/>
                <w:color w:val="000000"/>
                <w:sz w:val="20"/>
                <w:szCs w:val="20"/>
              </w:rPr>
              <w:t>7</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BF23A3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3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6AF31F4" w14:textId="77777777" w:rsidR="00670FD4" w:rsidRDefault="00670FD4" w:rsidP="001925BA">
            <w:pPr>
              <w:spacing w:after="0" w:line="240" w:lineRule="auto"/>
              <w:ind w:right="80" w:firstLine="0"/>
              <w:rPr>
                <w:rFonts w:eastAsia="Times New Roman" w:cs="Times New Roman"/>
                <w:sz w:val="20"/>
                <w:szCs w:val="20"/>
              </w:rPr>
            </w:pPr>
            <w:r>
              <w:rPr>
                <w:rFonts w:eastAsia="Times New Roman" w:cs="Times New Roman"/>
                <w:color w:val="000000"/>
                <w:sz w:val="20"/>
                <w:szCs w:val="20"/>
              </w:rPr>
              <w:t>0</w:t>
            </w:r>
          </w:p>
        </w:tc>
        <w:tc>
          <w:tcPr>
            <w:tcW w:w="51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A1C5AC6" w14:textId="77777777" w:rsidR="00670FD4" w:rsidRDefault="00670FD4" w:rsidP="001925BA">
            <w:pPr>
              <w:spacing w:after="0" w:line="240" w:lineRule="auto"/>
              <w:ind w:right="140" w:firstLine="0"/>
              <w:rPr>
                <w:rFonts w:eastAsia="Times New Roman" w:cs="Times New Roman"/>
                <w:sz w:val="20"/>
                <w:szCs w:val="20"/>
              </w:rPr>
            </w:pPr>
            <w:r>
              <w:rPr>
                <w:rFonts w:eastAsia="Times New Roman" w:cs="Times New Roman"/>
                <w:color w:val="000000"/>
                <w:sz w:val="20"/>
                <w:szCs w:val="20"/>
              </w:rPr>
              <w:t>0</w:t>
            </w:r>
          </w:p>
        </w:tc>
        <w:tc>
          <w:tcPr>
            <w:tcW w:w="5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CD31E97" w14:textId="77777777" w:rsidR="00670FD4" w:rsidRDefault="00670FD4" w:rsidP="001925BA">
            <w:pPr>
              <w:spacing w:after="0" w:line="240" w:lineRule="auto"/>
              <w:ind w:right="80" w:firstLine="0"/>
              <w:rPr>
                <w:rFonts w:eastAsia="Times New Roman" w:cs="Times New Roman"/>
                <w:sz w:val="20"/>
                <w:szCs w:val="20"/>
              </w:rPr>
            </w:pPr>
            <w:r>
              <w:rPr>
                <w:rFonts w:eastAsia="Times New Roman" w:cs="Times New Roman"/>
                <w:color w:val="000000"/>
                <w:sz w:val="20"/>
                <w:szCs w:val="20"/>
              </w:rPr>
              <w:t>0</w:t>
            </w:r>
          </w:p>
        </w:tc>
        <w:tc>
          <w:tcPr>
            <w:tcW w:w="6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A497DB0" w14:textId="77777777" w:rsidR="00670FD4" w:rsidRDefault="00670FD4" w:rsidP="001925BA">
            <w:pPr>
              <w:spacing w:after="0" w:line="240" w:lineRule="auto"/>
              <w:ind w:right="160" w:firstLine="0"/>
              <w:rPr>
                <w:rFonts w:eastAsia="Times New Roman" w:cs="Times New Roman"/>
                <w:sz w:val="20"/>
                <w:szCs w:val="20"/>
              </w:rPr>
            </w:pPr>
            <w:r>
              <w:rPr>
                <w:rFonts w:eastAsia="Times New Roman" w:cs="Times New Roman"/>
                <w:color w:val="000000"/>
                <w:sz w:val="20"/>
                <w:szCs w:val="20"/>
              </w:rPr>
              <w:t>0</w:t>
            </w:r>
          </w:p>
        </w:tc>
        <w:tc>
          <w:tcPr>
            <w:tcW w:w="53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067CC6F" w14:textId="77777777" w:rsidR="00670FD4" w:rsidRDefault="00670FD4" w:rsidP="001925BA">
            <w:pPr>
              <w:spacing w:after="0" w:line="240" w:lineRule="auto"/>
              <w:ind w:right="140" w:firstLine="0"/>
              <w:rPr>
                <w:rFonts w:eastAsia="Times New Roman" w:cs="Times New Roman"/>
                <w:sz w:val="20"/>
                <w:szCs w:val="20"/>
              </w:rPr>
            </w:pPr>
            <w:r>
              <w:rPr>
                <w:rFonts w:eastAsia="Times New Roman" w:cs="Times New Roman"/>
                <w:color w:val="000000"/>
                <w:sz w:val="20"/>
                <w:szCs w:val="20"/>
              </w:rPr>
              <w:t>0</w:t>
            </w:r>
          </w:p>
        </w:tc>
        <w:tc>
          <w:tcPr>
            <w:tcW w:w="49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91AB622" w14:textId="77777777" w:rsidR="00670FD4" w:rsidRDefault="00670FD4" w:rsidP="001925BA">
            <w:pPr>
              <w:spacing w:after="0" w:line="240" w:lineRule="auto"/>
              <w:ind w:right="80"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0CA2146" w14:textId="77777777" w:rsidR="00670FD4" w:rsidRDefault="00670FD4" w:rsidP="001925BA">
            <w:pPr>
              <w:spacing w:after="0" w:line="240" w:lineRule="auto"/>
              <w:ind w:right="140" w:firstLine="0"/>
              <w:rPr>
                <w:rFonts w:eastAsia="Times New Roman" w:cs="Times New Roman"/>
                <w:sz w:val="20"/>
                <w:szCs w:val="20"/>
              </w:rPr>
            </w:pPr>
            <w:r>
              <w:rPr>
                <w:rFonts w:eastAsia="Times New Roman" w:cs="Times New Roman"/>
                <w:color w:val="000000"/>
                <w:sz w:val="20"/>
                <w:szCs w:val="20"/>
              </w:rPr>
              <w:t>2</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56B5BFD" w14:textId="77777777" w:rsidR="00670FD4" w:rsidRDefault="00670FD4" w:rsidP="001925BA">
            <w:pPr>
              <w:spacing w:after="0" w:line="240" w:lineRule="auto"/>
              <w:ind w:right="140" w:firstLine="0"/>
              <w:rPr>
                <w:rFonts w:eastAsia="Times New Roman" w:cs="Times New Roman"/>
                <w:sz w:val="20"/>
                <w:szCs w:val="20"/>
              </w:rPr>
            </w:pPr>
            <w:r>
              <w:rPr>
                <w:rFonts w:eastAsia="Times New Roman" w:cs="Times New Roman"/>
                <w:color w:val="000000"/>
                <w:sz w:val="20"/>
                <w:szCs w:val="20"/>
              </w:rPr>
              <w:t>11</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2B4BF91" w14:textId="77777777" w:rsidR="00670FD4" w:rsidRDefault="00670FD4" w:rsidP="001925BA">
            <w:pPr>
              <w:spacing w:after="0" w:line="240" w:lineRule="auto"/>
              <w:ind w:right="100" w:firstLine="0"/>
              <w:rPr>
                <w:rFonts w:eastAsia="Times New Roman" w:cs="Times New Roman"/>
                <w:sz w:val="20"/>
                <w:szCs w:val="20"/>
              </w:rPr>
            </w:pPr>
            <w:r>
              <w:rPr>
                <w:rFonts w:eastAsia="Times New Roman" w:cs="Times New Roman"/>
                <w:color w:val="000000"/>
                <w:sz w:val="20"/>
                <w:szCs w:val="20"/>
              </w:rPr>
              <w:t>64</w:t>
            </w:r>
          </w:p>
        </w:tc>
      </w:tr>
    </w:tbl>
    <w:p w14:paraId="7C3BE19C" w14:textId="77777777" w:rsidR="00670FD4" w:rsidRDefault="00670FD4" w:rsidP="00670FD4"/>
    <w:p w14:paraId="204B2585" w14:textId="77777777" w:rsidR="00670FD4" w:rsidRDefault="00670FD4" w:rsidP="00670FD4">
      <w:pPr>
        <w:spacing w:before="240" w:after="240"/>
        <w:rPr>
          <w:rFonts w:eastAsia="Times New Roman" w:cs="Times New Roman"/>
          <w:b/>
        </w:rPr>
      </w:pPr>
      <w:r>
        <w:rPr>
          <w:rFonts w:eastAsia="Times New Roman" w:cs="Times New Roman"/>
          <w:b/>
          <w:i/>
          <w:color w:val="000000"/>
        </w:rPr>
        <w:t>Creșterea nivelului mării</w:t>
      </w:r>
    </w:p>
    <w:p w14:paraId="7DEB1EED" w14:textId="77777777" w:rsidR="00670FD4" w:rsidRDefault="00670FD4" w:rsidP="00670FD4">
      <w:pPr>
        <w:spacing w:before="0"/>
        <w:ind w:firstLine="567"/>
        <w:rPr>
          <w:rFonts w:eastAsia="Times New Roman" w:cs="Times New Roman"/>
          <w:color w:val="000000"/>
        </w:rPr>
      </w:pPr>
      <w:r>
        <w:rPr>
          <w:rFonts w:eastAsia="Times New Roman" w:cs="Times New Roman"/>
          <w:color w:val="000000"/>
        </w:rPr>
        <w:lastRenderedPageBreak/>
        <w:t>Una dintre consecințele majore ale încălzirii globale este creșterea nivelului mării. Variațiile de nivel ale mării la litoralul românesc sunt determinate în cea mai mare măsură de factorii meteorologici și hidrologici, mareea guvernată de factorii astronomici fiind nesemnificativă în Marea Neagră. Înregistrările zilnice realizate în 2021, cu maregraful de tip OTT din Portul Constanța, arată o valoare medie de 27,71 cm, semnificativ mai ridicată față de media multianuală de 17,47 cm, pentru perioada 1933-2021 (INCDM, 2022) (Fig. 2.5.1.6). Valoarea zilnică maximă înregistrată a fost de 54,50 cm în luna februarie, iar minima, de 1,60 cm, a fost măsurată în luna decembrie (INCDM, 2022).</w:t>
      </w:r>
    </w:p>
    <w:p w14:paraId="400E7278" w14:textId="77777777" w:rsidR="00670FD4" w:rsidRDefault="00670FD4" w:rsidP="00670FD4">
      <w:pPr>
        <w:ind w:firstLine="567"/>
        <w:rPr>
          <w:rFonts w:eastAsia="Times New Roman" w:cs="Times New Roman"/>
          <w:color w:val="000000"/>
        </w:rPr>
      </w:pPr>
      <w:r>
        <w:rPr>
          <w:noProof/>
        </w:rPr>
        <w:drawing>
          <wp:anchor distT="0" distB="0" distL="114300" distR="114300" simplePos="0" relativeHeight="251662336" behindDoc="0" locked="0" layoutInCell="1" hidden="0" allowOverlap="1" wp14:anchorId="75D31025" wp14:editId="3D1F5427">
            <wp:simplePos x="0" y="0"/>
            <wp:positionH relativeFrom="column">
              <wp:posOffset>1</wp:posOffset>
            </wp:positionH>
            <wp:positionV relativeFrom="paragraph">
              <wp:posOffset>305435</wp:posOffset>
            </wp:positionV>
            <wp:extent cx="5731510" cy="2254250"/>
            <wp:effectExtent l="0" t="0" r="0" b="0"/>
            <wp:wrapTopAndBottom distT="0" distB="0"/>
            <wp:docPr id="214140193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4"/>
                    <a:srcRect/>
                    <a:stretch>
                      <a:fillRect/>
                    </a:stretch>
                  </pic:blipFill>
                  <pic:spPr>
                    <a:xfrm>
                      <a:off x="0" y="0"/>
                      <a:ext cx="5731510" cy="2254250"/>
                    </a:xfrm>
                    <a:prstGeom prst="rect">
                      <a:avLst/>
                    </a:prstGeom>
                    <a:ln/>
                  </pic:spPr>
                </pic:pic>
              </a:graphicData>
            </a:graphic>
          </wp:anchor>
        </w:drawing>
      </w:r>
    </w:p>
    <w:p w14:paraId="054A2F8D" w14:textId="77777777" w:rsidR="00670FD4" w:rsidRDefault="00670FD4" w:rsidP="00670FD4">
      <w:pPr>
        <w:spacing w:after="240"/>
        <w:jc w:val="center"/>
        <w:rPr>
          <w:b/>
          <w:color w:val="000000"/>
        </w:rPr>
      </w:pPr>
      <w:bookmarkStart w:id="120" w:name="_heading=h.nmf14n" w:colFirst="0" w:colLast="0"/>
      <w:bookmarkEnd w:id="120"/>
    </w:p>
    <w:p w14:paraId="0A0EF26B" w14:textId="77777777" w:rsidR="00670FD4" w:rsidRDefault="00670FD4" w:rsidP="00670FD4">
      <w:pPr>
        <w:jc w:val="center"/>
        <w:rPr>
          <w:rFonts w:eastAsia="Times New Roman" w:cs="Times New Roman"/>
          <w:b/>
          <w:color w:val="000000"/>
        </w:rPr>
      </w:pPr>
      <w:r>
        <w:rPr>
          <w:rFonts w:eastAsia="Times New Roman" w:cs="Times New Roman"/>
          <w:b/>
          <w:color w:val="000000"/>
        </w:rPr>
        <w:t>Fig. 2.5.1.6 Oscilațiile nivelului mării la litoralul românesc (medii anuale 1933 – 2021) (sursa: INCDM, 2022)</w:t>
      </w:r>
    </w:p>
    <w:p w14:paraId="7A769D34" w14:textId="77777777" w:rsidR="00670FD4" w:rsidRDefault="00670FD4" w:rsidP="00670FD4">
      <w:pPr>
        <w:rPr>
          <w:rFonts w:eastAsia="Times New Roman" w:cs="Times New Roman"/>
          <w:color w:val="000000"/>
        </w:rPr>
      </w:pPr>
    </w:p>
    <w:p w14:paraId="3379C5C8" w14:textId="77777777" w:rsidR="00670FD4" w:rsidRDefault="00670FD4" w:rsidP="00670FD4">
      <w:pPr>
        <w:spacing w:before="0"/>
        <w:ind w:firstLine="567"/>
        <w:rPr>
          <w:rFonts w:eastAsia="Times New Roman" w:cs="Times New Roman"/>
        </w:rPr>
      </w:pPr>
      <w:r>
        <w:rPr>
          <w:rFonts w:eastAsia="Times New Roman" w:cs="Times New Roman"/>
          <w:color w:val="000000"/>
        </w:rPr>
        <w:t>Variația nivelului mării la Constanța pe termen lung este similară cu variația globală, având același ritm de creștere de 1,9 mm/an (INCDM, 2022).</w:t>
      </w:r>
    </w:p>
    <w:p w14:paraId="61A56717" w14:textId="77777777" w:rsidR="00670FD4" w:rsidRDefault="00670FD4" w:rsidP="00670FD4">
      <w:pPr>
        <w:spacing w:before="0"/>
        <w:ind w:firstLine="567"/>
        <w:rPr>
          <w:rFonts w:eastAsia="Times New Roman" w:cs="Times New Roman"/>
        </w:rPr>
      </w:pPr>
      <w:r>
        <w:rPr>
          <w:rFonts w:eastAsia="Times New Roman" w:cs="Times New Roman"/>
          <w:color w:val="000000"/>
        </w:rPr>
        <w:t>Riscurile determinate de creșterea nivelului mării sunt asociate cu procesul de eroziune costieră, inundații și pierderea unor zone umede, care afectează flora și fauna, provocând pierderea habitatului pentru pești, păsări, plante și multe alte specii. Pe de altă parte, un nivel mai ridicat al mării provoacă ploi abundente și vânturi puternice, declanșează furtuni puternice și alte fenomene atmosferice extreme, care pot fi o amenințare reală pentru comunitățile costiere.</w:t>
      </w:r>
    </w:p>
    <w:p w14:paraId="2170CA9A" w14:textId="77777777" w:rsidR="00670FD4" w:rsidRDefault="00670FD4" w:rsidP="00670FD4">
      <w:pPr>
        <w:pBdr>
          <w:top w:val="nil"/>
          <w:left w:val="nil"/>
          <w:bottom w:val="nil"/>
          <w:right w:val="nil"/>
          <w:between w:val="nil"/>
        </w:pBdr>
        <w:spacing w:before="0"/>
        <w:rPr>
          <w:rFonts w:eastAsia="Times New Roman" w:cs="Times New Roman"/>
          <w:b/>
          <w:i/>
          <w:color w:val="000000"/>
        </w:rPr>
      </w:pPr>
      <w:r>
        <w:rPr>
          <w:rFonts w:eastAsia="Times New Roman" w:cs="Times New Roman"/>
          <w:b/>
          <w:i/>
          <w:color w:val="000000"/>
        </w:rPr>
        <w:t>Furtuni</w:t>
      </w:r>
    </w:p>
    <w:p w14:paraId="7F194956"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 xml:space="preserve">Pe lângă variațiile anuale/decadale și sezoniere ale nivelului mării, care se produc la scara regională, există și variații locale, pe termen scurt, ca rezultat al modificării presiunii atmosferice și a vitezei și direcției vântului. Valurile de furtună sunt asociate sistemelor meteo depresionare din larg. Orice sistem de furtună care vine din Marea Mediterană este canalizat prin zonele joase din jurul Bosforului, Muntilor Pontici și Caucazului, ceea ce limitează viteza și traseul ciclonilor. Ca urmare, frecvența valurilor de furtună în Marea Neagră este mai mica decât în alte regiuni ale Oceanului Planetar, dar acestea provoacă pagube mai mari, deoarece </w:t>
      </w:r>
      <w:r>
        <w:rPr>
          <w:rFonts w:eastAsia="Times New Roman" w:cs="Times New Roman"/>
          <w:color w:val="000000"/>
        </w:rPr>
        <w:lastRenderedPageBreak/>
        <w:t>magnitudinea ridicării nivelului marii este de 7-8 mai mare decât alte variații ale nivelului mării (Mungov și Daniel, 2000). Ca atare, valurile de furtună în zona Mării Negre pot conduce la o creștere a nivelului apei cu până la 1,3 m peste nivelul mediu (Mungov și Daniel, 2000).</w:t>
      </w:r>
    </w:p>
    <w:p w14:paraId="081F6ED1"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Pe lângă valurile de furtună, de-a lungul coastei românești se manifestă și seise ("val staționar", tipic pentru bazinele închise sau semiînchise). În nord-vestul și vestul Mării Negre, seisele au o durată care variază între câteva minute și 13 ore și amplitudini între câțiva centimetri și 2,0 m (Panin, 1999). Acesta este un fenomen specific coastei nordice a României, cu apariția de creșteri bruște ale nivelului mării, de până la circa 1,5 m, urmate de o ușoară scădere. Fenomenul se manifestă destul de rar, în perioada 1958-2005 înregistrându-se cinci astfel de evenimente, care au produs inundații în zona Sulinei. Semnele premergătoare seiselor sunt foarte reduse sau lipsesc complet, motiv pentru care aceste fenomene sunt imprevizibile.</w:t>
      </w:r>
    </w:p>
    <w:p w14:paraId="38EB0418" w14:textId="77777777" w:rsidR="00670FD4" w:rsidRDefault="00670FD4" w:rsidP="00670FD4">
      <w:pPr>
        <w:spacing w:before="0"/>
        <w:rPr>
          <w:rFonts w:eastAsia="Times New Roman" w:cs="Times New Roman"/>
          <w:b/>
        </w:rPr>
      </w:pPr>
      <w:r>
        <w:rPr>
          <w:rFonts w:eastAsia="Times New Roman" w:cs="Times New Roman"/>
          <w:b/>
          <w:i/>
          <w:color w:val="000000"/>
        </w:rPr>
        <w:t>Eroziunea costieră</w:t>
      </w:r>
    </w:p>
    <w:p w14:paraId="2B08E117" w14:textId="77777777" w:rsidR="00670FD4" w:rsidRDefault="00670FD4" w:rsidP="00670FD4">
      <w:pPr>
        <w:spacing w:before="0" w:line="257" w:lineRule="auto"/>
        <w:ind w:firstLine="567"/>
        <w:rPr>
          <w:rFonts w:eastAsia="Times New Roman" w:cs="Times New Roman"/>
          <w:color w:val="000000"/>
        </w:rPr>
      </w:pPr>
      <w:r>
        <w:rPr>
          <w:rFonts w:eastAsia="Times New Roman" w:cs="Times New Roman"/>
          <w:color w:val="000000"/>
        </w:rPr>
        <w:t xml:space="preserve">În ciuda recentelor lucrări de protecție contra eroziunii, eroziunea costieră încă reprezintă o problemă importantă de-a lungul litoralului românesc al Mării Negre. </w:t>
      </w:r>
    </w:p>
    <w:p w14:paraId="0EAFF711" w14:textId="77777777" w:rsidR="00670FD4" w:rsidRDefault="00670FD4" w:rsidP="00670FD4">
      <w:pPr>
        <w:spacing w:before="0" w:line="257" w:lineRule="auto"/>
        <w:ind w:firstLine="567"/>
        <w:rPr>
          <w:rFonts w:eastAsia="Times New Roman" w:cs="Times New Roman"/>
          <w:color w:val="000000"/>
        </w:rPr>
      </w:pPr>
      <w:r>
        <w:rPr>
          <w:rFonts w:eastAsia="Times New Roman" w:cs="Times New Roman"/>
          <w:color w:val="000000"/>
        </w:rPr>
        <w:t xml:space="preserve">Fenomenul de eroziune la litoralul românesc al Mării Negre, datorat factorilor naturali, respectiv creșterea nivelului mării, acțiunea vânturilor, curenților, este amplificat de intervențiile antropice din trecut, precum construcția barajelor de la Porțile de Fier I și II ce au condus la reducerea masivă a debitului de sedimente transportat de Dunăre (până la aproximativ 40%), construcția și extinderea digurilor de protecție portuară, care blochează transportul sedimentelor de către curentul longitudinal pe litoralul românesc al Mării Negre (ex. digurile de la Sulina – blochează accesul spre sud al sedimentelor aduse în mare pe brațul Chilia, digul de la Capul Midia, care blochează transportul sedimentelor provenite în principal de pe brațul Sf. Gheorghe spre sud). </w:t>
      </w:r>
    </w:p>
    <w:p w14:paraId="0FA5F423" w14:textId="77777777" w:rsidR="00670FD4" w:rsidRDefault="00670FD4" w:rsidP="00670FD4">
      <w:pPr>
        <w:spacing w:before="0" w:line="257" w:lineRule="auto"/>
        <w:ind w:firstLine="567"/>
        <w:rPr>
          <w:rFonts w:eastAsia="Times New Roman" w:cs="Times New Roman"/>
          <w:color w:val="000000"/>
        </w:rPr>
      </w:pPr>
      <w:r>
        <w:rPr>
          <w:rFonts w:eastAsia="Times New Roman" w:cs="Times New Roman"/>
          <w:color w:val="000000"/>
        </w:rPr>
        <w:t xml:space="preserve">Administrația Națională Apele Române, prin Administrația Bazinală Dobrogea Litoral, a contractat în 2010 elaborarea MASTER PLANULUI “Protecția și reabilitarea zonei costiere”, având ca sursa de finanțare POS Mediu 2007-2013, iar în 2012 a fost definitivat și aprobat (CTE Interministerial) documentul final, acesta fiind considerat de statul român ca fiind document strategic privind dinamica și protecția liniei țărmului, aspect fundamental pentru statele maritime avansate. </w:t>
      </w:r>
    </w:p>
    <w:p w14:paraId="6C939597" w14:textId="77777777" w:rsidR="00670FD4" w:rsidRDefault="00670FD4" w:rsidP="00670FD4">
      <w:pPr>
        <w:spacing w:before="0" w:line="257" w:lineRule="auto"/>
        <w:ind w:firstLine="567"/>
        <w:rPr>
          <w:rFonts w:eastAsia="Times New Roman" w:cs="Times New Roman"/>
          <w:color w:val="000000"/>
        </w:rPr>
      </w:pPr>
      <w:r>
        <w:rPr>
          <w:rFonts w:eastAsia="Times New Roman" w:cs="Times New Roman"/>
          <w:color w:val="000000"/>
        </w:rPr>
        <w:t xml:space="preserve">În faza I de implementare a Master Planului a fost protejată o lungime de coastă de 7,3 km în zonele Mamaia Sud, Tomis Nord, Tomis Centru, Tomis Sud și Eforie Nord, iar în prezent este în implementare faza II, prin care se urmărește protejarea a 30,540 km și extinderea plajelor cu o suprafață totală de 226,16 ha. </w:t>
      </w:r>
    </w:p>
    <w:p w14:paraId="74DEA881" w14:textId="77777777" w:rsidR="00670FD4" w:rsidRDefault="00670FD4" w:rsidP="00670FD4">
      <w:pPr>
        <w:spacing w:before="0" w:line="257" w:lineRule="auto"/>
        <w:ind w:firstLine="567"/>
        <w:rPr>
          <w:rFonts w:eastAsia="Times New Roman" w:cs="Times New Roman"/>
          <w:color w:val="000000"/>
        </w:rPr>
      </w:pPr>
      <w:r>
        <w:rPr>
          <w:rFonts w:eastAsia="Times New Roman" w:cs="Times New Roman"/>
          <w:color w:val="000000"/>
        </w:rPr>
        <w:t xml:space="preserve">În momentul de față, zonele cu risc major la eroziunea din partea nordică a zonei costiere sunt Canalul Sondei-Câșla Vădanei, la sud de Câșla Vădanei, Zătoane-Perișor Nord (marea a erodat cordonul litoral care închidea lacul Zătonu Mare, transformându-l în lagună) și Portița-Periboina (marea avansează spre uscat, afectând cordonul litoral care mărginește Complexul Lagunar Razim-Sinoe). </w:t>
      </w:r>
    </w:p>
    <w:p w14:paraId="1CF35760" w14:textId="77777777" w:rsidR="00670FD4" w:rsidRDefault="00670FD4" w:rsidP="00670FD4">
      <w:pPr>
        <w:spacing w:before="0" w:line="257" w:lineRule="auto"/>
        <w:ind w:firstLine="567"/>
        <w:rPr>
          <w:rFonts w:eastAsia="Times New Roman" w:cs="Times New Roman"/>
          <w:color w:val="000000"/>
        </w:rPr>
      </w:pPr>
      <w:r>
        <w:rPr>
          <w:rFonts w:eastAsia="Times New Roman" w:cs="Times New Roman"/>
          <w:color w:val="000000"/>
        </w:rPr>
        <w:t>În sectorul sudic al zonei costiere, riscul major de eroziune este întâlnit în perimetrul Mamaia Nord (la nord de digurile “sparge-val”), zona Hotel Parc-Perla (Mamaia), sectorul Belona-Petromar (Eforie) și sectorul Costinești-2 Mai-Vama Veche, unde eroziunea costieră poate declanșa procese de prăbușire a falezei. Toate aceste sectoare cu risc de eroziune nu au fost încă supuse lucrărilor de protecție și reabilitare.</w:t>
      </w:r>
    </w:p>
    <w:p w14:paraId="3E6BB0C0" w14:textId="77777777" w:rsidR="00670FD4" w:rsidRDefault="00670FD4" w:rsidP="00670FD4">
      <w:pPr>
        <w:spacing w:before="0"/>
        <w:rPr>
          <w:rFonts w:eastAsia="Times New Roman" w:cs="Times New Roman"/>
          <w:b/>
        </w:rPr>
      </w:pPr>
      <w:r>
        <w:rPr>
          <w:rFonts w:eastAsia="Times New Roman" w:cs="Times New Roman"/>
          <w:b/>
          <w:i/>
          <w:color w:val="000000"/>
        </w:rPr>
        <w:lastRenderedPageBreak/>
        <w:t>Alunecări de teren și prăbușire de faleze</w:t>
      </w:r>
    </w:p>
    <w:p w14:paraId="44689C67" w14:textId="77777777" w:rsidR="00670FD4" w:rsidRDefault="00670FD4" w:rsidP="00670FD4">
      <w:pPr>
        <w:spacing w:before="0"/>
        <w:ind w:firstLine="567"/>
        <w:rPr>
          <w:rFonts w:eastAsia="Times New Roman" w:cs="Times New Roman"/>
        </w:rPr>
      </w:pPr>
      <w:r>
        <w:rPr>
          <w:rFonts w:eastAsia="Times New Roman" w:cs="Times New Roman"/>
          <w:color w:val="000000"/>
        </w:rPr>
        <w:t>Conform Legii nr. 575/14.11.2001 privind aprobarea Planului de amenajare a teritoriului naţional – Secţiunea a V-a – „Zone de risc natural”, potenţialul de producere a alunecărilor de teren în unităţile administrativ-teritoriale din zona de studiu este scăzut.</w:t>
      </w:r>
    </w:p>
    <w:p w14:paraId="7C44EF69" w14:textId="77777777" w:rsidR="00670FD4" w:rsidRDefault="00670FD4" w:rsidP="00670FD4">
      <w:pPr>
        <w:spacing w:before="0"/>
        <w:ind w:firstLine="567"/>
        <w:rPr>
          <w:rFonts w:eastAsia="Times New Roman" w:cs="Times New Roman"/>
          <w:color w:val="000000"/>
        </w:rPr>
      </w:pPr>
      <w:r>
        <w:rPr>
          <w:rFonts w:eastAsia="Times New Roman" w:cs="Times New Roman"/>
          <w:color w:val="000000"/>
        </w:rPr>
        <w:t xml:space="preserve">Prăbuşirile de faleze se manifestă pe sectorul sudic al litoralului Mării Negre, caracterizat de faleze înalte. Zone unde se manifestă prăbuşiri de faleză sunt, în prezent, sectorul Eforie-Tuzla și sectorul Costineşti Sud-2 Mai-Vama Veche. </w:t>
      </w:r>
    </w:p>
    <w:p w14:paraId="7BA180BC" w14:textId="77777777" w:rsidR="00670FD4" w:rsidRDefault="00670FD4" w:rsidP="00670FD4">
      <w:pPr>
        <w:spacing w:before="0"/>
        <w:ind w:firstLine="567"/>
        <w:rPr>
          <w:rFonts w:eastAsia="Times New Roman" w:cs="Times New Roman"/>
          <w:color w:val="000000"/>
        </w:rPr>
      </w:pPr>
      <w:r>
        <w:rPr>
          <w:rFonts w:eastAsia="Times New Roman" w:cs="Times New Roman"/>
          <w:color w:val="000000"/>
        </w:rPr>
        <w:t xml:space="preserve">Prin realizarea lucrărilor de protecție împotriva eroziunii costiere, în special lucrările de extindere a plajelor, s-a redus la minim riscul producerii acestor procese în sectorul Constanța-Faleză Nord și Eforie Nord, zone vulnerabile în trecutul nu foarte îndepărtat. Astfel, principala necesitate pentru reducerea acestui risc natural (amplificat de unele intervenții umane) o reprezintă extinderea acestor lucrărilor de protecție și la sectoarele de plajă cu risc major. </w:t>
      </w:r>
    </w:p>
    <w:p w14:paraId="7DD49438" w14:textId="77777777" w:rsidR="00670FD4" w:rsidRDefault="00670FD4" w:rsidP="00670FD4">
      <w:pPr>
        <w:spacing w:before="0"/>
        <w:ind w:firstLine="567"/>
        <w:rPr>
          <w:rFonts w:eastAsia="Times New Roman" w:cs="Times New Roman"/>
        </w:rPr>
      </w:pPr>
      <w:r>
        <w:rPr>
          <w:rFonts w:eastAsia="Times New Roman" w:cs="Times New Roman"/>
          <w:color w:val="000000"/>
        </w:rPr>
        <w:t>De asemenea, mai ales ca urmare a unor căderi de precipitaţii abundente, zona cuprinsă între Poarta 1 şi Poarta 6 Port Constanţa este supusă riscului producerii unor alunecări-prăbuşiri de teren cu implicaţii majore, în mod special asupra construcţiilor dispuse în imediata apropiere a incintei portului Constanța, din cartierul Faleza Sud B-dul 1 Mai, zona Gară, Str.Traian (Inspectoratul pentru Situații de Urgență „DOBROGEA”, 2018).</w:t>
      </w:r>
    </w:p>
    <w:p w14:paraId="5F472626" w14:textId="77777777" w:rsidR="00670FD4" w:rsidRDefault="00670FD4" w:rsidP="00670FD4">
      <w:pPr>
        <w:rPr>
          <w:rFonts w:eastAsia="Times New Roman" w:cs="Times New Roman"/>
          <w:sz w:val="28"/>
          <w:u w:val="single"/>
        </w:rPr>
      </w:pPr>
    </w:p>
    <w:p w14:paraId="478F58BF" w14:textId="77777777" w:rsidR="00670FD4" w:rsidRDefault="00670FD4" w:rsidP="00670FD4">
      <w:pPr>
        <w:pStyle w:val="Heading3"/>
      </w:pPr>
      <w:bookmarkStart w:id="121" w:name="_Toc150501473"/>
      <w:bookmarkStart w:id="122" w:name="_Toc171084860"/>
      <w:r>
        <w:t>2.5.2 Presiuni antropice</w:t>
      </w:r>
      <w:bookmarkEnd w:id="121"/>
      <w:bookmarkEnd w:id="122"/>
      <w:r>
        <w:t xml:space="preserve"> </w:t>
      </w:r>
    </w:p>
    <w:p w14:paraId="614C622A" w14:textId="77777777" w:rsidR="00670FD4" w:rsidRDefault="00670FD4" w:rsidP="00670FD4">
      <w:pPr>
        <w:pBdr>
          <w:top w:val="nil"/>
          <w:left w:val="nil"/>
          <w:bottom w:val="nil"/>
          <w:right w:val="nil"/>
          <w:between w:val="nil"/>
        </w:pBdr>
        <w:spacing w:after="200"/>
        <w:rPr>
          <w:rFonts w:eastAsia="Times New Roman" w:cs="Times New Roman"/>
          <w:b/>
          <w:i/>
        </w:rPr>
      </w:pPr>
      <w:r>
        <w:rPr>
          <w:rFonts w:eastAsia="Times New Roman" w:cs="Times New Roman"/>
          <w:b/>
          <w:i/>
        </w:rPr>
        <w:t>Introducerea de substanțe sintetice și non-sintetice în atmosferă, apă și soluri</w:t>
      </w:r>
    </w:p>
    <w:p w14:paraId="4A5EC9BD" w14:textId="77777777" w:rsidR="00670FD4" w:rsidRDefault="00670FD4" w:rsidP="00670FD4">
      <w:pPr>
        <w:pBdr>
          <w:top w:val="nil"/>
          <w:left w:val="nil"/>
          <w:bottom w:val="nil"/>
          <w:right w:val="nil"/>
          <w:between w:val="nil"/>
        </w:pBdr>
        <w:spacing w:before="0"/>
        <w:rPr>
          <w:rFonts w:eastAsia="Times New Roman" w:cs="Times New Roman"/>
          <w:i/>
        </w:rPr>
      </w:pPr>
      <w:r>
        <w:rPr>
          <w:rFonts w:eastAsia="Times New Roman" w:cs="Times New Roman"/>
          <w:i/>
        </w:rPr>
        <w:t>Aer (poluarea aerului)</w:t>
      </w:r>
    </w:p>
    <w:p w14:paraId="316E2164"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După origine, sursele de poluare a atmosferei se clasifică în surse naturale și surse antropice. Relevante în zona costieră sunt sursele antropice, acestea fiind împărțite în surse fixe (staționare) ce produc, de cele mai multe ori, o poluare limitată a atmosferei în jurul amplasamentului acestora, dar și la distanțe mari în cazul surselor de emisie foarte înalte și surse mobile, reprezentate prin mijloacele de transport rutiere, feroviare și navale. Sursele staționare sunt reprezentate de procese industriale și procese de combustie (obținere de energie, incinerare deșeuri, etc).</w:t>
      </w:r>
    </w:p>
    <w:p w14:paraId="6903C8FA" w14:textId="77777777" w:rsidR="00670FD4" w:rsidRDefault="00670FD4" w:rsidP="00670FD4">
      <w:pPr>
        <w:pBdr>
          <w:top w:val="nil"/>
          <w:left w:val="nil"/>
          <w:bottom w:val="nil"/>
          <w:right w:val="nil"/>
          <w:between w:val="nil"/>
        </w:pBdr>
        <w:spacing w:before="0"/>
        <w:rPr>
          <w:rFonts w:eastAsia="Times New Roman" w:cs="Times New Roman"/>
        </w:rPr>
      </w:pPr>
      <w:r>
        <w:rPr>
          <w:rFonts w:eastAsia="Times New Roman" w:cs="Times New Roman"/>
        </w:rPr>
        <w:t>Industrie</w:t>
      </w:r>
    </w:p>
    <w:p w14:paraId="5141FBE1"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Industria petrochimică, o posibilă sursă majoră, punctiformă, de emisii de poluanți în atmosferă, este reprezentată de Rafinăria Petromidia Năvodari și Uzina Petrochimică, situate în UAT Năvodari. Totuși, datorită investițiile majore și continue în modernizarea instalațiilor de recuperare a gazelor evacuate, nivelul emisiilor prezintă o tendință clară de descreștere (KMG International NV, 2021), fapt ce reiese și din datele prezentate în Tabel 2.5.2.1.</w:t>
      </w:r>
    </w:p>
    <w:p w14:paraId="6B68D781" w14:textId="77777777" w:rsidR="00670FD4" w:rsidRDefault="00670FD4" w:rsidP="00670FD4">
      <w:pPr>
        <w:jc w:val="center"/>
        <w:rPr>
          <w:b/>
          <w:color w:val="000000"/>
        </w:rPr>
      </w:pPr>
      <w:bookmarkStart w:id="123" w:name="_heading=h.1mrcu09" w:colFirst="0" w:colLast="0"/>
      <w:bookmarkEnd w:id="123"/>
    </w:p>
    <w:p w14:paraId="302057DD" w14:textId="77777777" w:rsidR="00670FD4" w:rsidRDefault="00670FD4" w:rsidP="00670FD4">
      <w:pPr>
        <w:spacing w:after="0" w:line="257" w:lineRule="auto"/>
        <w:jc w:val="center"/>
        <w:rPr>
          <w:rFonts w:eastAsia="Times New Roman" w:cs="Times New Roman"/>
        </w:rPr>
      </w:pPr>
      <w:r>
        <w:rPr>
          <w:rFonts w:eastAsia="Times New Roman" w:cs="Times New Roman"/>
          <w:b/>
          <w:color w:val="000000"/>
        </w:rPr>
        <w:t>Tabel 2.5.2.1 Emisiile de poluanți atmosferici provenite de la Rafinăria Petromidia și Uzina Petrochimică Năvodari, perioada 2019 – 2021 </w:t>
      </w:r>
    </w:p>
    <w:tbl>
      <w:tblPr>
        <w:tblW w:w="8188" w:type="dxa"/>
        <w:jc w:val="center"/>
        <w:tblLayout w:type="fixed"/>
        <w:tblLook w:val="0400" w:firstRow="0" w:lastRow="0" w:firstColumn="0" w:lastColumn="0" w:noHBand="0" w:noVBand="1"/>
      </w:tblPr>
      <w:tblGrid>
        <w:gridCol w:w="2791"/>
        <w:gridCol w:w="1613"/>
        <w:gridCol w:w="1254"/>
        <w:gridCol w:w="1369"/>
        <w:gridCol w:w="1161"/>
      </w:tblGrid>
      <w:tr w:rsidR="00670FD4" w14:paraId="33B25804" w14:textId="77777777" w:rsidTr="001925BA">
        <w:trPr>
          <w:trHeight w:val="420"/>
          <w:jc w:val="center"/>
        </w:trPr>
        <w:tc>
          <w:tcPr>
            <w:tcW w:w="2791" w:type="dxa"/>
            <w:tcBorders>
              <w:top w:val="single" w:sz="8" w:space="0" w:color="000000"/>
              <w:left w:val="single" w:sz="8" w:space="0" w:color="000000"/>
              <w:bottom w:val="single" w:sz="8" w:space="0" w:color="000000"/>
              <w:right w:val="single" w:sz="8" w:space="0" w:color="000000"/>
            </w:tcBorders>
            <w:shd w:val="clear" w:color="auto" w:fill="FFFFFF"/>
            <w:vAlign w:val="bottom"/>
          </w:tcPr>
          <w:p w14:paraId="63D7979E" w14:textId="77777777" w:rsidR="00670FD4" w:rsidRDefault="00670FD4" w:rsidP="001925BA">
            <w:pPr>
              <w:spacing w:before="0" w:after="0"/>
              <w:ind w:firstLine="0"/>
              <w:rPr>
                <w:rFonts w:eastAsia="Times New Roman" w:cs="Times New Roman"/>
                <w:sz w:val="20"/>
                <w:szCs w:val="20"/>
              </w:rPr>
            </w:pPr>
          </w:p>
        </w:tc>
        <w:tc>
          <w:tcPr>
            <w:tcW w:w="1613"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bottom"/>
          </w:tcPr>
          <w:p w14:paraId="60E07C89" w14:textId="77777777" w:rsidR="00670FD4" w:rsidRDefault="00670FD4" w:rsidP="001925BA">
            <w:pPr>
              <w:spacing w:before="0" w:after="0"/>
              <w:ind w:firstLine="0"/>
              <w:rPr>
                <w:rFonts w:eastAsia="Times New Roman" w:cs="Times New Roman"/>
                <w:sz w:val="20"/>
                <w:szCs w:val="20"/>
              </w:rPr>
            </w:pPr>
            <w:r>
              <w:rPr>
                <w:rFonts w:eastAsia="Times New Roman" w:cs="Times New Roman"/>
                <w:color w:val="000000"/>
                <w:sz w:val="20"/>
                <w:szCs w:val="20"/>
              </w:rPr>
              <w:t> </w:t>
            </w:r>
          </w:p>
        </w:tc>
        <w:tc>
          <w:tcPr>
            <w:tcW w:w="1254" w:type="dxa"/>
            <w:tcBorders>
              <w:top w:val="single" w:sz="8" w:space="0" w:color="000000"/>
              <w:left w:val="single" w:sz="8" w:space="0" w:color="000000"/>
              <w:bottom w:val="single" w:sz="8" w:space="0" w:color="000000"/>
              <w:right w:val="single" w:sz="8" w:space="0" w:color="000000"/>
            </w:tcBorders>
            <w:shd w:val="clear" w:color="auto" w:fill="FFFFFF"/>
            <w:vAlign w:val="bottom"/>
          </w:tcPr>
          <w:p w14:paraId="1F168271" w14:textId="77777777" w:rsidR="00670FD4" w:rsidRDefault="00670FD4" w:rsidP="001925BA">
            <w:pPr>
              <w:spacing w:before="0" w:after="0"/>
              <w:ind w:firstLine="14"/>
              <w:jc w:val="center"/>
              <w:rPr>
                <w:rFonts w:eastAsia="Times New Roman" w:cs="Times New Roman"/>
                <w:sz w:val="20"/>
                <w:szCs w:val="20"/>
              </w:rPr>
            </w:pPr>
            <w:r>
              <w:rPr>
                <w:rFonts w:eastAsia="Times New Roman" w:cs="Times New Roman"/>
                <w:b/>
                <w:color w:val="000000"/>
                <w:sz w:val="20"/>
                <w:szCs w:val="20"/>
              </w:rPr>
              <w:t>2019</w:t>
            </w:r>
          </w:p>
        </w:tc>
        <w:tc>
          <w:tcPr>
            <w:tcW w:w="1369" w:type="dxa"/>
            <w:tcBorders>
              <w:top w:val="single" w:sz="8" w:space="0" w:color="000000"/>
              <w:left w:val="single" w:sz="8" w:space="0" w:color="000000"/>
              <w:bottom w:val="single" w:sz="8" w:space="0" w:color="000000"/>
              <w:right w:val="single" w:sz="8" w:space="0" w:color="000000"/>
            </w:tcBorders>
            <w:shd w:val="clear" w:color="auto" w:fill="FFFFFF"/>
            <w:vAlign w:val="bottom"/>
          </w:tcPr>
          <w:p w14:paraId="3D96E764" w14:textId="77777777" w:rsidR="00670FD4" w:rsidRDefault="00670FD4" w:rsidP="001925BA">
            <w:pPr>
              <w:spacing w:before="0" w:after="0"/>
              <w:ind w:firstLine="36"/>
              <w:jc w:val="center"/>
              <w:rPr>
                <w:rFonts w:eastAsia="Times New Roman" w:cs="Times New Roman"/>
                <w:sz w:val="20"/>
                <w:szCs w:val="20"/>
              </w:rPr>
            </w:pPr>
            <w:r>
              <w:rPr>
                <w:rFonts w:eastAsia="Times New Roman" w:cs="Times New Roman"/>
                <w:b/>
                <w:color w:val="000000"/>
                <w:sz w:val="20"/>
                <w:szCs w:val="20"/>
              </w:rPr>
              <w:t>2020</w:t>
            </w:r>
          </w:p>
        </w:tc>
        <w:tc>
          <w:tcPr>
            <w:tcW w:w="1161" w:type="dxa"/>
            <w:tcBorders>
              <w:top w:val="single" w:sz="8" w:space="0" w:color="000000"/>
              <w:left w:val="single" w:sz="8" w:space="0" w:color="000000"/>
              <w:bottom w:val="single" w:sz="8" w:space="0" w:color="000000"/>
              <w:right w:val="single" w:sz="8" w:space="0" w:color="000000"/>
            </w:tcBorders>
            <w:shd w:val="clear" w:color="auto" w:fill="FFFFFF"/>
            <w:vAlign w:val="bottom"/>
          </w:tcPr>
          <w:p w14:paraId="6137C5F6" w14:textId="77777777" w:rsidR="00670FD4" w:rsidRDefault="00670FD4" w:rsidP="001925BA">
            <w:pPr>
              <w:spacing w:before="0" w:after="0"/>
              <w:ind w:firstLine="85"/>
              <w:jc w:val="center"/>
              <w:rPr>
                <w:rFonts w:eastAsia="Times New Roman" w:cs="Times New Roman"/>
                <w:sz w:val="20"/>
                <w:szCs w:val="20"/>
              </w:rPr>
            </w:pPr>
            <w:r>
              <w:rPr>
                <w:rFonts w:eastAsia="Times New Roman" w:cs="Times New Roman"/>
                <w:b/>
                <w:color w:val="000000"/>
                <w:sz w:val="20"/>
                <w:szCs w:val="20"/>
              </w:rPr>
              <w:t>2021</w:t>
            </w:r>
          </w:p>
        </w:tc>
      </w:tr>
      <w:tr w:rsidR="00670FD4" w14:paraId="448A8603" w14:textId="77777777" w:rsidTr="001925BA">
        <w:trPr>
          <w:trHeight w:val="390"/>
          <w:jc w:val="center"/>
        </w:trPr>
        <w:tc>
          <w:tcPr>
            <w:tcW w:w="2791" w:type="dxa"/>
            <w:vMerge w:val="restart"/>
            <w:tcBorders>
              <w:top w:val="single" w:sz="8" w:space="0" w:color="000000"/>
              <w:left w:val="single" w:sz="8" w:space="0" w:color="000000"/>
              <w:bottom w:val="single" w:sz="8" w:space="0" w:color="000000"/>
              <w:right w:val="single" w:sz="8" w:space="0" w:color="000000"/>
            </w:tcBorders>
            <w:shd w:val="clear" w:color="auto" w:fill="FFFFFF"/>
          </w:tcPr>
          <w:p w14:paraId="5BE76FA3" w14:textId="77777777" w:rsidR="00670FD4" w:rsidRDefault="00670FD4" w:rsidP="001925BA">
            <w:pPr>
              <w:spacing w:before="0" w:after="0"/>
              <w:ind w:firstLine="24"/>
              <w:rPr>
                <w:rFonts w:eastAsia="Times New Roman" w:cs="Times New Roman"/>
                <w:sz w:val="20"/>
                <w:szCs w:val="20"/>
              </w:rPr>
            </w:pPr>
            <w:r>
              <w:rPr>
                <w:rFonts w:eastAsia="Times New Roman" w:cs="Times New Roman"/>
                <w:color w:val="000000"/>
                <w:sz w:val="20"/>
                <w:szCs w:val="20"/>
              </w:rPr>
              <w:t>Tone oxizi de sulf (SO</w:t>
            </w:r>
            <w:r>
              <w:rPr>
                <w:rFonts w:eastAsia="Times New Roman" w:cs="Times New Roman"/>
                <w:color w:val="000000"/>
                <w:sz w:val="20"/>
                <w:szCs w:val="20"/>
                <w:vertAlign w:val="subscript"/>
              </w:rPr>
              <w:t>2</w:t>
            </w:r>
            <w:r>
              <w:rPr>
                <w:rFonts w:eastAsia="Times New Roman" w:cs="Times New Roman"/>
                <w:color w:val="000000"/>
                <w:sz w:val="20"/>
                <w:szCs w:val="20"/>
              </w:rPr>
              <w:t>)</w:t>
            </w:r>
          </w:p>
        </w:tc>
        <w:tc>
          <w:tcPr>
            <w:tcW w:w="1613" w:type="dxa"/>
            <w:tcBorders>
              <w:top w:val="single" w:sz="8" w:space="0" w:color="000000"/>
              <w:left w:val="single" w:sz="8" w:space="0" w:color="000000"/>
              <w:bottom w:val="single" w:sz="8" w:space="0" w:color="000000"/>
              <w:right w:val="single" w:sz="8" w:space="0" w:color="000000"/>
            </w:tcBorders>
            <w:shd w:val="clear" w:color="auto" w:fill="F2F2F2"/>
          </w:tcPr>
          <w:p w14:paraId="58B2A66A" w14:textId="77777777" w:rsidR="00670FD4" w:rsidRDefault="00670FD4" w:rsidP="001925BA">
            <w:pPr>
              <w:spacing w:before="0" w:after="0"/>
              <w:ind w:firstLine="68"/>
              <w:rPr>
                <w:rFonts w:eastAsia="Times New Roman" w:cs="Times New Roman"/>
                <w:sz w:val="20"/>
                <w:szCs w:val="20"/>
              </w:rPr>
            </w:pPr>
            <w:r>
              <w:rPr>
                <w:rFonts w:eastAsia="Times New Roman" w:cs="Times New Roman"/>
                <w:color w:val="000000"/>
                <w:sz w:val="20"/>
                <w:szCs w:val="20"/>
              </w:rPr>
              <w:t>Petromidia</w:t>
            </w:r>
          </w:p>
        </w:tc>
        <w:tc>
          <w:tcPr>
            <w:tcW w:w="1254"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58A7276B" w14:textId="77777777" w:rsidR="00670FD4" w:rsidRDefault="00670FD4" w:rsidP="001925BA">
            <w:pPr>
              <w:spacing w:before="0" w:after="0"/>
              <w:ind w:left="185" w:firstLine="14"/>
              <w:rPr>
                <w:rFonts w:eastAsia="Times New Roman" w:cs="Times New Roman"/>
                <w:sz w:val="20"/>
                <w:szCs w:val="20"/>
              </w:rPr>
            </w:pPr>
            <w:r>
              <w:rPr>
                <w:rFonts w:eastAsia="Times New Roman" w:cs="Times New Roman"/>
                <w:color w:val="000000"/>
                <w:sz w:val="20"/>
                <w:szCs w:val="20"/>
              </w:rPr>
              <w:t>282,10</w:t>
            </w:r>
          </w:p>
        </w:tc>
        <w:tc>
          <w:tcPr>
            <w:tcW w:w="1369"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1FA017D4" w14:textId="77777777" w:rsidR="00670FD4" w:rsidRDefault="00670FD4" w:rsidP="001925BA">
            <w:pPr>
              <w:spacing w:before="0" w:after="0"/>
              <w:ind w:left="69" w:firstLine="36"/>
              <w:rPr>
                <w:rFonts w:eastAsia="Times New Roman" w:cs="Times New Roman"/>
                <w:sz w:val="20"/>
                <w:szCs w:val="20"/>
              </w:rPr>
            </w:pPr>
            <w:r>
              <w:rPr>
                <w:rFonts w:eastAsia="Times New Roman" w:cs="Times New Roman"/>
                <w:color w:val="000000"/>
                <w:sz w:val="20"/>
                <w:szCs w:val="20"/>
              </w:rPr>
              <w:t>213,05</w:t>
            </w:r>
          </w:p>
        </w:tc>
        <w:tc>
          <w:tcPr>
            <w:tcW w:w="1161"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5BBEDF54" w14:textId="77777777" w:rsidR="00670FD4" w:rsidRDefault="00670FD4" w:rsidP="001925BA">
            <w:pPr>
              <w:spacing w:before="0" w:after="0"/>
              <w:ind w:left="117" w:firstLine="85"/>
              <w:rPr>
                <w:rFonts w:eastAsia="Times New Roman" w:cs="Times New Roman"/>
                <w:sz w:val="20"/>
                <w:szCs w:val="20"/>
              </w:rPr>
            </w:pPr>
            <w:r>
              <w:rPr>
                <w:rFonts w:eastAsia="Times New Roman" w:cs="Times New Roman"/>
                <w:color w:val="000000"/>
                <w:sz w:val="20"/>
                <w:szCs w:val="20"/>
              </w:rPr>
              <w:t>191,81</w:t>
            </w:r>
          </w:p>
        </w:tc>
      </w:tr>
      <w:tr w:rsidR="00670FD4" w14:paraId="72CE8C7B" w14:textId="77777777" w:rsidTr="001925BA">
        <w:trPr>
          <w:jc w:val="center"/>
        </w:trPr>
        <w:tc>
          <w:tcPr>
            <w:tcW w:w="2791" w:type="dxa"/>
            <w:vMerge/>
            <w:tcBorders>
              <w:top w:val="single" w:sz="8" w:space="0" w:color="000000"/>
              <w:left w:val="single" w:sz="8" w:space="0" w:color="000000"/>
              <w:bottom w:val="single" w:sz="8" w:space="0" w:color="000000"/>
              <w:right w:val="single" w:sz="8" w:space="0" w:color="000000"/>
            </w:tcBorders>
            <w:shd w:val="clear" w:color="auto" w:fill="FFFFFF"/>
          </w:tcPr>
          <w:p w14:paraId="1143FB88" w14:textId="77777777" w:rsidR="00670FD4" w:rsidRDefault="00670FD4" w:rsidP="001925BA">
            <w:pPr>
              <w:widowControl w:val="0"/>
              <w:pBdr>
                <w:top w:val="nil"/>
                <w:left w:val="nil"/>
                <w:bottom w:val="nil"/>
                <w:right w:val="nil"/>
                <w:between w:val="nil"/>
              </w:pBdr>
              <w:spacing w:before="0" w:after="0"/>
              <w:ind w:firstLine="24"/>
              <w:rPr>
                <w:rFonts w:eastAsia="Times New Roman" w:cs="Times New Roman"/>
                <w:sz w:val="20"/>
                <w:szCs w:val="20"/>
              </w:rPr>
            </w:pPr>
          </w:p>
        </w:tc>
        <w:tc>
          <w:tcPr>
            <w:tcW w:w="1613" w:type="dxa"/>
            <w:tcBorders>
              <w:top w:val="single" w:sz="8" w:space="0" w:color="000000"/>
              <w:left w:val="single" w:sz="8" w:space="0" w:color="000000"/>
              <w:bottom w:val="single" w:sz="8" w:space="0" w:color="000000"/>
              <w:right w:val="single" w:sz="8" w:space="0" w:color="000000"/>
            </w:tcBorders>
          </w:tcPr>
          <w:p w14:paraId="78154D18" w14:textId="77777777" w:rsidR="00670FD4" w:rsidRDefault="00670FD4" w:rsidP="001925BA">
            <w:pPr>
              <w:spacing w:before="0" w:after="0"/>
              <w:ind w:firstLine="68"/>
              <w:rPr>
                <w:rFonts w:eastAsia="Times New Roman" w:cs="Times New Roman"/>
                <w:sz w:val="20"/>
                <w:szCs w:val="20"/>
              </w:rPr>
            </w:pPr>
            <w:r>
              <w:rPr>
                <w:rFonts w:eastAsia="Times New Roman" w:cs="Times New Roman"/>
                <w:color w:val="000000"/>
                <w:sz w:val="20"/>
                <w:szCs w:val="20"/>
              </w:rPr>
              <w:t>Uzina Petrochimică</w:t>
            </w:r>
          </w:p>
        </w:tc>
        <w:tc>
          <w:tcPr>
            <w:tcW w:w="1254" w:type="dxa"/>
            <w:tcBorders>
              <w:top w:val="single" w:sz="8" w:space="0" w:color="000000"/>
              <w:left w:val="single" w:sz="8" w:space="0" w:color="000000"/>
              <w:bottom w:val="single" w:sz="8" w:space="0" w:color="000000"/>
              <w:right w:val="single" w:sz="8" w:space="0" w:color="000000"/>
            </w:tcBorders>
            <w:vAlign w:val="bottom"/>
          </w:tcPr>
          <w:p w14:paraId="643B96DD" w14:textId="77777777" w:rsidR="00670FD4" w:rsidRDefault="00670FD4" w:rsidP="001925BA">
            <w:pPr>
              <w:spacing w:before="0" w:after="0"/>
              <w:ind w:left="185" w:firstLine="14"/>
              <w:rPr>
                <w:rFonts w:eastAsia="Times New Roman" w:cs="Times New Roman"/>
                <w:sz w:val="20"/>
                <w:szCs w:val="20"/>
              </w:rPr>
            </w:pPr>
            <w:r>
              <w:rPr>
                <w:rFonts w:eastAsia="Times New Roman" w:cs="Times New Roman"/>
                <w:color w:val="000000"/>
                <w:sz w:val="20"/>
                <w:szCs w:val="20"/>
              </w:rPr>
              <w:t>0,47</w:t>
            </w:r>
          </w:p>
        </w:tc>
        <w:tc>
          <w:tcPr>
            <w:tcW w:w="1369" w:type="dxa"/>
            <w:tcBorders>
              <w:top w:val="single" w:sz="8" w:space="0" w:color="000000"/>
              <w:left w:val="single" w:sz="8" w:space="0" w:color="000000"/>
              <w:bottom w:val="single" w:sz="8" w:space="0" w:color="000000"/>
              <w:right w:val="single" w:sz="8" w:space="0" w:color="000000"/>
            </w:tcBorders>
            <w:vAlign w:val="bottom"/>
          </w:tcPr>
          <w:p w14:paraId="5D1793F2" w14:textId="77777777" w:rsidR="00670FD4" w:rsidRDefault="00670FD4" w:rsidP="001925BA">
            <w:pPr>
              <w:spacing w:before="0" w:after="0"/>
              <w:ind w:left="69" w:firstLine="36"/>
              <w:rPr>
                <w:rFonts w:eastAsia="Times New Roman" w:cs="Times New Roman"/>
                <w:sz w:val="20"/>
                <w:szCs w:val="20"/>
              </w:rPr>
            </w:pPr>
            <w:r>
              <w:rPr>
                <w:rFonts w:eastAsia="Times New Roman" w:cs="Times New Roman"/>
                <w:color w:val="000000"/>
                <w:sz w:val="20"/>
                <w:szCs w:val="20"/>
              </w:rPr>
              <w:t>0,2</w:t>
            </w:r>
          </w:p>
        </w:tc>
        <w:tc>
          <w:tcPr>
            <w:tcW w:w="1161" w:type="dxa"/>
            <w:tcBorders>
              <w:top w:val="single" w:sz="8" w:space="0" w:color="000000"/>
              <w:left w:val="single" w:sz="8" w:space="0" w:color="000000"/>
              <w:bottom w:val="single" w:sz="8" w:space="0" w:color="000000"/>
              <w:right w:val="single" w:sz="8" w:space="0" w:color="000000"/>
            </w:tcBorders>
            <w:vAlign w:val="bottom"/>
          </w:tcPr>
          <w:p w14:paraId="6C9387D3" w14:textId="77777777" w:rsidR="00670FD4" w:rsidRDefault="00670FD4" w:rsidP="001925BA">
            <w:pPr>
              <w:spacing w:before="0" w:after="0"/>
              <w:ind w:left="117" w:firstLine="85"/>
              <w:rPr>
                <w:rFonts w:eastAsia="Times New Roman" w:cs="Times New Roman"/>
                <w:sz w:val="20"/>
                <w:szCs w:val="20"/>
              </w:rPr>
            </w:pPr>
            <w:r>
              <w:rPr>
                <w:rFonts w:eastAsia="Times New Roman" w:cs="Times New Roman"/>
                <w:color w:val="000000"/>
                <w:sz w:val="20"/>
                <w:szCs w:val="20"/>
              </w:rPr>
              <w:t>0,15</w:t>
            </w:r>
          </w:p>
        </w:tc>
      </w:tr>
      <w:tr w:rsidR="00670FD4" w14:paraId="6957BCA3" w14:textId="77777777" w:rsidTr="001925BA">
        <w:trPr>
          <w:trHeight w:val="294"/>
          <w:jc w:val="center"/>
        </w:trPr>
        <w:tc>
          <w:tcPr>
            <w:tcW w:w="2791" w:type="dxa"/>
            <w:vMerge w:val="restart"/>
            <w:tcBorders>
              <w:top w:val="single" w:sz="8" w:space="0" w:color="000000"/>
              <w:left w:val="single" w:sz="8" w:space="0" w:color="000000"/>
              <w:bottom w:val="single" w:sz="8" w:space="0" w:color="000000"/>
              <w:right w:val="single" w:sz="8" w:space="0" w:color="000000"/>
            </w:tcBorders>
            <w:shd w:val="clear" w:color="auto" w:fill="FFFFFF"/>
          </w:tcPr>
          <w:p w14:paraId="78F03AFF" w14:textId="77777777" w:rsidR="00670FD4" w:rsidRDefault="00670FD4" w:rsidP="001925BA">
            <w:pPr>
              <w:spacing w:before="0" w:after="0"/>
              <w:ind w:firstLine="24"/>
              <w:rPr>
                <w:rFonts w:eastAsia="Times New Roman" w:cs="Times New Roman"/>
                <w:sz w:val="20"/>
                <w:szCs w:val="20"/>
              </w:rPr>
            </w:pPr>
            <w:r>
              <w:rPr>
                <w:rFonts w:eastAsia="Times New Roman" w:cs="Times New Roman"/>
                <w:color w:val="000000"/>
                <w:sz w:val="20"/>
                <w:szCs w:val="20"/>
              </w:rPr>
              <w:t>Tone oxizi de azot (N</w:t>
            </w:r>
            <w:r>
              <w:rPr>
                <w:rFonts w:eastAsia="Times New Roman" w:cs="Times New Roman"/>
                <w:color w:val="000000"/>
                <w:sz w:val="20"/>
                <w:szCs w:val="20"/>
                <w:vertAlign w:val="subscript"/>
              </w:rPr>
              <w:t>2</w:t>
            </w:r>
            <w:r>
              <w:rPr>
                <w:rFonts w:eastAsia="Times New Roman" w:cs="Times New Roman"/>
                <w:color w:val="000000"/>
                <w:sz w:val="20"/>
                <w:szCs w:val="20"/>
              </w:rPr>
              <w:t>O)</w:t>
            </w:r>
          </w:p>
        </w:tc>
        <w:tc>
          <w:tcPr>
            <w:tcW w:w="1613" w:type="dxa"/>
            <w:tcBorders>
              <w:top w:val="single" w:sz="8" w:space="0" w:color="000000"/>
              <w:left w:val="single" w:sz="8" w:space="0" w:color="000000"/>
              <w:bottom w:val="single" w:sz="8" w:space="0" w:color="000000"/>
              <w:right w:val="single" w:sz="8" w:space="0" w:color="000000"/>
            </w:tcBorders>
            <w:shd w:val="clear" w:color="auto" w:fill="F2F2F2"/>
          </w:tcPr>
          <w:p w14:paraId="331453A1" w14:textId="77777777" w:rsidR="00670FD4" w:rsidRDefault="00670FD4" w:rsidP="001925BA">
            <w:pPr>
              <w:spacing w:before="0" w:after="0"/>
              <w:ind w:firstLine="68"/>
              <w:rPr>
                <w:rFonts w:eastAsia="Times New Roman" w:cs="Times New Roman"/>
                <w:sz w:val="20"/>
                <w:szCs w:val="20"/>
              </w:rPr>
            </w:pPr>
            <w:r>
              <w:rPr>
                <w:rFonts w:eastAsia="Times New Roman" w:cs="Times New Roman"/>
                <w:color w:val="000000"/>
                <w:sz w:val="20"/>
                <w:szCs w:val="20"/>
              </w:rPr>
              <w:t>Petromidia</w:t>
            </w:r>
          </w:p>
        </w:tc>
        <w:tc>
          <w:tcPr>
            <w:tcW w:w="1254"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2DD91F3B" w14:textId="77777777" w:rsidR="00670FD4" w:rsidRDefault="00670FD4" w:rsidP="001925BA">
            <w:pPr>
              <w:spacing w:before="0" w:after="0"/>
              <w:ind w:left="185" w:firstLine="14"/>
              <w:rPr>
                <w:rFonts w:eastAsia="Times New Roman" w:cs="Times New Roman"/>
                <w:sz w:val="20"/>
                <w:szCs w:val="20"/>
              </w:rPr>
            </w:pPr>
            <w:r>
              <w:rPr>
                <w:rFonts w:eastAsia="Times New Roman" w:cs="Times New Roman"/>
                <w:color w:val="000000"/>
                <w:sz w:val="20"/>
                <w:szCs w:val="20"/>
              </w:rPr>
              <w:t>431,45</w:t>
            </w:r>
          </w:p>
        </w:tc>
        <w:tc>
          <w:tcPr>
            <w:tcW w:w="1369"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7D8FE8CE" w14:textId="77777777" w:rsidR="00670FD4" w:rsidRDefault="00670FD4" w:rsidP="001925BA">
            <w:pPr>
              <w:spacing w:before="0" w:after="0"/>
              <w:ind w:left="69" w:firstLine="36"/>
              <w:rPr>
                <w:rFonts w:eastAsia="Times New Roman" w:cs="Times New Roman"/>
                <w:sz w:val="20"/>
                <w:szCs w:val="20"/>
              </w:rPr>
            </w:pPr>
            <w:r>
              <w:rPr>
                <w:rFonts w:eastAsia="Times New Roman" w:cs="Times New Roman"/>
                <w:color w:val="000000"/>
                <w:sz w:val="20"/>
                <w:szCs w:val="20"/>
              </w:rPr>
              <w:t>320,68</w:t>
            </w:r>
          </w:p>
        </w:tc>
        <w:tc>
          <w:tcPr>
            <w:tcW w:w="1161"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14E326E4" w14:textId="77777777" w:rsidR="00670FD4" w:rsidRDefault="00670FD4" w:rsidP="001925BA">
            <w:pPr>
              <w:spacing w:before="0" w:after="0"/>
              <w:ind w:left="117" w:firstLine="85"/>
              <w:rPr>
                <w:rFonts w:eastAsia="Times New Roman" w:cs="Times New Roman"/>
                <w:sz w:val="20"/>
                <w:szCs w:val="20"/>
              </w:rPr>
            </w:pPr>
            <w:r>
              <w:rPr>
                <w:rFonts w:eastAsia="Times New Roman" w:cs="Times New Roman"/>
                <w:color w:val="000000"/>
                <w:sz w:val="20"/>
                <w:szCs w:val="20"/>
              </w:rPr>
              <w:t>291,55</w:t>
            </w:r>
          </w:p>
        </w:tc>
      </w:tr>
      <w:tr w:rsidR="00670FD4" w14:paraId="2D93DD89" w14:textId="77777777" w:rsidTr="001925BA">
        <w:trPr>
          <w:trHeight w:val="354"/>
          <w:jc w:val="center"/>
        </w:trPr>
        <w:tc>
          <w:tcPr>
            <w:tcW w:w="2791" w:type="dxa"/>
            <w:vMerge/>
            <w:tcBorders>
              <w:top w:val="single" w:sz="8" w:space="0" w:color="000000"/>
              <w:left w:val="single" w:sz="8" w:space="0" w:color="000000"/>
              <w:bottom w:val="single" w:sz="8" w:space="0" w:color="000000"/>
              <w:right w:val="single" w:sz="8" w:space="0" w:color="000000"/>
            </w:tcBorders>
            <w:shd w:val="clear" w:color="auto" w:fill="FFFFFF"/>
          </w:tcPr>
          <w:p w14:paraId="65ECA1D0" w14:textId="77777777" w:rsidR="00670FD4" w:rsidRDefault="00670FD4" w:rsidP="001925BA">
            <w:pPr>
              <w:widowControl w:val="0"/>
              <w:pBdr>
                <w:top w:val="nil"/>
                <w:left w:val="nil"/>
                <w:bottom w:val="nil"/>
                <w:right w:val="nil"/>
                <w:between w:val="nil"/>
              </w:pBdr>
              <w:spacing w:before="0" w:after="0"/>
              <w:ind w:firstLine="24"/>
              <w:rPr>
                <w:rFonts w:eastAsia="Times New Roman" w:cs="Times New Roman"/>
                <w:sz w:val="20"/>
                <w:szCs w:val="20"/>
              </w:rPr>
            </w:pPr>
          </w:p>
        </w:tc>
        <w:tc>
          <w:tcPr>
            <w:tcW w:w="1613" w:type="dxa"/>
            <w:tcBorders>
              <w:top w:val="single" w:sz="8" w:space="0" w:color="000000"/>
              <w:left w:val="single" w:sz="8" w:space="0" w:color="000000"/>
              <w:bottom w:val="single" w:sz="8" w:space="0" w:color="000000"/>
              <w:right w:val="single" w:sz="8" w:space="0" w:color="000000"/>
            </w:tcBorders>
          </w:tcPr>
          <w:p w14:paraId="42089848" w14:textId="77777777" w:rsidR="00670FD4" w:rsidRDefault="00670FD4" w:rsidP="001925BA">
            <w:pPr>
              <w:spacing w:before="0" w:after="0"/>
              <w:ind w:firstLine="68"/>
              <w:rPr>
                <w:rFonts w:eastAsia="Times New Roman" w:cs="Times New Roman"/>
                <w:sz w:val="20"/>
                <w:szCs w:val="20"/>
              </w:rPr>
            </w:pPr>
            <w:r>
              <w:rPr>
                <w:rFonts w:eastAsia="Times New Roman" w:cs="Times New Roman"/>
                <w:color w:val="000000"/>
                <w:sz w:val="20"/>
                <w:szCs w:val="20"/>
              </w:rPr>
              <w:t>Uzina Petrochimică</w:t>
            </w:r>
          </w:p>
        </w:tc>
        <w:tc>
          <w:tcPr>
            <w:tcW w:w="1254" w:type="dxa"/>
            <w:tcBorders>
              <w:top w:val="single" w:sz="8" w:space="0" w:color="000000"/>
              <w:left w:val="single" w:sz="8" w:space="0" w:color="000000"/>
              <w:bottom w:val="single" w:sz="8" w:space="0" w:color="000000"/>
              <w:right w:val="single" w:sz="8" w:space="0" w:color="000000"/>
            </w:tcBorders>
            <w:vAlign w:val="bottom"/>
          </w:tcPr>
          <w:p w14:paraId="5EC6D553" w14:textId="77777777" w:rsidR="00670FD4" w:rsidRDefault="00670FD4" w:rsidP="001925BA">
            <w:pPr>
              <w:spacing w:before="0" w:after="0"/>
              <w:ind w:left="185" w:firstLine="14"/>
              <w:rPr>
                <w:rFonts w:eastAsia="Times New Roman" w:cs="Times New Roman"/>
                <w:sz w:val="20"/>
                <w:szCs w:val="20"/>
              </w:rPr>
            </w:pPr>
            <w:r>
              <w:rPr>
                <w:rFonts w:eastAsia="Times New Roman" w:cs="Times New Roman"/>
                <w:color w:val="000000"/>
                <w:sz w:val="20"/>
                <w:szCs w:val="20"/>
              </w:rPr>
              <w:t>70,91</w:t>
            </w:r>
          </w:p>
        </w:tc>
        <w:tc>
          <w:tcPr>
            <w:tcW w:w="1369" w:type="dxa"/>
            <w:tcBorders>
              <w:top w:val="single" w:sz="8" w:space="0" w:color="000000"/>
              <w:left w:val="single" w:sz="8" w:space="0" w:color="000000"/>
              <w:bottom w:val="single" w:sz="8" w:space="0" w:color="000000"/>
              <w:right w:val="single" w:sz="8" w:space="0" w:color="000000"/>
            </w:tcBorders>
            <w:vAlign w:val="bottom"/>
          </w:tcPr>
          <w:p w14:paraId="0CF2C2D2" w14:textId="77777777" w:rsidR="00670FD4" w:rsidRDefault="00670FD4" w:rsidP="001925BA">
            <w:pPr>
              <w:spacing w:before="0" w:after="0"/>
              <w:ind w:left="69" w:firstLine="36"/>
              <w:rPr>
                <w:rFonts w:eastAsia="Times New Roman" w:cs="Times New Roman"/>
                <w:sz w:val="20"/>
                <w:szCs w:val="20"/>
              </w:rPr>
            </w:pPr>
            <w:r>
              <w:rPr>
                <w:rFonts w:eastAsia="Times New Roman" w:cs="Times New Roman"/>
                <w:color w:val="000000"/>
                <w:sz w:val="20"/>
                <w:szCs w:val="20"/>
              </w:rPr>
              <w:t>67,60</w:t>
            </w:r>
          </w:p>
        </w:tc>
        <w:tc>
          <w:tcPr>
            <w:tcW w:w="1161" w:type="dxa"/>
            <w:tcBorders>
              <w:top w:val="single" w:sz="8" w:space="0" w:color="000000"/>
              <w:left w:val="single" w:sz="8" w:space="0" w:color="000000"/>
              <w:bottom w:val="single" w:sz="8" w:space="0" w:color="000000"/>
              <w:right w:val="single" w:sz="8" w:space="0" w:color="000000"/>
            </w:tcBorders>
            <w:vAlign w:val="bottom"/>
          </w:tcPr>
          <w:p w14:paraId="5828BAD2" w14:textId="77777777" w:rsidR="00670FD4" w:rsidRDefault="00670FD4" w:rsidP="001925BA">
            <w:pPr>
              <w:spacing w:before="0" w:after="0"/>
              <w:ind w:left="117" w:firstLine="85"/>
              <w:rPr>
                <w:rFonts w:eastAsia="Times New Roman" w:cs="Times New Roman"/>
                <w:sz w:val="20"/>
                <w:szCs w:val="20"/>
              </w:rPr>
            </w:pPr>
            <w:r>
              <w:rPr>
                <w:rFonts w:eastAsia="Times New Roman" w:cs="Times New Roman"/>
                <w:color w:val="000000"/>
                <w:sz w:val="20"/>
                <w:szCs w:val="20"/>
              </w:rPr>
              <w:t>54,03</w:t>
            </w:r>
          </w:p>
        </w:tc>
      </w:tr>
      <w:tr w:rsidR="00670FD4" w14:paraId="4AA211E0" w14:textId="77777777" w:rsidTr="001925BA">
        <w:trPr>
          <w:trHeight w:val="399"/>
          <w:jc w:val="center"/>
        </w:trPr>
        <w:tc>
          <w:tcPr>
            <w:tcW w:w="2791" w:type="dxa"/>
            <w:vMerge w:val="restart"/>
            <w:tcBorders>
              <w:top w:val="single" w:sz="8" w:space="0" w:color="000000"/>
              <w:left w:val="single" w:sz="8" w:space="0" w:color="000000"/>
              <w:bottom w:val="single" w:sz="8" w:space="0" w:color="000000"/>
              <w:right w:val="single" w:sz="8" w:space="0" w:color="000000"/>
            </w:tcBorders>
            <w:shd w:val="clear" w:color="auto" w:fill="FFFFFF"/>
          </w:tcPr>
          <w:p w14:paraId="1CA6A30B" w14:textId="77777777" w:rsidR="00670FD4" w:rsidRDefault="00670FD4" w:rsidP="001925BA">
            <w:pPr>
              <w:spacing w:before="0" w:after="0"/>
              <w:ind w:firstLine="24"/>
              <w:rPr>
                <w:rFonts w:eastAsia="Times New Roman" w:cs="Times New Roman"/>
                <w:sz w:val="20"/>
                <w:szCs w:val="20"/>
              </w:rPr>
            </w:pPr>
            <w:r>
              <w:rPr>
                <w:rFonts w:eastAsia="Times New Roman" w:cs="Times New Roman"/>
                <w:color w:val="000000"/>
                <w:sz w:val="20"/>
                <w:szCs w:val="20"/>
              </w:rPr>
              <w:t>Tone de pulberi în suspensie (PM)</w:t>
            </w:r>
          </w:p>
        </w:tc>
        <w:tc>
          <w:tcPr>
            <w:tcW w:w="1613" w:type="dxa"/>
            <w:tcBorders>
              <w:top w:val="single" w:sz="8" w:space="0" w:color="000000"/>
              <w:left w:val="single" w:sz="8" w:space="0" w:color="000000"/>
              <w:bottom w:val="single" w:sz="8" w:space="0" w:color="000000"/>
              <w:right w:val="single" w:sz="8" w:space="0" w:color="000000"/>
            </w:tcBorders>
            <w:shd w:val="clear" w:color="auto" w:fill="F2F2F2"/>
          </w:tcPr>
          <w:p w14:paraId="3FC9A168" w14:textId="77777777" w:rsidR="00670FD4" w:rsidRDefault="00670FD4" w:rsidP="001925BA">
            <w:pPr>
              <w:spacing w:before="0" w:after="0"/>
              <w:ind w:firstLine="68"/>
              <w:rPr>
                <w:rFonts w:eastAsia="Times New Roman" w:cs="Times New Roman"/>
                <w:sz w:val="20"/>
                <w:szCs w:val="20"/>
              </w:rPr>
            </w:pPr>
            <w:r>
              <w:rPr>
                <w:rFonts w:eastAsia="Times New Roman" w:cs="Times New Roman"/>
                <w:color w:val="000000"/>
                <w:sz w:val="20"/>
                <w:szCs w:val="20"/>
              </w:rPr>
              <w:t>Petromidia</w:t>
            </w:r>
          </w:p>
        </w:tc>
        <w:tc>
          <w:tcPr>
            <w:tcW w:w="1254"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3541E667" w14:textId="77777777" w:rsidR="00670FD4" w:rsidRDefault="00670FD4" w:rsidP="001925BA">
            <w:pPr>
              <w:spacing w:before="0" w:after="0"/>
              <w:ind w:left="185" w:firstLine="14"/>
              <w:rPr>
                <w:rFonts w:eastAsia="Times New Roman" w:cs="Times New Roman"/>
                <w:sz w:val="20"/>
                <w:szCs w:val="20"/>
              </w:rPr>
            </w:pPr>
            <w:r>
              <w:rPr>
                <w:rFonts w:eastAsia="Times New Roman" w:cs="Times New Roman"/>
                <w:color w:val="000000"/>
                <w:sz w:val="20"/>
                <w:szCs w:val="20"/>
              </w:rPr>
              <w:t>24,51</w:t>
            </w:r>
          </w:p>
        </w:tc>
        <w:tc>
          <w:tcPr>
            <w:tcW w:w="1369"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3C30CC2B" w14:textId="77777777" w:rsidR="00670FD4" w:rsidRDefault="00670FD4" w:rsidP="001925BA">
            <w:pPr>
              <w:spacing w:before="0" w:after="0"/>
              <w:ind w:left="69" w:firstLine="36"/>
              <w:rPr>
                <w:rFonts w:eastAsia="Times New Roman" w:cs="Times New Roman"/>
                <w:sz w:val="20"/>
                <w:szCs w:val="20"/>
              </w:rPr>
            </w:pPr>
            <w:r>
              <w:rPr>
                <w:rFonts w:eastAsia="Times New Roman" w:cs="Times New Roman"/>
                <w:color w:val="000000"/>
                <w:sz w:val="20"/>
                <w:szCs w:val="20"/>
              </w:rPr>
              <w:t>18,73</w:t>
            </w:r>
          </w:p>
        </w:tc>
        <w:tc>
          <w:tcPr>
            <w:tcW w:w="1161"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371563CA" w14:textId="77777777" w:rsidR="00670FD4" w:rsidRDefault="00670FD4" w:rsidP="001925BA">
            <w:pPr>
              <w:spacing w:before="0" w:after="0"/>
              <w:ind w:left="117" w:firstLine="85"/>
              <w:rPr>
                <w:rFonts w:eastAsia="Times New Roman" w:cs="Times New Roman"/>
                <w:sz w:val="20"/>
                <w:szCs w:val="20"/>
              </w:rPr>
            </w:pPr>
            <w:r>
              <w:rPr>
                <w:rFonts w:eastAsia="Times New Roman" w:cs="Times New Roman"/>
                <w:color w:val="000000"/>
                <w:sz w:val="20"/>
                <w:szCs w:val="20"/>
              </w:rPr>
              <w:t>16,83</w:t>
            </w:r>
          </w:p>
        </w:tc>
      </w:tr>
      <w:tr w:rsidR="00670FD4" w14:paraId="3C9EFADB" w14:textId="77777777" w:rsidTr="001925BA">
        <w:trPr>
          <w:jc w:val="center"/>
        </w:trPr>
        <w:tc>
          <w:tcPr>
            <w:tcW w:w="2791" w:type="dxa"/>
            <w:vMerge/>
            <w:tcBorders>
              <w:top w:val="single" w:sz="8" w:space="0" w:color="000000"/>
              <w:left w:val="single" w:sz="8" w:space="0" w:color="000000"/>
              <w:bottom w:val="single" w:sz="8" w:space="0" w:color="000000"/>
              <w:right w:val="single" w:sz="8" w:space="0" w:color="000000"/>
            </w:tcBorders>
            <w:shd w:val="clear" w:color="auto" w:fill="FFFFFF"/>
          </w:tcPr>
          <w:p w14:paraId="4694A1E1" w14:textId="77777777" w:rsidR="00670FD4" w:rsidRDefault="00670FD4" w:rsidP="001925BA">
            <w:pPr>
              <w:widowControl w:val="0"/>
              <w:pBdr>
                <w:top w:val="nil"/>
                <w:left w:val="nil"/>
                <w:bottom w:val="nil"/>
                <w:right w:val="nil"/>
                <w:between w:val="nil"/>
              </w:pBdr>
              <w:spacing w:before="0" w:after="0"/>
              <w:ind w:firstLine="24"/>
              <w:rPr>
                <w:rFonts w:eastAsia="Times New Roman" w:cs="Times New Roman"/>
                <w:sz w:val="20"/>
                <w:szCs w:val="20"/>
              </w:rPr>
            </w:pPr>
          </w:p>
        </w:tc>
        <w:tc>
          <w:tcPr>
            <w:tcW w:w="1613" w:type="dxa"/>
            <w:tcBorders>
              <w:top w:val="single" w:sz="8" w:space="0" w:color="000000"/>
              <w:left w:val="single" w:sz="8" w:space="0" w:color="000000"/>
              <w:bottom w:val="single" w:sz="8" w:space="0" w:color="000000"/>
              <w:right w:val="single" w:sz="8" w:space="0" w:color="000000"/>
            </w:tcBorders>
          </w:tcPr>
          <w:p w14:paraId="4F1316F8" w14:textId="77777777" w:rsidR="00670FD4" w:rsidRDefault="00670FD4" w:rsidP="001925BA">
            <w:pPr>
              <w:spacing w:before="0" w:after="0"/>
              <w:ind w:firstLine="68"/>
              <w:rPr>
                <w:rFonts w:eastAsia="Times New Roman" w:cs="Times New Roman"/>
                <w:sz w:val="20"/>
                <w:szCs w:val="20"/>
              </w:rPr>
            </w:pPr>
            <w:r>
              <w:rPr>
                <w:rFonts w:eastAsia="Times New Roman" w:cs="Times New Roman"/>
                <w:color w:val="000000"/>
                <w:sz w:val="20"/>
                <w:szCs w:val="20"/>
              </w:rPr>
              <w:t>Uzina Petrochimică</w:t>
            </w:r>
          </w:p>
        </w:tc>
        <w:tc>
          <w:tcPr>
            <w:tcW w:w="1254" w:type="dxa"/>
            <w:tcBorders>
              <w:top w:val="single" w:sz="8" w:space="0" w:color="000000"/>
              <w:left w:val="single" w:sz="8" w:space="0" w:color="000000"/>
              <w:bottom w:val="single" w:sz="8" w:space="0" w:color="000000"/>
              <w:right w:val="single" w:sz="8" w:space="0" w:color="000000"/>
            </w:tcBorders>
            <w:vAlign w:val="bottom"/>
          </w:tcPr>
          <w:p w14:paraId="2A6506F4" w14:textId="77777777" w:rsidR="00670FD4" w:rsidRDefault="00670FD4" w:rsidP="001925BA">
            <w:pPr>
              <w:spacing w:before="0" w:after="0"/>
              <w:ind w:left="185" w:firstLine="14"/>
              <w:rPr>
                <w:rFonts w:eastAsia="Times New Roman" w:cs="Times New Roman"/>
                <w:sz w:val="20"/>
                <w:szCs w:val="20"/>
              </w:rPr>
            </w:pPr>
            <w:r>
              <w:rPr>
                <w:rFonts w:eastAsia="Times New Roman" w:cs="Times New Roman"/>
                <w:color w:val="000000"/>
                <w:sz w:val="20"/>
                <w:szCs w:val="20"/>
              </w:rPr>
              <w:t>2,43</w:t>
            </w:r>
          </w:p>
        </w:tc>
        <w:tc>
          <w:tcPr>
            <w:tcW w:w="1369" w:type="dxa"/>
            <w:tcBorders>
              <w:top w:val="single" w:sz="8" w:space="0" w:color="000000"/>
              <w:left w:val="single" w:sz="8" w:space="0" w:color="000000"/>
              <w:bottom w:val="single" w:sz="8" w:space="0" w:color="000000"/>
              <w:right w:val="single" w:sz="8" w:space="0" w:color="000000"/>
            </w:tcBorders>
            <w:vAlign w:val="bottom"/>
          </w:tcPr>
          <w:p w14:paraId="00C896D6" w14:textId="77777777" w:rsidR="00670FD4" w:rsidRDefault="00670FD4" w:rsidP="001925BA">
            <w:pPr>
              <w:spacing w:before="0" w:after="0"/>
              <w:ind w:left="69" w:firstLine="36"/>
              <w:rPr>
                <w:rFonts w:eastAsia="Times New Roman" w:cs="Times New Roman"/>
                <w:sz w:val="20"/>
                <w:szCs w:val="20"/>
              </w:rPr>
            </w:pPr>
            <w:r>
              <w:rPr>
                <w:rFonts w:eastAsia="Times New Roman" w:cs="Times New Roman"/>
                <w:color w:val="000000"/>
                <w:sz w:val="20"/>
                <w:szCs w:val="20"/>
              </w:rPr>
              <w:t>2,33</w:t>
            </w:r>
          </w:p>
        </w:tc>
        <w:tc>
          <w:tcPr>
            <w:tcW w:w="1161" w:type="dxa"/>
            <w:tcBorders>
              <w:top w:val="single" w:sz="8" w:space="0" w:color="000000"/>
              <w:left w:val="single" w:sz="8" w:space="0" w:color="000000"/>
              <w:bottom w:val="single" w:sz="8" w:space="0" w:color="000000"/>
              <w:right w:val="single" w:sz="8" w:space="0" w:color="000000"/>
            </w:tcBorders>
            <w:vAlign w:val="bottom"/>
          </w:tcPr>
          <w:p w14:paraId="2A4F3B34" w14:textId="77777777" w:rsidR="00670FD4" w:rsidRDefault="00670FD4" w:rsidP="001925BA">
            <w:pPr>
              <w:spacing w:before="0" w:after="0"/>
              <w:ind w:left="117" w:firstLine="85"/>
              <w:rPr>
                <w:rFonts w:eastAsia="Times New Roman" w:cs="Times New Roman"/>
                <w:sz w:val="20"/>
                <w:szCs w:val="20"/>
              </w:rPr>
            </w:pPr>
            <w:r>
              <w:rPr>
                <w:rFonts w:eastAsia="Times New Roman" w:cs="Times New Roman"/>
                <w:color w:val="000000"/>
                <w:sz w:val="20"/>
                <w:szCs w:val="20"/>
              </w:rPr>
              <w:t>1,72</w:t>
            </w:r>
          </w:p>
        </w:tc>
      </w:tr>
      <w:tr w:rsidR="00670FD4" w14:paraId="62A264AE" w14:textId="77777777" w:rsidTr="001925BA">
        <w:trPr>
          <w:jc w:val="center"/>
        </w:trPr>
        <w:tc>
          <w:tcPr>
            <w:tcW w:w="2791" w:type="dxa"/>
            <w:vMerge w:val="restart"/>
            <w:tcBorders>
              <w:top w:val="single" w:sz="8" w:space="0" w:color="000000"/>
              <w:left w:val="single" w:sz="8" w:space="0" w:color="000000"/>
              <w:bottom w:val="single" w:sz="8" w:space="0" w:color="000000"/>
              <w:right w:val="single" w:sz="8" w:space="0" w:color="000000"/>
            </w:tcBorders>
            <w:shd w:val="clear" w:color="auto" w:fill="FFFFFF"/>
          </w:tcPr>
          <w:p w14:paraId="3A0A750B" w14:textId="77777777" w:rsidR="00670FD4" w:rsidRDefault="00670FD4" w:rsidP="001925BA">
            <w:pPr>
              <w:spacing w:before="0" w:after="0"/>
              <w:ind w:firstLine="24"/>
              <w:rPr>
                <w:rFonts w:eastAsia="Times New Roman" w:cs="Times New Roman"/>
                <w:sz w:val="20"/>
                <w:szCs w:val="20"/>
              </w:rPr>
            </w:pPr>
            <w:r>
              <w:rPr>
                <w:rFonts w:eastAsia="Times New Roman" w:cs="Times New Roman"/>
                <w:color w:val="000000"/>
                <w:sz w:val="20"/>
                <w:szCs w:val="20"/>
              </w:rPr>
              <w:t>Tone monoxid de carbon (CO)</w:t>
            </w:r>
          </w:p>
        </w:tc>
        <w:tc>
          <w:tcPr>
            <w:tcW w:w="1613" w:type="dxa"/>
            <w:tcBorders>
              <w:top w:val="single" w:sz="8" w:space="0" w:color="000000"/>
              <w:left w:val="single" w:sz="8" w:space="0" w:color="000000"/>
              <w:bottom w:val="single" w:sz="8" w:space="0" w:color="000000"/>
              <w:right w:val="single" w:sz="8" w:space="0" w:color="000000"/>
            </w:tcBorders>
            <w:shd w:val="clear" w:color="auto" w:fill="F2F2F2"/>
          </w:tcPr>
          <w:p w14:paraId="3E39021C" w14:textId="77777777" w:rsidR="00670FD4" w:rsidRDefault="00670FD4" w:rsidP="001925BA">
            <w:pPr>
              <w:spacing w:before="0" w:after="0"/>
              <w:ind w:firstLine="68"/>
              <w:rPr>
                <w:rFonts w:eastAsia="Times New Roman" w:cs="Times New Roman"/>
                <w:sz w:val="20"/>
                <w:szCs w:val="20"/>
              </w:rPr>
            </w:pPr>
            <w:r>
              <w:rPr>
                <w:rFonts w:eastAsia="Times New Roman" w:cs="Times New Roman"/>
                <w:color w:val="000000"/>
                <w:sz w:val="20"/>
                <w:szCs w:val="20"/>
              </w:rPr>
              <w:t>Petromidia</w:t>
            </w:r>
          </w:p>
        </w:tc>
        <w:tc>
          <w:tcPr>
            <w:tcW w:w="1254"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2C12C138" w14:textId="77777777" w:rsidR="00670FD4" w:rsidRDefault="00670FD4" w:rsidP="001925BA">
            <w:pPr>
              <w:spacing w:before="0" w:after="0"/>
              <w:ind w:left="185" w:firstLine="14"/>
              <w:rPr>
                <w:rFonts w:eastAsia="Times New Roman" w:cs="Times New Roman"/>
                <w:sz w:val="20"/>
                <w:szCs w:val="20"/>
              </w:rPr>
            </w:pPr>
            <w:r>
              <w:rPr>
                <w:rFonts w:eastAsia="Times New Roman" w:cs="Times New Roman"/>
                <w:color w:val="000000"/>
                <w:sz w:val="20"/>
                <w:szCs w:val="20"/>
              </w:rPr>
              <w:t>140,47</w:t>
            </w:r>
          </w:p>
        </w:tc>
        <w:tc>
          <w:tcPr>
            <w:tcW w:w="1369"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668B3B09" w14:textId="77777777" w:rsidR="00670FD4" w:rsidRDefault="00670FD4" w:rsidP="001925BA">
            <w:pPr>
              <w:spacing w:before="0" w:after="0"/>
              <w:ind w:left="69" w:firstLine="36"/>
              <w:rPr>
                <w:rFonts w:eastAsia="Times New Roman" w:cs="Times New Roman"/>
                <w:sz w:val="20"/>
                <w:szCs w:val="20"/>
              </w:rPr>
            </w:pPr>
            <w:r>
              <w:rPr>
                <w:rFonts w:eastAsia="Times New Roman" w:cs="Times New Roman"/>
                <w:color w:val="000000"/>
                <w:sz w:val="20"/>
                <w:szCs w:val="20"/>
              </w:rPr>
              <w:t>106,25</w:t>
            </w:r>
          </w:p>
        </w:tc>
        <w:tc>
          <w:tcPr>
            <w:tcW w:w="1161"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0664C33B" w14:textId="77777777" w:rsidR="00670FD4" w:rsidRDefault="00670FD4" w:rsidP="001925BA">
            <w:pPr>
              <w:spacing w:before="0" w:after="0"/>
              <w:ind w:left="117" w:firstLine="85"/>
              <w:rPr>
                <w:rFonts w:eastAsia="Times New Roman" w:cs="Times New Roman"/>
                <w:sz w:val="20"/>
                <w:szCs w:val="20"/>
              </w:rPr>
            </w:pPr>
            <w:r>
              <w:rPr>
                <w:rFonts w:eastAsia="Times New Roman" w:cs="Times New Roman"/>
                <w:color w:val="000000"/>
                <w:sz w:val="20"/>
                <w:szCs w:val="20"/>
              </w:rPr>
              <w:t>97,11</w:t>
            </w:r>
          </w:p>
        </w:tc>
      </w:tr>
      <w:tr w:rsidR="00670FD4" w14:paraId="1148ADCB" w14:textId="77777777" w:rsidTr="001925BA">
        <w:trPr>
          <w:trHeight w:val="339"/>
          <w:jc w:val="center"/>
        </w:trPr>
        <w:tc>
          <w:tcPr>
            <w:tcW w:w="2791" w:type="dxa"/>
            <w:vMerge/>
            <w:tcBorders>
              <w:top w:val="single" w:sz="8" w:space="0" w:color="000000"/>
              <w:left w:val="single" w:sz="8" w:space="0" w:color="000000"/>
              <w:bottom w:val="single" w:sz="8" w:space="0" w:color="000000"/>
              <w:right w:val="single" w:sz="8" w:space="0" w:color="000000"/>
            </w:tcBorders>
            <w:shd w:val="clear" w:color="auto" w:fill="FFFFFF"/>
          </w:tcPr>
          <w:p w14:paraId="0AFD5489" w14:textId="77777777" w:rsidR="00670FD4" w:rsidRDefault="00670FD4" w:rsidP="001925BA">
            <w:pPr>
              <w:widowControl w:val="0"/>
              <w:pBdr>
                <w:top w:val="nil"/>
                <w:left w:val="nil"/>
                <w:bottom w:val="nil"/>
                <w:right w:val="nil"/>
                <w:between w:val="nil"/>
              </w:pBdr>
              <w:spacing w:before="0" w:after="0"/>
              <w:ind w:firstLine="24"/>
              <w:rPr>
                <w:rFonts w:eastAsia="Times New Roman" w:cs="Times New Roman"/>
                <w:sz w:val="20"/>
                <w:szCs w:val="20"/>
              </w:rPr>
            </w:pPr>
          </w:p>
        </w:tc>
        <w:tc>
          <w:tcPr>
            <w:tcW w:w="1613" w:type="dxa"/>
            <w:tcBorders>
              <w:top w:val="single" w:sz="8" w:space="0" w:color="000000"/>
              <w:left w:val="single" w:sz="8" w:space="0" w:color="000000"/>
              <w:bottom w:val="single" w:sz="8" w:space="0" w:color="000000"/>
              <w:right w:val="single" w:sz="8" w:space="0" w:color="000000"/>
            </w:tcBorders>
          </w:tcPr>
          <w:p w14:paraId="33A0BFC5" w14:textId="77777777" w:rsidR="00670FD4" w:rsidRDefault="00670FD4" w:rsidP="001925BA">
            <w:pPr>
              <w:spacing w:before="0" w:after="0"/>
              <w:ind w:firstLine="68"/>
              <w:rPr>
                <w:rFonts w:eastAsia="Times New Roman" w:cs="Times New Roman"/>
                <w:sz w:val="20"/>
                <w:szCs w:val="20"/>
              </w:rPr>
            </w:pPr>
            <w:r>
              <w:rPr>
                <w:rFonts w:eastAsia="Times New Roman" w:cs="Times New Roman"/>
                <w:color w:val="000000"/>
                <w:sz w:val="20"/>
                <w:szCs w:val="20"/>
              </w:rPr>
              <w:t>Uzina Petrochimică</w:t>
            </w:r>
          </w:p>
        </w:tc>
        <w:tc>
          <w:tcPr>
            <w:tcW w:w="1254" w:type="dxa"/>
            <w:tcBorders>
              <w:top w:val="single" w:sz="8" w:space="0" w:color="000000"/>
              <w:left w:val="single" w:sz="8" w:space="0" w:color="000000"/>
              <w:bottom w:val="single" w:sz="8" w:space="0" w:color="000000"/>
              <w:right w:val="single" w:sz="8" w:space="0" w:color="000000"/>
            </w:tcBorders>
            <w:vAlign w:val="bottom"/>
          </w:tcPr>
          <w:p w14:paraId="38E9C4A7" w14:textId="77777777" w:rsidR="00670FD4" w:rsidRDefault="00670FD4" w:rsidP="001925BA">
            <w:pPr>
              <w:spacing w:before="0" w:after="0"/>
              <w:ind w:left="185" w:firstLine="14"/>
              <w:rPr>
                <w:rFonts w:eastAsia="Times New Roman" w:cs="Times New Roman"/>
                <w:sz w:val="20"/>
                <w:szCs w:val="20"/>
              </w:rPr>
            </w:pPr>
            <w:r>
              <w:rPr>
                <w:rFonts w:eastAsia="Times New Roman" w:cs="Times New Roman"/>
                <w:color w:val="000000"/>
                <w:sz w:val="20"/>
                <w:szCs w:val="20"/>
              </w:rPr>
              <w:t>31,90</w:t>
            </w:r>
          </w:p>
        </w:tc>
        <w:tc>
          <w:tcPr>
            <w:tcW w:w="1369" w:type="dxa"/>
            <w:tcBorders>
              <w:top w:val="single" w:sz="8" w:space="0" w:color="000000"/>
              <w:left w:val="single" w:sz="8" w:space="0" w:color="000000"/>
              <w:bottom w:val="single" w:sz="8" w:space="0" w:color="000000"/>
              <w:right w:val="single" w:sz="8" w:space="0" w:color="000000"/>
            </w:tcBorders>
            <w:vAlign w:val="bottom"/>
          </w:tcPr>
          <w:p w14:paraId="7B2A1D92" w14:textId="77777777" w:rsidR="00670FD4" w:rsidRDefault="00670FD4" w:rsidP="001925BA">
            <w:pPr>
              <w:spacing w:before="0" w:after="0"/>
              <w:ind w:left="69" w:firstLine="36"/>
              <w:rPr>
                <w:rFonts w:eastAsia="Times New Roman" w:cs="Times New Roman"/>
                <w:sz w:val="20"/>
                <w:szCs w:val="20"/>
              </w:rPr>
            </w:pPr>
            <w:r>
              <w:rPr>
                <w:rFonts w:eastAsia="Times New Roman" w:cs="Times New Roman"/>
                <w:color w:val="000000"/>
                <w:sz w:val="20"/>
                <w:szCs w:val="20"/>
              </w:rPr>
              <w:t>33,30</w:t>
            </w:r>
          </w:p>
        </w:tc>
        <w:tc>
          <w:tcPr>
            <w:tcW w:w="1161" w:type="dxa"/>
            <w:tcBorders>
              <w:top w:val="single" w:sz="8" w:space="0" w:color="000000"/>
              <w:left w:val="single" w:sz="8" w:space="0" w:color="000000"/>
              <w:bottom w:val="single" w:sz="8" w:space="0" w:color="000000"/>
              <w:right w:val="single" w:sz="8" w:space="0" w:color="000000"/>
            </w:tcBorders>
            <w:vAlign w:val="bottom"/>
          </w:tcPr>
          <w:p w14:paraId="19BD6141" w14:textId="77777777" w:rsidR="00670FD4" w:rsidRDefault="00670FD4" w:rsidP="001925BA">
            <w:pPr>
              <w:spacing w:before="0" w:after="0"/>
              <w:ind w:left="117" w:firstLine="85"/>
              <w:rPr>
                <w:rFonts w:eastAsia="Times New Roman" w:cs="Times New Roman"/>
                <w:sz w:val="20"/>
                <w:szCs w:val="20"/>
              </w:rPr>
            </w:pPr>
            <w:r>
              <w:rPr>
                <w:rFonts w:eastAsia="Times New Roman" w:cs="Times New Roman"/>
                <w:color w:val="000000"/>
                <w:sz w:val="20"/>
                <w:szCs w:val="20"/>
              </w:rPr>
              <w:t>23,76</w:t>
            </w:r>
          </w:p>
        </w:tc>
      </w:tr>
      <w:tr w:rsidR="00670FD4" w14:paraId="430197BF" w14:textId="77777777" w:rsidTr="001925BA">
        <w:trPr>
          <w:trHeight w:val="354"/>
          <w:jc w:val="center"/>
        </w:trPr>
        <w:tc>
          <w:tcPr>
            <w:tcW w:w="2791" w:type="dxa"/>
            <w:vMerge w:val="restart"/>
            <w:tcBorders>
              <w:top w:val="single" w:sz="8" w:space="0" w:color="000000"/>
              <w:left w:val="single" w:sz="8" w:space="0" w:color="000000"/>
              <w:bottom w:val="single" w:sz="8" w:space="0" w:color="000000"/>
              <w:right w:val="single" w:sz="8" w:space="0" w:color="000000"/>
            </w:tcBorders>
            <w:shd w:val="clear" w:color="auto" w:fill="FFFFFF"/>
          </w:tcPr>
          <w:p w14:paraId="2C3FFA8C" w14:textId="77777777" w:rsidR="00670FD4" w:rsidRDefault="00670FD4" w:rsidP="001925BA">
            <w:pPr>
              <w:spacing w:before="0" w:after="0"/>
              <w:ind w:firstLine="24"/>
              <w:rPr>
                <w:rFonts w:eastAsia="Times New Roman" w:cs="Times New Roman"/>
                <w:sz w:val="20"/>
                <w:szCs w:val="20"/>
              </w:rPr>
            </w:pPr>
            <w:r>
              <w:rPr>
                <w:rFonts w:eastAsia="Times New Roman" w:cs="Times New Roman"/>
                <w:color w:val="000000"/>
                <w:sz w:val="20"/>
                <w:szCs w:val="20"/>
              </w:rPr>
              <w:t>Tone emisii COV la benzină</w:t>
            </w:r>
          </w:p>
        </w:tc>
        <w:tc>
          <w:tcPr>
            <w:tcW w:w="1613" w:type="dxa"/>
            <w:tcBorders>
              <w:top w:val="single" w:sz="8" w:space="0" w:color="000000"/>
              <w:left w:val="single" w:sz="8" w:space="0" w:color="000000"/>
              <w:bottom w:val="single" w:sz="8" w:space="0" w:color="000000"/>
              <w:right w:val="single" w:sz="8" w:space="0" w:color="000000"/>
            </w:tcBorders>
            <w:shd w:val="clear" w:color="auto" w:fill="F2F2F2"/>
          </w:tcPr>
          <w:p w14:paraId="2D7B905F" w14:textId="77777777" w:rsidR="00670FD4" w:rsidRDefault="00670FD4" w:rsidP="001925BA">
            <w:pPr>
              <w:spacing w:before="0" w:after="0"/>
              <w:ind w:firstLine="68"/>
              <w:rPr>
                <w:rFonts w:eastAsia="Times New Roman" w:cs="Times New Roman"/>
                <w:sz w:val="20"/>
                <w:szCs w:val="20"/>
              </w:rPr>
            </w:pPr>
            <w:r>
              <w:rPr>
                <w:rFonts w:eastAsia="Times New Roman" w:cs="Times New Roman"/>
                <w:color w:val="000000"/>
                <w:sz w:val="20"/>
                <w:szCs w:val="20"/>
              </w:rPr>
              <w:t>Petromidia</w:t>
            </w:r>
          </w:p>
        </w:tc>
        <w:tc>
          <w:tcPr>
            <w:tcW w:w="1254"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785E593C" w14:textId="77777777" w:rsidR="00670FD4" w:rsidRDefault="00670FD4" w:rsidP="001925BA">
            <w:pPr>
              <w:spacing w:before="0" w:after="0"/>
              <w:ind w:left="185" w:firstLine="14"/>
              <w:rPr>
                <w:rFonts w:eastAsia="Times New Roman" w:cs="Times New Roman"/>
                <w:sz w:val="20"/>
                <w:szCs w:val="20"/>
              </w:rPr>
            </w:pPr>
            <w:r>
              <w:rPr>
                <w:rFonts w:eastAsia="Times New Roman" w:cs="Times New Roman"/>
                <w:color w:val="000000"/>
                <w:sz w:val="20"/>
                <w:szCs w:val="20"/>
              </w:rPr>
              <w:t>118,29</w:t>
            </w:r>
          </w:p>
        </w:tc>
        <w:tc>
          <w:tcPr>
            <w:tcW w:w="1369"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56925300" w14:textId="77777777" w:rsidR="00670FD4" w:rsidRDefault="00670FD4" w:rsidP="001925BA">
            <w:pPr>
              <w:spacing w:before="0" w:after="0"/>
              <w:ind w:left="69" w:firstLine="36"/>
              <w:rPr>
                <w:rFonts w:eastAsia="Times New Roman" w:cs="Times New Roman"/>
                <w:sz w:val="20"/>
                <w:szCs w:val="20"/>
              </w:rPr>
            </w:pPr>
            <w:r>
              <w:rPr>
                <w:rFonts w:eastAsia="Times New Roman" w:cs="Times New Roman"/>
                <w:color w:val="000000"/>
                <w:sz w:val="20"/>
                <w:szCs w:val="20"/>
              </w:rPr>
              <w:t>85,21</w:t>
            </w:r>
          </w:p>
        </w:tc>
        <w:tc>
          <w:tcPr>
            <w:tcW w:w="1161"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4686F8BF" w14:textId="77777777" w:rsidR="00670FD4" w:rsidRDefault="00670FD4" w:rsidP="001925BA">
            <w:pPr>
              <w:spacing w:before="0" w:after="0"/>
              <w:ind w:left="117" w:firstLine="85"/>
              <w:rPr>
                <w:rFonts w:eastAsia="Times New Roman" w:cs="Times New Roman"/>
                <w:sz w:val="20"/>
                <w:szCs w:val="20"/>
              </w:rPr>
            </w:pPr>
            <w:r>
              <w:rPr>
                <w:rFonts w:eastAsia="Times New Roman" w:cs="Times New Roman"/>
                <w:color w:val="000000"/>
                <w:sz w:val="20"/>
                <w:szCs w:val="20"/>
              </w:rPr>
              <w:t>72,27</w:t>
            </w:r>
          </w:p>
        </w:tc>
      </w:tr>
      <w:tr w:rsidR="00670FD4" w14:paraId="7C28A46B" w14:textId="77777777" w:rsidTr="001925BA">
        <w:trPr>
          <w:trHeight w:val="324"/>
          <w:jc w:val="center"/>
        </w:trPr>
        <w:tc>
          <w:tcPr>
            <w:tcW w:w="2791" w:type="dxa"/>
            <w:vMerge/>
            <w:tcBorders>
              <w:top w:val="single" w:sz="8" w:space="0" w:color="000000"/>
              <w:left w:val="single" w:sz="8" w:space="0" w:color="000000"/>
              <w:bottom w:val="single" w:sz="8" w:space="0" w:color="000000"/>
              <w:right w:val="single" w:sz="8" w:space="0" w:color="000000"/>
            </w:tcBorders>
            <w:shd w:val="clear" w:color="auto" w:fill="FFFFFF"/>
          </w:tcPr>
          <w:p w14:paraId="2F27447E"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1613" w:type="dxa"/>
            <w:tcBorders>
              <w:top w:val="single" w:sz="8" w:space="0" w:color="000000"/>
              <w:left w:val="single" w:sz="8" w:space="0" w:color="000000"/>
              <w:bottom w:val="single" w:sz="8" w:space="0" w:color="000000"/>
              <w:right w:val="single" w:sz="8" w:space="0" w:color="000000"/>
            </w:tcBorders>
          </w:tcPr>
          <w:p w14:paraId="107B61E7" w14:textId="77777777" w:rsidR="00670FD4" w:rsidRDefault="00670FD4" w:rsidP="001925BA">
            <w:pPr>
              <w:spacing w:before="0" w:after="0"/>
              <w:ind w:firstLine="68"/>
              <w:rPr>
                <w:rFonts w:eastAsia="Times New Roman" w:cs="Times New Roman"/>
                <w:sz w:val="20"/>
                <w:szCs w:val="20"/>
              </w:rPr>
            </w:pPr>
            <w:r>
              <w:rPr>
                <w:rFonts w:eastAsia="Times New Roman" w:cs="Times New Roman"/>
                <w:color w:val="000000"/>
                <w:sz w:val="20"/>
                <w:szCs w:val="20"/>
              </w:rPr>
              <w:t>Uzina Petrochimică</w:t>
            </w:r>
          </w:p>
        </w:tc>
        <w:tc>
          <w:tcPr>
            <w:tcW w:w="1254" w:type="dxa"/>
            <w:tcBorders>
              <w:top w:val="single" w:sz="8" w:space="0" w:color="000000"/>
              <w:left w:val="single" w:sz="8" w:space="0" w:color="000000"/>
              <w:bottom w:val="single" w:sz="8" w:space="0" w:color="000000"/>
              <w:right w:val="single" w:sz="8" w:space="0" w:color="000000"/>
            </w:tcBorders>
            <w:vAlign w:val="bottom"/>
          </w:tcPr>
          <w:p w14:paraId="6867A35F" w14:textId="77777777" w:rsidR="00670FD4" w:rsidRDefault="00670FD4" w:rsidP="001925BA">
            <w:pPr>
              <w:spacing w:before="0" w:after="0"/>
              <w:ind w:left="185" w:firstLine="14"/>
              <w:rPr>
                <w:rFonts w:eastAsia="Times New Roman" w:cs="Times New Roman"/>
                <w:sz w:val="20"/>
                <w:szCs w:val="20"/>
              </w:rPr>
            </w:pPr>
            <w:r>
              <w:rPr>
                <w:rFonts w:eastAsia="Times New Roman" w:cs="Times New Roman"/>
                <w:color w:val="000000"/>
                <w:sz w:val="20"/>
                <w:szCs w:val="20"/>
              </w:rPr>
              <w:t>-</w:t>
            </w:r>
          </w:p>
        </w:tc>
        <w:tc>
          <w:tcPr>
            <w:tcW w:w="1369" w:type="dxa"/>
            <w:tcBorders>
              <w:top w:val="single" w:sz="8" w:space="0" w:color="000000"/>
              <w:left w:val="single" w:sz="8" w:space="0" w:color="000000"/>
              <w:bottom w:val="single" w:sz="8" w:space="0" w:color="000000"/>
              <w:right w:val="single" w:sz="8" w:space="0" w:color="000000"/>
            </w:tcBorders>
            <w:vAlign w:val="bottom"/>
          </w:tcPr>
          <w:p w14:paraId="6AF36626" w14:textId="77777777" w:rsidR="00670FD4" w:rsidRDefault="00670FD4" w:rsidP="001925BA">
            <w:pPr>
              <w:spacing w:before="0" w:after="0"/>
              <w:ind w:left="69" w:firstLine="36"/>
              <w:rPr>
                <w:rFonts w:eastAsia="Times New Roman" w:cs="Times New Roman"/>
                <w:sz w:val="20"/>
                <w:szCs w:val="20"/>
              </w:rPr>
            </w:pPr>
            <w:r>
              <w:rPr>
                <w:rFonts w:eastAsia="Times New Roman" w:cs="Times New Roman"/>
                <w:color w:val="000000"/>
                <w:sz w:val="20"/>
                <w:szCs w:val="20"/>
              </w:rPr>
              <w:t>-</w:t>
            </w:r>
          </w:p>
        </w:tc>
        <w:tc>
          <w:tcPr>
            <w:tcW w:w="1161" w:type="dxa"/>
            <w:tcBorders>
              <w:top w:val="single" w:sz="8" w:space="0" w:color="000000"/>
              <w:left w:val="single" w:sz="8" w:space="0" w:color="000000"/>
              <w:bottom w:val="single" w:sz="8" w:space="0" w:color="000000"/>
              <w:right w:val="single" w:sz="8" w:space="0" w:color="000000"/>
            </w:tcBorders>
            <w:vAlign w:val="bottom"/>
          </w:tcPr>
          <w:p w14:paraId="16A2BC90" w14:textId="77777777" w:rsidR="00670FD4" w:rsidRDefault="00670FD4" w:rsidP="001925BA">
            <w:pPr>
              <w:spacing w:before="0" w:after="0"/>
              <w:ind w:left="117" w:firstLine="85"/>
              <w:rPr>
                <w:rFonts w:eastAsia="Times New Roman" w:cs="Times New Roman"/>
                <w:sz w:val="20"/>
                <w:szCs w:val="20"/>
              </w:rPr>
            </w:pPr>
            <w:r>
              <w:rPr>
                <w:rFonts w:eastAsia="Times New Roman" w:cs="Times New Roman"/>
                <w:color w:val="000000"/>
                <w:sz w:val="20"/>
                <w:szCs w:val="20"/>
              </w:rPr>
              <w:t>-</w:t>
            </w:r>
          </w:p>
        </w:tc>
      </w:tr>
      <w:tr w:rsidR="00670FD4" w14:paraId="3FCE3943" w14:textId="77777777" w:rsidTr="001925BA">
        <w:trPr>
          <w:jc w:val="center"/>
        </w:trPr>
        <w:tc>
          <w:tcPr>
            <w:tcW w:w="2791" w:type="dxa"/>
            <w:vMerge w:val="restart"/>
            <w:tcBorders>
              <w:top w:val="single" w:sz="8" w:space="0" w:color="000000"/>
              <w:left w:val="single" w:sz="8" w:space="0" w:color="000000"/>
              <w:bottom w:val="single" w:sz="8" w:space="0" w:color="000000"/>
              <w:right w:val="single" w:sz="8" w:space="0" w:color="000000"/>
            </w:tcBorders>
            <w:shd w:val="clear" w:color="auto" w:fill="FFFFFF"/>
          </w:tcPr>
          <w:p w14:paraId="3E38A158" w14:textId="77777777" w:rsidR="00670FD4" w:rsidRDefault="00670FD4" w:rsidP="001925BA">
            <w:pPr>
              <w:spacing w:before="0" w:after="0"/>
              <w:rPr>
                <w:rFonts w:eastAsia="Times New Roman" w:cs="Times New Roman"/>
                <w:sz w:val="20"/>
                <w:szCs w:val="20"/>
              </w:rPr>
            </w:pPr>
            <w:r>
              <w:rPr>
                <w:rFonts w:eastAsia="Times New Roman" w:cs="Times New Roman"/>
                <w:color w:val="000000"/>
                <w:sz w:val="20"/>
                <w:szCs w:val="20"/>
              </w:rPr>
              <w:t>Tone emisii difuze COV</w:t>
            </w:r>
          </w:p>
        </w:tc>
        <w:tc>
          <w:tcPr>
            <w:tcW w:w="1613" w:type="dxa"/>
            <w:tcBorders>
              <w:top w:val="single" w:sz="8" w:space="0" w:color="000000"/>
              <w:left w:val="single" w:sz="8" w:space="0" w:color="000000"/>
              <w:bottom w:val="single" w:sz="8" w:space="0" w:color="000000"/>
              <w:right w:val="single" w:sz="8" w:space="0" w:color="000000"/>
            </w:tcBorders>
            <w:shd w:val="clear" w:color="auto" w:fill="F2F2F2"/>
          </w:tcPr>
          <w:p w14:paraId="1D928C34" w14:textId="77777777" w:rsidR="00670FD4" w:rsidRDefault="00670FD4" w:rsidP="001925BA">
            <w:pPr>
              <w:spacing w:before="0" w:after="0"/>
              <w:ind w:firstLine="68"/>
              <w:rPr>
                <w:rFonts w:eastAsia="Times New Roman" w:cs="Times New Roman"/>
                <w:sz w:val="20"/>
                <w:szCs w:val="20"/>
              </w:rPr>
            </w:pPr>
            <w:r>
              <w:rPr>
                <w:rFonts w:eastAsia="Times New Roman" w:cs="Times New Roman"/>
                <w:color w:val="000000"/>
                <w:sz w:val="20"/>
                <w:szCs w:val="20"/>
              </w:rPr>
              <w:t>Petromidia</w:t>
            </w:r>
          </w:p>
        </w:tc>
        <w:tc>
          <w:tcPr>
            <w:tcW w:w="1254"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1A197B90" w14:textId="77777777" w:rsidR="00670FD4" w:rsidRDefault="00670FD4" w:rsidP="001925BA">
            <w:pPr>
              <w:spacing w:before="0" w:after="0"/>
              <w:ind w:left="185" w:firstLine="14"/>
              <w:rPr>
                <w:rFonts w:eastAsia="Times New Roman" w:cs="Times New Roman"/>
                <w:sz w:val="20"/>
                <w:szCs w:val="20"/>
              </w:rPr>
            </w:pPr>
            <w:r>
              <w:rPr>
                <w:rFonts w:eastAsia="Times New Roman" w:cs="Times New Roman"/>
                <w:color w:val="000000"/>
                <w:sz w:val="20"/>
                <w:szCs w:val="20"/>
              </w:rPr>
              <w:t>1,103,00</w:t>
            </w:r>
          </w:p>
        </w:tc>
        <w:tc>
          <w:tcPr>
            <w:tcW w:w="1369"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5EA60087" w14:textId="77777777" w:rsidR="00670FD4" w:rsidRDefault="00670FD4" w:rsidP="001925BA">
            <w:pPr>
              <w:spacing w:before="0" w:after="0"/>
              <w:ind w:left="69" w:firstLine="36"/>
              <w:rPr>
                <w:rFonts w:eastAsia="Times New Roman" w:cs="Times New Roman"/>
                <w:sz w:val="20"/>
                <w:szCs w:val="20"/>
              </w:rPr>
            </w:pPr>
            <w:r>
              <w:rPr>
                <w:rFonts w:eastAsia="Times New Roman" w:cs="Times New Roman"/>
                <w:color w:val="000000"/>
                <w:sz w:val="20"/>
                <w:szCs w:val="20"/>
              </w:rPr>
              <w:t>815,00</w:t>
            </w:r>
          </w:p>
        </w:tc>
        <w:tc>
          <w:tcPr>
            <w:tcW w:w="1161"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216F243F" w14:textId="77777777" w:rsidR="00670FD4" w:rsidRDefault="00670FD4" w:rsidP="001925BA">
            <w:pPr>
              <w:spacing w:before="0" w:after="0"/>
              <w:ind w:left="117" w:firstLine="85"/>
              <w:rPr>
                <w:rFonts w:eastAsia="Times New Roman" w:cs="Times New Roman"/>
                <w:sz w:val="20"/>
                <w:szCs w:val="20"/>
              </w:rPr>
            </w:pPr>
            <w:r>
              <w:rPr>
                <w:rFonts w:eastAsia="Times New Roman" w:cs="Times New Roman"/>
                <w:color w:val="000000"/>
                <w:sz w:val="20"/>
                <w:szCs w:val="20"/>
              </w:rPr>
              <w:t>734,24</w:t>
            </w:r>
          </w:p>
        </w:tc>
      </w:tr>
      <w:tr w:rsidR="00670FD4" w14:paraId="1E0C1B55" w14:textId="77777777" w:rsidTr="001925BA">
        <w:trPr>
          <w:trHeight w:val="339"/>
          <w:jc w:val="center"/>
        </w:trPr>
        <w:tc>
          <w:tcPr>
            <w:tcW w:w="2791" w:type="dxa"/>
            <w:vMerge/>
            <w:tcBorders>
              <w:top w:val="single" w:sz="8" w:space="0" w:color="000000"/>
              <w:left w:val="single" w:sz="8" w:space="0" w:color="000000"/>
              <w:bottom w:val="single" w:sz="8" w:space="0" w:color="000000"/>
              <w:right w:val="single" w:sz="8" w:space="0" w:color="000000"/>
            </w:tcBorders>
            <w:shd w:val="clear" w:color="auto" w:fill="FFFFFF"/>
          </w:tcPr>
          <w:p w14:paraId="657797E7"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1613" w:type="dxa"/>
            <w:tcBorders>
              <w:top w:val="single" w:sz="8" w:space="0" w:color="000000"/>
              <w:left w:val="single" w:sz="8" w:space="0" w:color="000000"/>
              <w:bottom w:val="single" w:sz="8" w:space="0" w:color="000000"/>
              <w:right w:val="single" w:sz="8" w:space="0" w:color="000000"/>
            </w:tcBorders>
          </w:tcPr>
          <w:p w14:paraId="380B6D95" w14:textId="77777777" w:rsidR="00670FD4" w:rsidRDefault="00670FD4" w:rsidP="001925BA">
            <w:pPr>
              <w:spacing w:before="0" w:after="0"/>
              <w:ind w:firstLine="68"/>
              <w:rPr>
                <w:rFonts w:eastAsia="Times New Roman" w:cs="Times New Roman"/>
                <w:sz w:val="20"/>
                <w:szCs w:val="20"/>
              </w:rPr>
            </w:pPr>
            <w:r>
              <w:rPr>
                <w:rFonts w:eastAsia="Times New Roman" w:cs="Times New Roman"/>
                <w:color w:val="000000"/>
                <w:sz w:val="20"/>
                <w:szCs w:val="20"/>
              </w:rPr>
              <w:t>Uzina Petrochimică</w:t>
            </w:r>
          </w:p>
        </w:tc>
        <w:tc>
          <w:tcPr>
            <w:tcW w:w="1254" w:type="dxa"/>
            <w:tcBorders>
              <w:top w:val="single" w:sz="8" w:space="0" w:color="000000"/>
              <w:left w:val="single" w:sz="8" w:space="0" w:color="000000"/>
              <w:bottom w:val="single" w:sz="8" w:space="0" w:color="000000"/>
              <w:right w:val="single" w:sz="8" w:space="0" w:color="000000"/>
            </w:tcBorders>
            <w:vAlign w:val="bottom"/>
          </w:tcPr>
          <w:p w14:paraId="2977BFDA" w14:textId="77777777" w:rsidR="00670FD4" w:rsidRDefault="00670FD4" w:rsidP="001925BA">
            <w:pPr>
              <w:spacing w:before="0" w:after="0"/>
              <w:ind w:left="185" w:firstLine="14"/>
              <w:rPr>
                <w:rFonts w:eastAsia="Times New Roman" w:cs="Times New Roman"/>
                <w:sz w:val="20"/>
                <w:szCs w:val="20"/>
              </w:rPr>
            </w:pPr>
            <w:r>
              <w:rPr>
                <w:rFonts w:eastAsia="Times New Roman" w:cs="Times New Roman"/>
                <w:color w:val="000000"/>
                <w:sz w:val="20"/>
                <w:szCs w:val="20"/>
              </w:rPr>
              <w:t>-</w:t>
            </w:r>
          </w:p>
        </w:tc>
        <w:tc>
          <w:tcPr>
            <w:tcW w:w="1369" w:type="dxa"/>
            <w:tcBorders>
              <w:top w:val="single" w:sz="8" w:space="0" w:color="000000"/>
              <w:left w:val="single" w:sz="8" w:space="0" w:color="000000"/>
              <w:bottom w:val="single" w:sz="8" w:space="0" w:color="000000"/>
              <w:right w:val="single" w:sz="8" w:space="0" w:color="000000"/>
            </w:tcBorders>
            <w:vAlign w:val="bottom"/>
          </w:tcPr>
          <w:p w14:paraId="7207D60C" w14:textId="77777777" w:rsidR="00670FD4" w:rsidRDefault="00670FD4" w:rsidP="001925BA">
            <w:pPr>
              <w:spacing w:before="0" w:after="0"/>
              <w:ind w:left="69" w:firstLine="36"/>
              <w:rPr>
                <w:rFonts w:eastAsia="Times New Roman" w:cs="Times New Roman"/>
                <w:sz w:val="20"/>
                <w:szCs w:val="20"/>
              </w:rPr>
            </w:pPr>
            <w:r>
              <w:rPr>
                <w:rFonts w:eastAsia="Times New Roman" w:cs="Times New Roman"/>
                <w:color w:val="000000"/>
                <w:sz w:val="20"/>
                <w:szCs w:val="20"/>
              </w:rPr>
              <w:t>-</w:t>
            </w:r>
          </w:p>
        </w:tc>
        <w:tc>
          <w:tcPr>
            <w:tcW w:w="1161" w:type="dxa"/>
            <w:tcBorders>
              <w:top w:val="single" w:sz="8" w:space="0" w:color="000000"/>
              <w:left w:val="single" w:sz="8" w:space="0" w:color="000000"/>
              <w:bottom w:val="single" w:sz="8" w:space="0" w:color="000000"/>
              <w:right w:val="single" w:sz="8" w:space="0" w:color="000000"/>
            </w:tcBorders>
            <w:vAlign w:val="bottom"/>
          </w:tcPr>
          <w:p w14:paraId="31AB91FB" w14:textId="77777777" w:rsidR="00670FD4" w:rsidRDefault="00670FD4" w:rsidP="001925BA">
            <w:pPr>
              <w:spacing w:before="0" w:after="0"/>
              <w:ind w:left="117" w:firstLine="85"/>
              <w:rPr>
                <w:rFonts w:eastAsia="Times New Roman" w:cs="Times New Roman"/>
                <w:sz w:val="20"/>
                <w:szCs w:val="20"/>
              </w:rPr>
            </w:pPr>
            <w:r>
              <w:rPr>
                <w:rFonts w:eastAsia="Times New Roman" w:cs="Times New Roman"/>
                <w:color w:val="000000"/>
                <w:sz w:val="20"/>
                <w:szCs w:val="20"/>
              </w:rPr>
              <w:t>-</w:t>
            </w:r>
          </w:p>
        </w:tc>
      </w:tr>
    </w:tbl>
    <w:p w14:paraId="51815ADA" w14:textId="77777777" w:rsidR="00670FD4" w:rsidRDefault="00670FD4" w:rsidP="00670FD4"/>
    <w:p w14:paraId="6A874844" w14:textId="77777777" w:rsidR="00670FD4" w:rsidRDefault="00670FD4" w:rsidP="00670FD4">
      <w:pPr>
        <w:spacing w:before="0"/>
        <w:ind w:firstLine="567"/>
        <w:rPr>
          <w:rFonts w:eastAsia="Times New Roman" w:cs="Times New Roman"/>
        </w:rPr>
      </w:pPr>
      <w:r>
        <w:rPr>
          <w:rFonts w:eastAsia="Times New Roman" w:cs="Times New Roman"/>
          <w:color w:val="000000"/>
        </w:rPr>
        <w:t>Referitor la industria extractivă, exploatarea carierelor de calcar industrial din zona lacului Tașaul, precum și activitățile conexe (în special transportul materialelor) pot genera o poluare semnificativă la nivel local, prin praful de carieră, care poate adăposti niveluri destul de ridicate de metale grele (Ni, As, V, Cu, etc.) (Vasiliu și colab., 2020).</w:t>
      </w:r>
    </w:p>
    <w:p w14:paraId="62EC4832" w14:textId="77777777" w:rsidR="00670FD4" w:rsidRDefault="00670FD4" w:rsidP="00670FD4">
      <w:pPr>
        <w:pStyle w:val="Heading5"/>
        <w:spacing w:before="0" w:after="120"/>
        <w:rPr>
          <w:b w:val="0"/>
        </w:rPr>
      </w:pPr>
      <w:r>
        <w:rPr>
          <w:b w:val="0"/>
        </w:rPr>
        <w:t>Activități portuare </w:t>
      </w:r>
    </w:p>
    <w:p w14:paraId="1D9A8ACC" w14:textId="77777777" w:rsidR="00670FD4" w:rsidRDefault="00670FD4" w:rsidP="00670FD4">
      <w:pPr>
        <w:spacing w:before="0"/>
        <w:ind w:firstLine="567"/>
        <w:rPr>
          <w:rFonts w:eastAsia="Times New Roman" w:cs="Times New Roman"/>
        </w:rPr>
      </w:pPr>
      <w:r>
        <w:rPr>
          <w:rFonts w:eastAsia="Times New Roman" w:cs="Times New Roman"/>
          <w:color w:val="000000"/>
        </w:rPr>
        <w:t>Principalele activități generatoare de emisii de poluanți atmosferici, desfășurate în interiorul porturilor maritime și fluviale din zona de studiu, sunt traficul rutier, feroviar și maritim în incintele portuare; activitatea operatorilor portuari ce desfășoară activități cu impact asupra factorului de mediu aer și depozitarea și eliminarea deșeurilor.</w:t>
      </w:r>
    </w:p>
    <w:p w14:paraId="4CCB6569" w14:textId="77777777" w:rsidR="00670FD4" w:rsidRDefault="00670FD4" w:rsidP="00670FD4">
      <w:pPr>
        <w:spacing w:before="0"/>
        <w:ind w:firstLine="567"/>
        <w:rPr>
          <w:rFonts w:eastAsia="Times New Roman" w:cs="Times New Roman"/>
        </w:rPr>
      </w:pPr>
      <w:r>
        <w:rPr>
          <w:rFonts w:eastAsia="Times New Roman" w:cs="Times New Roman"/>
          <w:color w:val="000000"/>
        </w:rPr>
        <w:t>Din Bilanțul de Nivel I al Portului Constanța emisiile generate de trafic au fost estimate în baza unui consum de carburanți de 140 tone/an (motorină), pentru mijloacele de transport. Emisiile estimate pentru mijloacele de transport din dotare: pulberi - 218,4 kg/an, CO – 1.540 kg/an, NOx – 3.500 kg/an, SOx - 453,6 kg/an și hidrocarburi - 623 kg/an.</w:t>
      </w:r>
    </w:p>
    <w:p w14:paraId="31FE5AEA" w14:textId="77777777" w:rsidR="00670FD4" w:rsidRDefault="00670FD4" w:rsidP="00670FD4">
      <w:pPr>
        <w:spacing w:before="0"/>
        <w:ind w:firstLine="567"/>
        <w:rPr>
          <w:rFonts w:eastAsia="Times New Roman" w:cs="Times New Roman"/>
        </w:rPr>
      </w:pPr>
      <w:r>
        <w:rPr>
          <w:rFonts w:eastAsia="Times New Roman" w:cs="Times New Roman"/>
          <w:color w:val="000000"/>
        </w:rPr>
        <w:t>Pentru navele tehnice din dotare, emisiile estimate pentru un consum de motorină de 340 tone/an sunt: pulberi - 530 kg/an, CO - 3.740 kg/an, NOx - 8.500 kg/an, SOx - 1.101 kg/an; și hidrocarburi - 1.513 kg/an (CNAPM, 2015).</w:t>
      </w:r>
    </w:p>
    <w:p w14:paraId="05F2A0D2" w14:textId="77777777" w:rsidR="00670FD4" w:rsidRDefault="00670FD4" w:rsidP="00670FD4">
      <w:pPr>
        <w:spacing w:before="0"/>
        <w:ind w:firstLine="567"/>
        <w:rPr>
          <w:rFonts w:eastAsia="Times New Roman" w:cs="Times New Roman"/>
        </w:rPr>
      </w:pPr>
      <w:r>
        <w:rPr>
          <w:rFonts w:eastAsia="Times New Roman" w:cs="Times New Roman"/>
          <w:color w:val="000000"/>
        </w:rPr>
        <w:t>Operatorii portuari ce desfășoară activități cu impact asupra mediului, au activitatea reglementată prin Autorizația de Mediu, fiind obligați, să monitorizeze prin măsurători periodice calitatea factorilor de mediu afectați. Au fost impuse instalații de reducere a emisiilor (filtre, benzi carcasate), iar acolo unde acest lucru nu se poate realiza, prin programul de conformare au fost impuse perdele forestiere pentru reținerea pulberilor și instalații de umectare.</w:t>
      </w:r>
    </w:p>
    <w:p w14:paraId="48105BA6" w14:textId="77777777" w:rsidR="00670FD4" w:rsidRDefault="00670FD4" w:rsidP="00670FD4">
      <w:pPr>
        <w:pStyle w:val="Heading5"/>
        <w:spacing w:before="0" w:after="120"/>
        <w:rPr>
          <w:b w:val="0"/>
        </w:rPr>
      </w:pPr>
      <w:r>
        <w:rPr>
          <w:b w:val="0"/>
        </w:rPr>
        <w:lastRenderedPageBreak/>
        <w:t>Producere de energie (electrică și termică)</w:t>
      </w:r>
    </w:p>
    <w:p w14:paraId="3698D475" w14:textId="77777777" w:rsidR="00670FD4" w:rsidRDefault="00670FD4" w:rsidP="00670FD4">
      <w:pPr>
        <w:spacing w:before="0"/>
        <w:ind w:firstLine="567"/>
        <w:rPr>
          <w:rFonts w:eastAsia="Times New Roman" w:cs="Times New Roman"/>
        </w:rPr>
      </w:pPr>
      <w:r>
        <w:rPr>
          <w:rFonts w:eastAsia="Times New Roman" w:cs="Times New Roman"/>
          <w:color w:val="000000"/>
        </w:rPr>
        <w:t>În zona costieră românească nu sunt prezenți mari producători de energie electrică, existând doar inițiative locale de producere a energiei electrice din surse regenerabile (panouri solare și fotovoltaice - ex. Midia Green Energy). Referitor la producerea de energie termică, cel mai mare producător din zona costieră este CET Palas Constanța, care folosește gazul natural drept combustibil, urmat de SC Goldterm SA-Mangalia, ce folosește combustibil lichid ușor (CLU). Emisiile de NOx generate de activitatea de producere de energie sunt semnificative la nivelul municipiului Constanța, în 2018 ridicându-se la 324,8 tone/an, reprezentând circa 88 % din totalul emisiilor din surse staționare (acestea, la rândul lor reprezentând 18 % din totalul emisiilor de NOx la nivel de municipiu), conform conform datelor furnizate de Agenția Națională de Protecție a Mediului – Inventar local de emisii 2018. Referitor la emisiilor de monoxid de carbon (CO) și compuși organici volatili nemetanici (NMVOC) generate de sectorul de producere de energie, acestea au fost mai puțin semnificative raportat la totalul emisiilor, cu procente mai mici de 5 %.</w:t>
      </w:r>
    </w:p>
    <w:p w14:paraId="201B6E96" w14:textId="77777777" w:rsidR="00670FD4" w:rsidRDefault="00670FD4" w:rsidP="00670FD4">
      <w:pPr>
        <w:pStyle w:val="Heading5"/>
        <w:spacing w:before="0" w:after="120"/>
        <w:rPr>
          <w:b w:val="0"/>
        </w:rPr>
      </w:pPr>
      <w:r>
        <w:rPr>
          <w:b w:val="0"/>
        </w:rPr>
        <w:t>Încălzire rezidențială</w:t>
      </w:r>
    </w:p>
    <w:p w14:paraId="576E416A" w14:textId="77777777" w:rsidR="00670FD4" w:rsidRDefault="00670FD4" w:rsidP="00670FD4">
      <w:pPr>
        <w:spacing w:before="0"/>
        <w:ind w:firstLine="567"/>
        <w:rPr>
          <w:rFonts w:eastAsia="Times New Roman" w:cs="Times New Roman"/>
          <w:color w:val="000000"/>
        </w:rPr>
      </w:pPr>
      <w:r>
        <w:rPr>
          <w:rFonts w:eastAsia="Times New Roman" w:cs="Times New Roman"/>
          <w:color w:val="000000"/>
        </w:rPr>
        <w:t>În ceea ce privește emisiile de poluanți în atmosferă datorate încălzirii rezidențiale, procentele principalilor poluanți din totalul emisiilor la nivelul anului 2018, în Municipiul Constanța au fost următoarele: NOx - 4,25 %, CO - 5,55 % și NMVOC - 1,39 % (sursa: Agenția Națională de Protecție a Mediului – Inventar local de emisii 2018 și publicate în Studiul de calitate a aerului în municipiul Constanța).</w:t>
      </w:r>
    </w:p>
    <w:p w14:paraId="3BD05FF1" w14:textId="77777777" w:rsidR="00670FD4" w:rsidRDefault="00670FD4" w:rsidP="00670FD4">
      <w:pPr>
        <w:spacing w:before="0"/>
        <w:rPr>
          <w:rFonts w:eastAsia="Times New Roman" w:cs="Times New Roman"/>
        </w:rPr>
      </w:pPr>
      <w:r>
        <w:rPr>
          <w:rFonts w:eastAsia="Times New Roman" w:cs="Times New Roman"/>
        </w:rPr>
        <w:t>Transport</w:t>
      </w:r>
    </w:p>
    <w:p w14:paraId="43FD71A0" w14:textId="77777777" w:rsidR="00670FD4" w:rsidRDefault="00670FD4" w:rsidP="00670FD4">
      <w:pPr>
        <w:spacing w:before="0"/>
        <w:ind w:firstLine="567"/>
        <w:rPr>
          <w:rFonts w:eastAsia="Times New Roman" w:cs="Times New Roman"/>
        </w:rPr>
      </w:pPr>
      <w:r>
        <w:rPr>
          <w:rFonts w:eastAsia="Times New Roman" w:cs="Times New Roman"/>
          <w:color w:val="000000"/>
        </w:rPr>
        <w:t>Sursele mobile prin arderea diferitelor tipuri de combustibili generează emisii directe de gaze cu efect de seră</w:t>
      </w:r>
      <w:r>
        <w:rPr>
          <w:rFonts w:eastAsia="Times New Roman" w:cs="Times New Roman"/>
        </w:rPr>
        <w:t xml:space="preserve"> (</w:t>
      </w:r>
      <w:r>
        <w:rPr>
          <w:rFonts w:eastAsia="Times New Roman" w:cs="Times New Roman"/>
          <w:color w:val="000000"/>
        </w:rPr>
        <w:t>dioxid de carbon, metan și protoxid de azot), precum și mai mulți alți poluanți cum ar fi monoxidul de carbon (CO), compuși organici volatili n</w:t>
      </w:r>
      <w:r>
        <w:rPr>
          <w:rFonts w:eastAsia="Times New Roman" w:cs="Times New Roman"/>
        </w:rPr>
        <w:t>e</w:t>
      </w:r>
      <w:r>
        <w:rPr>
          <w:rFonts w:eastAsia="Times New Roman" w:cs="Times New Roman"/>
          <w:color w:val="000000"/>
        </w:rPr>
        <w:t>metanici (NMVOC), dioxid de sulf (SO</w:t>
      </w:r>
      <w:r>
        <w:rPr>
          <w:rFonts w:eastAsia="Times New Roman" w:cs="Times New Roman"/>
          <w:color w:val="000000"/>
          <w:vertAlign w:val="subscript"/>
        </w:rPr>
        <w:t>2</w:t>
      </w:r>
      <w:r>
        <w:rPr>
          <w:rFonts w:eastAsia="Times New Roman" w:cs="Times New Roman"/>
          <w:color w:val="000000"/>
        </w:rPr>
        <w:t>), particule în suspensie (PM) și oxizi de azot (NOx), care contribuie la poluarea aerului la nivel local sau regional.</w:t>
      </w:r>
    </w:p>
    <w:p w14:paraId="6CFCCF21" w14:textId="77777777" w:rsidR="00670FD4" w:rsidRDefault="00670FD4" w:rsidP="00670FD4">
      <w:pPr>
        <w:spacing w:before="0"/>
        <w:ind w:firstLine="567"/>
        <w:rPr>
          <w:rFonts w:eastAsia="Times New Roman" w:cs="Times New Roman"/>
        </w:rPr>
      </w:pPr>
      <w:r>
        <w:rPr>
          <w:rFonts w:eastAsia="Times New Roman" w:cs="Times New Roman"/>
          <w:color w:val="000000"/>
        </w:rPr>
        <w:t>În partea nordică a zonei costiere, transportul rutier nu este atât de intens comparativ cu zona sudică, sursa majoră de poluare atmosferică fiind activitatea de transport naval desfăşurată pe căile navigabile, atât de ambarcaţiunile mici, cât şi de navele maritime şi fluviale aflate în tranzit. Totuși, nu trebuie neglijate emisiile rezultate din activitatea de transport naval din zonele adiacente părții nordice a zonei costiere, în special în perioada sezonului turistic, majoritatea ambarcațiunilor folosite fiind destul de vechi și poluatoare</w:t>
      </w:r>
    </w:p>
    <w:p w14:paraId="39A3142F" w14:textId="77777777" w:rsidR="00670FD4" w:rsidRDefault="00670FD4" w:rsidP="00670FD4">
      <w:pPr>
        <w:spacing w:before="0"/>
        <w:ind w:firstLine="567"/>
        <w:rPr>
          <w:rFonts w:eastAsia="Times New Roman" w:cs="Times New Roman"/>
          <w:color w:val="000000"/>
        </w:rPr>
      </w:pPr>
      <w:r>
        <w:rPr>
          <w:rFonts w:eastAsia="Times New Roman" w:cs="Times New Roman"/>
          <w:color w:val="000000"/>
        </w:rPr>
        <w:t xml:space="preserve">În partea sudică a zonei costiere (aferentă județului Constanța), mai populată și mai dezvoltată economic, sectorul transporturi este mult mai dezvoltat, atât în ceea ce privește transportul rutier, feroviar, cât și naval. La nivelul municipiului Constanța, contribuția sectorului transportului la totalul emisiilor de NOx a fost de 77,78 % (1.590 t/an), în condițiile în care emisiile din traficul rutier pentru municipiul Constanța aproximativ 52% din emisiile din trafic de la nivelul județului Constanța (conform datelor furnizate de Agenția Națională de Protecție a Mediului – Inventar local de emisii 2018). Referitor la emisiile de CO și NMVOC generate de sectorul transport, acestea au avut o pondere semnificativă în totalul emisiilor, cu procente de 86 %, respectiv 69 % (conform datelor furnizate de Agenția Națională de Protecție </w:t>
      </w:r>
      <w:r>
        <w:rPr>
          <w:rFonts w:eastAsia="Times New Roman" w:cs="Times New Roman"/>
          <w:color w:val="000000"/>
        </w:rPr>
        <w:lastRenderedPageBreak/>
        <w:t xml:space="preserve">a Mediului – Inventar local de emisii 2018 și publicate în Studiul de calitate a aerului în municipiul Constanța). </w:t>
      </w:r>
    </w:p>
    <w:p w14:paraId="404A17D4" w14:textId="77777777" w:rsidR="00670FD4" w:rsidRDefault="00670FD4" w:rsidP="00670FD4">
      <w:pPr>
        <w:spacing w:before="0"/>
        <w:ind w:firstLine="567"/>
        <w:rPr>
          <w:rFonts w:eastAsia="Times New Roman" w:cs="Times New Roman"/>
        </w:rPr>
      </w:pPr>
      <w:r>
        <w:rPr>
          <w:rFonts w:eastAsia="Times New Roman" w:cs="Times New Roman"/>
        </w:rPr>
        <w:t xml:space="preserve">Actualele mǎsuri de reducere a emisiilor generate de traficul urban, în special, sunt insuficiente, fapt demonstrat de valorile zilnice înregistrate în stațiile de tip trafic din partea sudică a zonei costiere, care de multe ori, în sezonul turistic, depășesc valorile limită. În acest caz apar clar nevoia de oferire de alternative viabile de transport urban și interurban, înnoirea parcului auto și restricționarea accesului cu mijloace auto poluante în anumite zone sensibile, precum și dezvoltarea transportului public ecologic. Referitor la transportul naval, deși România a făcut unii pași pentru ecologizarea acestuia (cel puțin la nivel de politici), este nevoie de întărirea eforturilor coordonate ale autorităților competente în domeniul transportului și mediului pentru reducerea amprentei ecologice a transportului naval (exemplu - folosirea diferitelor surse de energie alternativă, alimentarea cu energie electrică a navelor în porturile românești, etc.). </w:t>
      </w:r>
    </w:p>
    <w:p w14:paraId="7581082A" w14:textId="77777777" w:rsidR="00670FD4" w:rsidRDefault="00670FD4" w:rsidP="00670FD4">
      <w:pPr>
        <w:pStyle w:val="Heading5"/>
        <w:spacing w:before="0" w:after="120"/>
        <w:rPr>
          <w:b w:val="0"/>
          <w:u w:val="single"/>
        </w:rPr>
      </w:pPr>
      <w:r>
        <w:rPr>
          <w:b w:val="0"/>
          <w:u w:val="single"/>
        </w:rPr>
        <w:t>Efecte ale poluării aerului</w:t>
      </w:r>
    </w:p>
    <w:p w14:paraId="72231F87" w14:textId="77777777" w:rsidR="00670FD4" w:rsidRDefault="00670FD4" w:rsidP="00670FD4">
      <w:pPr>
        <w:spacing w:before="0"/>
        <w:ind w:firstLine="567"/>
        <w:rPr>
          <w:rFonts w:eastAsia="Times New Roman" w:cs="Times New Roman"/>
        </w:rPr>
      </w:pPr>
      <w:r>
        <w:rPr>
          <w:rFonts w:eastAsia="Times New Roman" w:cs="Times New Roman"/>
          <w:color w:val="000000"/>
        </w:rPr>
        <w:t>Conform Studiului de calitate a aerului în municipiul Constanța, efectele agenților poluanți din atmosferă asupra florei, faunei, omului și construcțiilor depind de mai mulți factori, respectiv concentrația poluanților în aer și timpul de expunere. Din punct de vedere al acțiunii substanțelor poluante din atmosferă asupra florei, faunei și omului, se pot distinge efecte directe și efecte indirecte, astfel:</w:t>
      </w:r>
    </w:p>
    <w:p w14:paraId="487D6A04" w14:textId="77777777" w:rsidR="00670FD4" w:rsidRDefault="00670FD4" w:rsidP="00670FD4">
      <w:pPr>
        <w:numPr>
          <w:ilvl w:val="0"/>
          <w:numId w:val="24"/>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efectele directe, caracterizate prin modificări bruște ale morbidității și mortalității plantelor, animalelor și omului;</w:t>
      </w:r>
    </w:p>
    <w:p w14:paraId="0E58EB8E" w14:textId="77777777" w:rsidR="00670FD4" w:rsidRDefault="00670FD4" w:rsidP="00670FD4">
      <w:pPr>
        <w:numPr>
          <w:ilvl w:val="0"/>
          <w:numId w:val="24"/>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efecte indirecte, prin ploile acide. Caracterul acid al precipitațiilor (pH&lt;5,6) se datorează în special prezenței în atmosferă a dioxidului de sulf și a oxizilor de azot, gaze solubile în apă cu formarea acizilor sulfurici și azotici. </w:t>
      </w:r>
    </w:p>
    <w:p w14:paraId="045160BC" w14:textId="77777777" w:rsidR="00670FD4" w:rsidRDefault="00670FD4" w:rsidP="00670FD4">
      <w:pPr>
        <w:spacing w:before="0"/>
        <w:ind w:firstLine="567"/>
        <w:rPr>
          <w:rFonts w:eastAsia="Times New Roman" w:cs="Times New Roman"/>
        </w:rPr>
      </w:pPr>
      <w:r>
        <w:rPr>
          <w:rFonts w:eastAsia="Times New Roman" w:cs="Times New Roman"/>
          <w:color w:val="000000"/>
        </w:rPr>
        <w:t>Aceste ploi acide pot avea efecte: </w:t>
      </w:r>
    </w:p>
    <w:p w14:paraId="40F8BDF9" w14:textId="77777777" w:rsidR="00670FD4" w:rsidRDefault="00670FD4" w:rsidP="00670FD4">
      <w:pPr>
        <w:numPr>
          <w:ilvl w:val="0"/>
          <w:numId w:val="46"/>
        </w:numPr>
        <w:spacing w:before="0"/>
        <w:ind w:left="1434" w:hanging="357"/>
        <w:rPr>
          <w:rFonts w:eastAsia="Times New Roman" w:cs="Times New Roman"/>
          <w:color w:val="000000"/>
        </w:rPr>
      </w:pPr>
      <w:r>
        <w:rPr>
          <w:rFonts w:eastAsia="Times New Roman" w:cs="Times New Roman"/>
          <w:color w:val="000000"/>
        </w:rPr>
        <w:t>directe asupra organismelor animale și omului (creșterea frecvenței tulburărilor cardio-respiratorii), plantelor (cloroze, necroze, etc.) și asupra materialelor de construcție (acțiune corozivă asupra metalelor, decolorează materialele de construcție, modifică porozitatea acestora);</w:t>
      </w:r>
    </w:p>
    <w:p w14:paraId="219CE3B5" w14:textId="77777777" w:rsidR="00670FD4" w:rsidRDefault="00670FD4" w:rsidP="00670FD4">
      <w:pPr>
        <w:numPr>
          <w:ilvl w:val="0"/>
          <w:numId w:val="46"/>
        </w:numPr>
        <w:spacing w:before="0"/>
        <w:ind w:left="1434" w:hanging="357"/>
        <w:rPr>
          <w:rFonts w:eastAsia="Times New Roman" w:cs="Times New Roman"/>
        </w:rPr>
      </w:pPr>
      <w:r>
        <w:rPr>
          <w:rFonts w:eastAsia="Times New Roman" w:cs="Times New Roman"/>
          <w:color w:val="000000"/>
        </w:rPr>
        <w:t>indirecte asupra componentelor mediului: depunerea compușilor acizi din precipitații pe suprafețele apelor conduce la modificări ai parametrilor fizico-chimici ai acesteia: creșterea conținutului de sulfați și azotați, iar scăderea pH-ului favorizează disocierea unor compuși metalici în apă și creșterea toxicității acestora pentru organismele acvatice; acidifierea solului, conduce la creșterea solubilității ionilor metalelor toxice din sol și absorbția acestora de către plante sau poluarea pânzei freatice.</w:t>
      </w:r>
    </w:p>
    <w:p w14:paraId="1AD85FF6" w14:textId="77777777" w:rsidR="00670FD4" w:rsidRDefault="00670FD4" w:rsidP="00670FD4">
      <w:pPr>
        <w:pStyle w:val="Heading5"/>
        <w:spacing w:before="0" w:after="120"/>
        <w:rPr>
          <w:b w:val="0"/>
          <w:i w:val="0"/>
        </w:rPr>
      </w:pPr>
      <w:r>
        <w:rPr>
          <w:b w:val="0"/>
          <w:i w:val="0"/>
        </w:rPr>
        <w:t>Apă (Poluarea apei)</w:t>
      </w:r>
    </w:p>
    <w:p w14:paraId="79E62599" w14:textId="77777777" w:rsidR="00670FD4" w:rsidRDefault="00670FD4" w:rsidP="00670FD4">
      <w:pPr>
        <w:spacing w:before="0"/>
        <w:rPr>
          <w:rFonts w:eastAsia="Times New Roman" w:cs="Times New Roman"/>
          <w:u w:val="single"/>
        </w:rPr>
      </w:pPr>
      <w:r>
        <w:rPr>
          <w:rFonts w:eastAsia="Times New Roman" w:cs="Times New Roman"/>
          <w:color w:val="000000"/>
          <w:u w:val="single"/>
        </w:rPr>
        <w:t>Ape costiere</w:t>
      </w:r>
    </w:p>
    <w:p w14:paraId="0D3D587E" w14:textId="77777777" w:rsidR="00670FD4" w:rsidRDefault="00670FD4" w:rsidP="00670FD4">
      <w:pPr>
        <w:spacing w:before="0"/>
        <w:ind w:firstLine="567"/>
        <w:rPr>
          <w:rFonts w:eastAsia="Times New Roman" w:cs="Times New Roman"/>
        </w:rPr>
      </w:pPr>
      <w:r>
        <w:rPr>
          <w:rFonts w:eastAsia="Times New Roman" w:cs="Times New Roman"/>
          <w:color w:val="000000"/>
        </w:rPr>
        <w:lastRenderedPageBreak/>
        <w:t>Principala sursă de poluare a mediului marin cu compuși non-sintetici și sintetici o constituie fluviul Dunărea al cărui bazin hidrografic dreneză o suprafață de peste 800.000 km</w:t>
      </w:r>
      <w:r>
        <w:rPr>
          <w:rFonts w:eastAsia="Times New Roman" w:cs="Times New Roman"/>
          <w:color w:val="000000"/>
          <w:vertAlign w:val="superscript"/>
        </w:rPr>
        <w:t>2</w:t>
      </w:r>
      <w:r>
        <w:rPr>
          <w:rFonts w:eastAsia="Times New Roman" w:cs="Times New Roman"/>
          <w:color w:val="000000"/>
        </w:rPr>
        <w:t>, acoperind total sau parțial teritoriul a 18 state europene, colectând evacuările, emisiile și pierderile de poluanți în mediul acvatic. Datele furnizate de către ANAR în 2021 referitoare la nivelul hidrocarburilor totale în apele Dunării, măsurat în stația Reni, raportate la o descărcare de apă anuală de 191,23 km</w:t>
      </w:r>
      <w:r>
        <w:rPr>
          <w:rFonts w:eastAsia="Times New Roman" w:cs="Times New Roman"/>
          <w:color w:val="000000"/>
          <w:vertAlign w:val="superscript"/>
        </w:rPr>
        <w:t>3</w:t>
      </w:r>
      <w:r>
        <w:rPr>
          <w:rFonts w:eastAsia="Times New Roman" w:cs="Times New Roman"/>
          <w:color w:val="000000"/>
        </w:rPr>
        <w:t>, arată un aport de 34.231 tone, semnificativ mai ridicat comparativ cu 2019 (13.555 tone, raportat la o descărcare de apă anuală de 176,04 Km</w:t>
      </w:r>
      <w:r>
        <w:rPr>
          <w:rFonts w:eastAsia="Times New Roman" w:cs="Times New Roman"/>
          <w:color w:val="000000"/>
          <w:vertAlign w:val="superscript"/>
        </w:rPr>
        <w:t>3</w:t>
      </w:r>
      <w:r>
        <w:rPr>
          <w:rFonts w:eastAsia="Times New Roman" w:cs="Times New Roman"/>
          <w:color w:val="000000"/>
        </w:rPr>
        <w:t>). Aceasta se datorează pe de o parte debitului mai ridicat al Dunării în 2021 față de 2019 (media zilnică a debitului la Isaccea în 2021 – 6.064 m</w:t>
      </w:r>
      <w:r>
        <w:rPr>
          <w:rFonts w:eastAsia="Times New Roman" w:cs="Times New Roman"/>
          <w:color w:val="000000"/>
          <w:vertAlign w:val="superscript"/>
        </w:rPr>
        <w:t>3</w:t>
      </w:r>
      <w:r>
        <w:rPr>
          <w:rFonts w:eastAsia="Times New Roman" w:cs="Times New Roman"/>
          <w:color w:val="000000"/>
        </w:rPr>
        <w:t>/s, față de 5.582 m</w:t>
      </w:r>
      <w:r>
        <w:rPr>
          <w:rFonts w:eastAsia="Times New Roman" w:cs="Times New Roman"/>
          <w:color w:val="000000"/>
          <w:vertAlign w:val="superscript"/>
        </w:rPr>
        <w:t>3</w:t>
      </w:r>
      <w:r>
        <w:rPr>
          <w:rFonts w:eastAsia="Times New Roman" w:cs="Times New Roman"/>
          <w:color w:val="000000"/>
        </w:rPr>
        <w:t>/s în 2019, conform Institutului Național de Hidrologie și Gospodărire a Apelor), dar mai ales concentrațiilor semnificativ mai ridicate în 2021 (media anuală de 178,9 µg/l, față de 77,2 µg/l în 2019). Aceste concentrații mult mai ridicate determinate în 2021, comparativ cu anii precedenți, cel mai probabil se datorează intensificării traficului naval pe Dunăre, precum și a activităților portuare, în contextul conflictului generat de invazia Rusiei asupra Ucrainei. Referitor la alți poluanți organici, aportul de bifenili policlorurați (PCB - sumă de 7) și acenaften  al Dunării în 2021 s-a ridicat la 5,5 tone/an, respectiv 1,4 tone/an, mai ridicate comparativ cu 2019, respectiv PCB - 1,8 t/an (ANEMONE Deliverable 2.2, 2021) și acenaften - 1,3 tone/an.</w:t>
      </w:r>
    </w:p>
    <w:p w14:paraId="0578A1A2" w14:textId="77777777" w:rsidR="00670FD4" w:rsidRDefault="00670FD4" w:rsidP="00670FD4">
      <w:pPr>
        <w:spacing w:before="0"/>
        <w:ind w:firstLine="567"/>
        <w:rPr>
          <w:rFonts w:eastAsia="Times New Roman" w:cs="Times New Roman"/>
        </w:rPr>
      </w:pPr>
      <w:r>
        <w:rPr>
          <w:rFonts w:eastAsia="Times New Roman" w:cs="Times New Roman"/>
          <w:color w:val="000000"/>
        </w:rPr>
        <w:t>Referitor la metalele grele, datele furnizate de ANAR arată un aport al Dunării, în 2021, de 342,3 tone/an As, 171,3 tone/an Cr, 898,8 tone/an Cu și 4780 ton/an Zn, pe baza concentrațiilor măsurate la Reni și raportat la un aport de apă dulce de 191,23 km</w:t>
      </w:r>
      <w:r>
        <w:rPr>
          <w:rFonts w:eastAsia="Times New Roman" w:cs="Times New Roman"/>
          <w:color w:val="000000"/>
          <w:vertAlign w:val="superscript"/>
        </w:rPr>
        <w:t>3</w:t>
      </w:r>
      <w:r>
        <w:rPr>
          <w:rFonts w:eastAsia="Times New Roman" w:cs="Times New Roman"/>
          <w:color w:val="000000"/>
        </w:rPr>
        <w:t xml:space="preserve"> (conform INHGA). Aceste date arată aporturi mai ridicate față de 2019 pentru As și Cr (299,2 tone /an As, respectiv 119,7 tone/an Cr, în 2019), în mare parte datorită debitului mai redus al Dunării în 2019, dar mai scăzute pentru Cu (1.126,6 tone/an, în 2019) și Zn (6.865 tone/an, în 2019), sugerând o poluare mai redusă în 2021 cu ape uzate neepurate sau epurate necorespunzător, în special în bazinul Dunării inferioare.</w:t>
      </w:r>
    </w:p>
    <w:p w14:paraId="7FDD7EBE" w14:textId="77777777" w:rsidR="00670FD4" w:rsidRDefault="00670FD4" w:rsidP="00670FD4">
      <w:pPr>
        <w:spacing w:before="0"/>
        <w:ind w:firstLine="567"/>
        <w:rPr>
          <w:rFonts w:eastAsia="Times New Roman" w:cs="Times New Roman"/>
        </w:rPr>
      </w:pPr>
      <w:r>
        <w:rPr>
          <w:rFonts w:eastAsia="Times New Roman" w:cs="Times New Roman"/>
          <w:color w:val="000000"/>
        </w:rPr>
        <w:t>Alte surse majore de poluare difuză a apelor costiere sunt, în special, depunerile atmosferice și apele uzate din unități agricole care utilizează pesticide şi nu se conformează legislaţiei în vigoare, unități agricole unde nu există sistem de canalizare. Estimarea acestor presiuni este dificil de realizat și se bazează pe modele matematice.</w:t>
      </w:r>
    </w:p>
    <w:p w14:paraId="6F543662" w14:textId="77777777" w:rsidR="00670FD4" w:rsidRDefault="00670FD4" w:rsidP="00670FD4">
      <w:pPr>
        <w:spacing w:before="0"/>
        <w:ind w:firstLine="567"/>
        <w:rPr>
          <w:rFonts w:eastAsia="Times New Roman" w:cs="Times New Roman"/>
        </w:rPr>
      </w:pPr>
      <w:r>
        <w:rPr>
          <w:rFonts w:eastAsia="Times New Roman" w:cs="Times New Roman"/>
          <w:color w:val="000000"/>
        </w:rPr>
        <w:t>Referitor la sursele punctiforme, cele mai importante sunt stațiile de epurare care deversează apă epurată în mare.</w:t>
      </w:r>
    </w:p>
    <w:p w14:paraId="0CB73515" w14:textId="77777777" w:rsidR="00670FD4" w:rsidRDefault="00670FD4" w:rsidP="00670FD4">
      <w:pPr>
        <w:spacing w:before="0"/>
        <w:ind w:firstLine="567"/>
        <w:rPr>
          <w:rFonts w:eastAsia="Times New Roman" w:cs="Times New Roman"/>
        </w:rPr>
      </w:pPr>
      <w:r>
        <w:rPr>
          <w:rFonts w:eastAsia="Times New Roman" w:cs="Times New Roman"/>
          <w:color w:val="000000"/>
        </w:rPr>
        <w:t>Complexul industrial Petromidia este deservit de stația de epurare Rafinăria Petromidia Năvodari și Uzina Petrochimică, situate în UAT Năvodari. Categoriile de ape uzate care ajung la stația de epurare includ: i) apa menajeră (inclusiv din instalaţiile Rompetrol Energy și din orașele Năvodari și Corbu); ii) apa pluvială (meteorică); iii) apa cu săruri (din sistemul de răcire cu apă); și iv) apă impură din punct de vedere chimic. </w:t>
      </w:r>
    </w:p>
    <w:p w14:paraId="6B7C1442" w14:textId="77777777" w:rsidR="00670FD4" w:rsidRDefault="00670FD4" w:rsidP="00670FD4">
      <w:pPr>
        <w:spacing w:before="0"/>
        <w:ind w:firstLine="567"/>
        <w:rPr>
          <w:rFonts w:eastAsia="Times New Roman" w:cs="Times New Roman"/>
        </w:rPr>
      </w:pPr>
      <w:r>
        <w:rPr>
          <w:rFonts w:eastAsia="Times New Roman" w:cs="Times New Roman"/>
          <w:color w:val="000000"/>
        </w:rPr>
        <w:t xml:space="preserve">Sistemul de canalizare al rafinăriei este prevăzut cu trasee separate pentru fiecare categorie de ape uzate colectate de pe amplasament. Apa contaminată din punct de vedere chimic rezultată din procesele tehnologice de pe amplasament este colectată în rețeaua dedicată. Toate apele uzate (chimice, meteorice și menajere) de pe amplasament sunt direcționate către Stația de Epurare finală. Apa tratată este evacuată de la stația de epurare a apelor reziduale în cele două iazuri de autoepurare – Iazul I (de liniștire) și Iazul II (cu </w:t>
      </w:r>
      <w:r>
        <w:rPr>
          <w:rFonts w:eastAsia="Times New Roman" w:cs="Times New Roman"/>
          <w:color w:val="000000"/>
        </w:rPr>
        <w:lastRenderedPageBreak/>
        <w:t>macrofite), unde se încheie procesul de epurare biologică (epurare terțiară), iar apoi prin Pârâul Buhaz, în Marea Neagră. Monitorizarea calităţii apei tratate se face la punctul de deversare din Iazul II în pârâul Buhaz.</w:t>
      </w:r>
      <w:r>
        <w:rPr>
          <w:rFonts w:eastAsia="Times New Roman" w:cs="Times New Roman"/>
        </w:rPr>
        <w:t xml:space="preserve"> </w:t>
      </w:r>
      <w:r>
        <w:rPr>
          <w:rFonts w:eastAsia="Times New Roman" w:cs="Times New Roman"/>
          <w:color w:val="000000"/>
        </w:rPr>
        <w:t>Cantitățile de compuși sintetici și nesintetici (monitorizați) care deversează în mare din stația Petromidia sunt redate în Tabelul 2.5.2.2.</w:t>
      </w:r>
    </w:p>
    <w:p w14:paraId="12221992" w14:textId="77777777" w:rsidR="00670FD4" w:rsidRDefault="00670FD4" w:rsidP="00670FD4">
      <w:bookmarkStart w:id="124" w:name="_heading=h.46r0co2" w:colFirst="0" w:colLast="0"/>
      <w:bookmarkEnd w:id="124"/>
    </w:p>
    <w:p w14:paraId="413BB79A" w14:textId="77777777" w:rsidR="00670FD4" w:rsidRDefault="00670FD4" w:rsidP="00670FD4">
      <w:pPr>
        <w:spacing w:after="0" w:line="240" w:lineRule="auto"/>
        <w:jc w:val="center"/>
        <w:rPr>
          <w:rFonts w:eastAsia="Times New Roman" w:cs="Times New Roman"/>
        </w:rPr>
      </w:pPr>
      <w:r>
        <w:rPr>
          <w:rFonts w:eastAsia="Times New Roman" w:cs="Times New Roman"/>
          <w:b/>
          <w:color w:val="000000"/>
        </w:rPr>
        <w:t>Tabel 2.5.2.2 Emisii de substanțe sintetice și nesintetice (tone/an) evacuate din stația de epurare Petromidia (</w:t>
      </w:r>
      <w:r>
        <w:rPr>
          <w:rFonts w:eastAsia="Times New Roman" w:cs="Times New Roman"/>
          <w:b/>
          <w:i/>
          <w:color w:val="000000"/>
        </w:rPr>
        <w:t>sursa: Administrația Națională Apele Române, 2023</w:t>
      </w:r>
      <w:r>
        <w:rPr>
          <w:rFonts w:eastAsia="Times New Roman" w:cs="Times New Roman"/>
          <w:b/>
          <w:color w:val="000000"/>
        </w:rPr>
        <w:t>)</w:t>
      </w:r>
    </w:p>
    <w:tbl>
      <w:tblPr>
        <w:tblW w:w="9006" w:type="dxa"/>
        <w:tblLayout w:type="fixed"/>
        <w:tblLook w:val="0400" w:firstRow="0" w:lastRow="0" w:firstColumn="0" w:lastColumn="0" w:noHBand="0" w:noVBand="1"/>
      </w:tblPr>
      <w:tblGrid>
        <w:gridCol w:w="600"/>
        <w:gridCol w:w="1341"/>
        <w:gridCol w:w="1312"/>
        <w:gridCol w:w="989"/>
        <w:gridCol w:w="1981"/>
        <w:gridCol w:w="1529"/>
        <w:gridCol w:w="1254"/>
      </w:tblGrid>
      <w:tr w:rsidR="00670FD4" w14:paraId="2932F32D" w14:textId="77777777" w:rsidTr="001925BA">
        <w:trPr>
          <w:trHeight w:val="448"/>
        </w:trPr>
        <w:tc>
          <w:tcPr>
            <w:tcW w:w="60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FF665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An</w:t>
            </w:r>
          </w:p>
        </w:tc>
        <w:tc>
          <w:tcPr>
            <w:tcW w:w="3642"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04DCF6" w14:textId="77777777" w:rsidR="00670FD4" w:rsidRDefault="00670FD4" w:rsidP="001925BA">
            <w:pPr>
              <w:spacing w:before="0" w:after="0" w:line="240" w:lineRule="auto"/>
              <w:jc w:val="center"/>
              <w:rPr>
                <w:rFonts w:eastAsia="Times New Roman" w:cs="Times New Roman"/>
                <w:sz w:val="20"/>
                <w:szCs w:val="20"/>
              </w:rPr>
            </w:pPr>
            <w:r>
              <w:rPr>
                <w:rFonts w:eastAsia="Times New Roman" w:cs="Times New Roman"/>
                <w:color w:val="000000"/>
                <w:sz w:val="20"/>
                <w:szCs w:val="20"/>
              </w:rPr>
              <w:t>Metale grele</w:t>
            </w:r>
          </w:p>
        </w:tc>
        <w:tc>
          <w:tcPr>
            <w:tcW w:w="1981"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9D914D"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Hidrocarburi totale, tone/an </w:t>
            </w:r>
          </w:p>
        </w:tc>
        <w:tc>
          <w:tcPr>
            <w:tcW w:w="1529"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DBF8D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Detergenți tone/an</w:t>
            </w:r>
          </w:p>
        </w:tc>
        <w:tc>
          <w:tcPr>
            <w:tcW w:w="125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E5F69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Fenoli tone/an</w:t>
            </w:r>
          </w:p>
        </w:tc>
      </w:tr>
      <w:tr w:rsidR="00670FD4" w14:paraId="0685D18F" w14:textId="77777777" w:rsidTr="001925BA">
        <w:trPr>
          <w:trHeight w:val="440"/>
        </w:trPr>
        <w:tc>
          <w:tcPr>
            <w:tcW w:w="60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A7CEDB"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B7624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Zn total, tone/an</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430D6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Cu total tone/an</w:t>
            </w:r>
          </w:p>
        </w:tc>
        <w:tc>
          <w:tcPr>
            <w:tcW w:w="9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65CB56" w14:textId="77777777" w:rsidR="00670FD4" w:rsidRDefault="00670FD4" w:rsidP="001925BA">
            <w:pPr>
              <w:spacing w:before="0" w:after="0" w:line="240" w:lineRule="auto"/>
              <w:ind w:firstLine="39"/>
              <w:rPr>
                <w:rFonts w:eastAsia="Times New Roman" w:cs="Times New Roman"/>
                <w:sz w:val="20"/>
                <w:szCs w:val="20"/>
              </w:rPr>
            </w:pPr>
            <w:r>
              <w:rPr>
                <w:rFonts w:eastAsia="Times New Roman" w:cs="Times New Roman"/>
                <w:color w:val="000000"/>
                <w:sz w:val="20"/>
                <w:szCs w:val="20"/>
              </w:rPr>
              <w:t>Cr total</w:t>
            </w:r>
          </w:p>
          <w:p w14:paraId="4F366E72" w14:textId="77777777" w:rsidR="00670FD4" w:rsidRDefault="00670FD4" w:rsidP="001925BA">
            <w:pPr>
              <w:spacing w:before="0" w:after="0" w:line="240" w:lineRule="auto"/>
              <w:ind w:firstLine="39"/>
              <w:rPr>
                <w:rFonts w:eastAsia="Times New Roman" w:cs="Times New Roman"/>
                <w:sz w:val="20"/>
                <w:szCs w:val="20"/>
              </w:rPr>
            </w:pPr>
            <w:r>
              <w:rPr>
                <w:rFonts w:eastAsia="Times New Roman" w:cs="Times New Roman"/>
                <w:color w:val="000000"/>
                <w:sz w:val="20"/>
                <w:szCs w:val="20"/>
              </w:rPr>
              <w:t>tone/an</w:t>
            </w:r>
          </w:p>
        </w:tc>
        <w:tc>
          <w:tcPr>
            <w:tcW w:w="1981"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37DAD6"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1529"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D33243"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1254"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3C0B2E"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r>
      <w:tr w:rsidR="00670FD4" w14:paraId="41FE9E1F" w14:textId="77777777" w:rsidTr="001925BA">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C5195D"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2015</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6AEA6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0,16</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AEBD7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0,01</w:t>
            </w:r>
          </w:p>
        </w:tc>
        <w:tc>
          <w:tcPr>
            <w:tcW w:w="9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A86955" w14:textId="77777777" w:rsidR="00670FD4" w:rsidRDefault="00670FD4" w:rsidP="001925BA">
            <w:pPr>
              <w:spacing w:before="0" w:after="0" w:line="240" w:lineRule="auto"/>
              <w:ind w:firstLine="39"/>
              <w:rPr>
                <w:rFonts w:eastAsia="Times New Roman" w:cs="Times New Roman"/>
                <w:sz w:val="20"/>
                <w:szCs w:val="20"/>
              </w:rPr>
            </w:pPr>
            <w:r>
              <w:rPr>
                <w:rFonts w:eastAsia="Times New Roman" w:cs="Times New Roman"/>
                <w:color w:val="000000"/>
                <w:sz w:val="20"/>
                <w:szCs w:val="20"/>
              </w:rPr>
              <w:t>0,25</w:t>
            </w:r>
          </w:p>
        </w:tc>
        <w:tc>
          <w:tcPr>
            <w:tcW w:w="1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DDC48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0,0006</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CA844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0,0004</w:t>
            </w:r>
          </w:p>
        </w:tc>
        <w:tc>
          <w:tcPr>
            <w:tcW w:w="1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40977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0,00002</w:t>
            </w:r>
          </w:p>
        </w:tc>
      </w:tr>
      <w:tr w:rsidR="00670FD4" w14:paraId="0BCB1863" w14:textId="77777777" w:rsidTr="001925BA">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04DD7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2016</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B0B54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0,05</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286F7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0,02</w:t>
            </w:r>
          </w:p>
        </w:tc>
        <w:tc>
          <w:tcPr>
            <w:tcW w:w="9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48106D" w14:textId="77777777" w:rsidR="00670FD4" w:rsidRDefault="00670FD4" w:rsidP="001925BA">
            <w:pPr>
              <w:spacing w:before="0" w:after="0" w:line="240" w:lineRule="auto"/>
              <w:ind w:firstLine="39"/>
              <w:rPr>
                <w:rFonts w:eastAsia="Times New Roman" w:cs="Times New Roman"/>
                <w:sz w:val="20"/>
                <w:szCs w:val="20"/>
              </w:rPr>
            </w:pPr>
            <w:r>
              <w:rPr>
                <w:rFonts w:eastAsia="Times New Roman" w:cs="Times New Roman"/>
                <w:color w:val="000000"/>
                <w:sz w:val="20"/>
                <w:szCs w:val="20"/>
              </w:rPr>
              <w:t>0,003</w:t>
            </w:r>
          </w:p>
        </w:tc>
        <w:tc>
          <w:tcPr>
            <w:tcW w:w="1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AAFF49"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0,002</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107D9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0,0003</w:t>
            </w:r>
          </w:p>
        </w:tc>
        <w:tc>
          <w:tcPr>
            <w:tcW w:w="1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AFF808"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0,000003</w:t>
            </w:r>
          </w:p>
        </w:tc>
      </w:tr>
      <w:tr w:rsidR="00670FD4" w14:paraId="7354EBE7" w14:textId="77777777" w:rsidTr="001925BA">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733A6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2017</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9429E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0,46</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1779D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0,06</w:t>
            </w:r>
          </w:p>
        </w:tc>
        <w:tc>
          <w:tcPr>
            <w:tcW w:w="9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AB57C0" w14:textId="77777777" w:rsidR="00670FD4" w:rsidRDefault="00670FD4" w:rsidP="001925BA">
            <w:pPr>
              <w:spacing w:before="0" w:after="0" w:line="240" w:lineRule="auto"/>
              <w:ind w:firstLine="39"/>
              <w:rPr>
                <w:rFonts w:eastAsia="Times New Roman" w:cs="Times New Roman"/>
                <w:sz w:val="20"/>
                <w:szCs w:val="20"/>
              </w:rPr>
            </w:pPr>
            <w:r>
              <w:rPr>
                <w:rFonts w:eastAsia="Times New Roman" w:cs="Times New Roman"/>
                <w:color w:val="000000"/>
                <w:sz w:val="20"/>
                <w:szCs w:val="20"/>
              </w:rPr>
              <w:t>0,007</w:t>
            </w:r>
          </w:p>
        </w:tc>
        <w:tc>
          <w:tcPr>
            <w:tcW w:w="1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521E4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0,003</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5FF569"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0,0005</w:t>
            </w:r>
          </w:p>
        </w:tc>
        <w:tc>
          <w:tcPr>
            <w:tcW w:w="1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56ADC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0,00004</w:t>
            </w:r>
          </w:p>
        </w:tc>
      </w:tr>
      <w:tr w:rsidR="00670FD4" w14:paraId="62F73E66" w14:textId="77777777" w:rsidTr="001925BA">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EAE37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2018</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264C3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0,18</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47967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0,03</w:t>
            </w:r>
          </w:p>
        </w:tc>
        <w:tc>
          <w:tcPr>
            <w:tcW w:w="9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64A9C1" w14:textId="77777777" w:rsidR="00670FD4" w:rsidRDefault="00670FD4" w:rsidP="001925BA">
            <w:pPr>
              <w:spacing w:before="0" w:after="0" w:line="240" w:lineRule="auto"/>
              <w:ind w:firstLine="39"/>
              <w:rPr>
                <w:rFonts w:eastAsia="Times New Roman" w:cs="Times New Roman"/>
                <w:sz w:val="20"/>
                <w:szCs w:val="20"/>
              </w:rPr>
            </w:pPr>
            <w:r>
              <w:rPr>
                <w:rFonts w:eastAsia="Times New Roman" w:cs="Times New Roman"/>
                <w:color w:val="000000"/>
                <w:sz w:val="20"/>
                <w:szCs w:val="20"/>
              </w:rPr>
              <w:t>0,004</w:t>
            </w:r>
          </w:p>
        </w:tc>
        <w:tc>
          <w:tcPr>
            <w:tcW w:w="1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D1060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0,001</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E0841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0,0003</w:t>
            </w:r>
          </w:p>
        </w:tc>
        <w:tc>
          <w:tcPr>
            <w:tcW w:w="1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377E5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0,00002</w:t>
            </w:r>
          </w:p>
        </w:tc>
      </w:tr>
      <w:tr w:rsidR="00670FD4" w14:paraId="3230EB26" w14:textId="77777777" w:rsidTr="001925BA">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21CAFC"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2019</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75100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0,24</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F46DE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0,02</w:t>
            </w:r>
          </w:p>
        </w:tc>
        <w:tc>
          <w:tcPr>
            <w:tcW w:w="9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29FC55" w14:textId="77777777" w:rsidR="00670FD4" w:rsidRDefault="00670FD4" w:rsidP="001925BA">
            <w:pPr>
              <w:spacing w:before="0" w:after="0" w:line="240" w:lineRule="auto"/>
              <w:ind w:firstLine="39"/>
              <w:rPr>
                <w:rFonts w:eastAsia="Times New Roman" w:cs="Times New Roman"/>
                <w:sz w:val="20"/>
                <w:szCs w:val="20"/>
              </w:rPr>
            </w:pPr>
            <w:r>
              <w:rPr>
                <w:rFonts w:eastAsia="Times New Roman" w:cs="Times New Roman"/>
                <w:color w:val="000000"/>
                <w:sz w:val="20"/>
                <w:szCs w:val="20"/>
              </w:rPr>
              <w:t>0,003</w:t>
            </w:r>
          </w:p>
        </w:tc>
        <w:tc>
          <w:tcPr>
            <w:tcW w:w="1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C21D8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0,001</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F4677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0,0004</w:t>
            </w:r>
          </w:p>
        </w:tc>
        <w:tc>
          <w:tcPr>
            <w:tcW w:w="1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311CF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0,00001</w:t>
            </w:r>
          </w:p>
        </w:tc>
      </w:tr>
      <w:tr w:rsidR="00670FD4" w14:paraId="0A2B7070" w14:textId="77777777" w:rsidTr="001925BA">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B9EC4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2020</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AACAC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0,22</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31B30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0,09</w:t>
            </w:r>
          </w:p>
        </w:tc>
        <w:tc>
          <w:tcPr>
            <w:tcW w:w="9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AD9D4A" w14:textId="77777777" w:rsidR="00670FD4" w:rsidRDefault="00670FD4" w:rsidP="001925BA">
            <w:pPr>
              <w:spacing w:before="0" w:after="0" w:line="240" w:lineRule="auto"/>
              <w:ind w:firstLine="39"/>
              <w:rPr>
                <w:rFonts w:eastAsia="Times New Roman" w:cs="Times New Roman"/>
                <w:sz w:val="20"/>
                <w:szCs w:val="20"/>
              </w:rPr>
            </w:pPr>
            <w:r>
              <w:rPr>
                <w:rFonts w:eastAsia="Times New Roman" w:cs="Times New Roman"/>
                <w:color w:val="000000"/>
                <w:sz w:val="20"/>
                <w:szCs w:val="20"/>
              </w:rPr>
              <w:t>0,005</w:t>
            </w:r>
          </w:p>
        </w:tc>
        <w:tc>
          <w:tcPr>
            <w:tcW w:w="1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77C48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0,001</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BB1BB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0,0004</w:t>
            </w:r>
          </w:p>
        </w:tc>
        <w:tc>
          <w:tcPr>
            <w:tcW w:w="1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22914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0,00001</w:t>
            </w:r>
          </w:p>
        </w:tc>
      </w:tr>
      <w:tr w:rsidR="00670FD4" w14:paraId="10FA7413" w14:textId="77777777" w:rsidTr="001925BA">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853BE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2021</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57BDC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0,22</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1818E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0,08</w:t>
            </w:r>
          </w:p>
        </w:tc>
        <w:tc>
          <w:tcPr>
            <w:tcW w:w="9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7FB314" w14:textId="77777777" w:rsidR="00670FD4" w:rsidRDefault="00670FD4" w:rsidP="001925BA">
            <w:pPr>
              <w:spacing w:before="0" w:after="0" w:line="240" w:lineRule="auto"/>
              <w:ind w:firstLine="39"/>
              <w:rPr>
                <w:rFonts w:eastAsia="Times New Roman" w:cs="Times New Roman"/>
                <w:sz w:val="20"/>
                <w:szCs w:val="20"/>
              </w:rPr>
            </w:pPr>
            <w:r>
              <w:rPr>
                <w:rFonts w:eastAsia="Times New Roman" w:cs="Times New Roman"/>
                <w:color w:val="000000"/>
                <w:sz w:val="20"/>
                <w:szCs w:val="20"/>
              </w:rPr>
              <w:t>0,004</w:t>
            </w:r>
          </w:p>
        </w:tc>
        <w:tc>
          <w:tcPr>
            <w:tcW w:w="1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05CE5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0,002</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C9FC2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0,0005</w:t>
            </w:r>
          </w:p>
        </w:tc>
        <w:tc>
          <w:tcPr>
            <w:tcW w:w="1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DA68FC"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0,00005</w:t>
            </w:r>
          </w:p>
        </w:tc>
      </w:tr>
    </w:tbl>
    <w:p w14:paraId="7343BF5C" w14:textId="77777777" w:rsidR="00670FD4" w:rsidRDefault="00670FD4" w:rsidP="00670FD4"/>
    <w:p w14:paraId="0911310C" w14:textId="77777777" w:rsidR="00670FD4" w:rsidRDefault="00670FD4" w:rsidP="00670FD4">
      <w:pPr>
        <w:ind w:firstLine="567"/>
        <w:rPr>
          <w:rFonts w:eastAsia="Times New Roman" w:cs="Times New Roman"/>
          <w:color w:val="000000"/>
        </w:rPr>
      </w:pPr>
      <w:r>
        <w:rPr>
          <w:rFonts w:eastAsia="Times New Roman" w:cs="Times New Roman"/>
          <w:color w:val="000000"/>
        </w:rPr>
        <w:t>Cantitățile de compuși sintetici și nesintetici (monitorizați) care deversează în mare din stațiile de epurare urbane Constanța Nord, Constanța Sud, Eforie Sud și Mangalia sunt redate în Tabelele 2.5.2.3 – 2.5.2.6. Se remarcă, în stația Constanța Nord, creșterea, în ultimii anii, a emisiilor de metale grele în apa de mare, în timp ce emisiile deversate din stația Eforie Sud prezintă un trend descrescător, începând cu 2019 (an în care a fost modernizată). Până în acest an, atât stația Eforie Sud, cât și Mangalia deversau o importantă cantitate de apă insuficient epurată. Aceste trei stații deservesc, preponderent, populația, caracteristic fiind faptul că emisiile variază sezonier, cu un vîrf în perioada iulie-august.</w:t>
      </w:r>
    </w:p>
    <w:p w14:paraId="73936050" w14:textId="77777777" w:rsidR="00670FD4" w:rsidRDefault="00670FD4" w:rsidP="00670FD4">
      <w:pPr>
        <w:ind w:firstLine="567"/>
        <w:rPr>
          <w:rFonts w:eastAsia="Times New Roman" w:cs="Times New Roman"/>
          <w:color w:val="000000"/>
        </w:rPr>
      </w:pPr>
    </w:p>
    <w:p w14:paraId="77E2DDC9" w14:textId="77777777" w:rsidR="00670FD4" w:rsidRDefault="00670FD4" w:rsidP="00670FD4">
      <w:pPr>
        <w:spacing w:line="240" w:lineRule="auto"/>
        <w:ind w:firstLine="540"/>
        <w:jc w:val="center"/>
        <w:rPr>
          <w:rFonts w:eastAsia="Times New Roman" w:cs="Times New Roman"/>
          <w:b/>
        </w:rPr>
      </w:pPr>
      <w:bookmarkStart w:id="125" w:name="_heading=h.2lwamvv" w:colFirst="0" w:colLast="0"/>
      <w:bookmarkEnd w:id="125"/>
      <w:r>
        <w:rPr>
          <w:rFonts w:eastAsia="Times New Roman" w:cs="Times New Roman"/>
          <w:b/>
          <w:color w:val="000000"/>
        </w:rPr>
        <w:t>Tabel 2.5.2.3 Emisii de substanțe sintetice și nesintetice (tone/an) din stația de epurare urbană Constanța Sud (</w:t>
      </w:r>
      <w:r>
        <w:rPr>
          <w:rFonts w:eastAsia="Times New Roman" w:cs="Times New Roman"/>
          <w:b/>
          <w:i/>
          <w:color w:val="000000"/>
        </w:rPr>
        <w:t>sursa: Administrația Națională Apele Române, 2023</w:t>
      </w:r>
      <w:r>
        <w:rPr>
          <w:rFonts w:eastAsia="Times New Roman" w:cs="Times New Roman"/>
          <w:b/>
          <w:color w:val="000000"/>
        </w:rPr>
        <w:t>)</w:t>
      </w:r>
    </w:p>
    <w:tbl>
      <w:tblPr>
        <w:tblW w:w="9006" w:type="dxa"/>
        <w:tblLayout w:type="fixed"/>
        <w:tblLook w:val="0400" w:firstRow="0" w:lastRow="0" w:firstColumn="0" w:lastColumn="0" w:noHBand="0" w:noVBand="1"/>
      </w:tblPr>
      <w:tblGrid>
        <w:gridCol w:w="600"/>
        <w:gridCol w:w="1341"/>
        <w:gridCol w:w="1312"/>
        <w:gridCol w:w="990"/>
        <w:gridCol w:w="1980"/>
        <w:gridCol w:w="1529"/>
        <w:gridCol w:w="1254"/>
      </w:tblGrid>
      <w:tr w:rsidR="00670FD4" w14:paraId="4E176205" w14:textId="77777777" w:rsidTr="001925BA">
        <w:trPr>
          <w:trHeight w:val="440"/>
        </w:trPr>
        <w:tc>
          <w:tcPr>
            <w:tcW w:w="60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636A9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An</w:t>
            </w:r>
          </w:p>
        </w:tc>
        <w:tc>
          <w:tcPr>
            <w:tcW w:w="3643"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FE2050" w14:textId="77777777" w:rsidR="00670FD4" w:rsidRDefault="00670FD4" w:rsidP="001925BA">
            <w:pPr>
              <w:spacing w:before="0" w:after="0" w:line="240" w:lineRule="auto"/>
              <w:jc w:val="center"/>
              <w:rPr>
                <w:rFonts w:eastAsia="Times New Roman" w:cs="Times New Roman"/>
                <w:sz w:val="20"/>
                <w:szCs w:val="20"/>
              </w:rPr>
            </w:pPr>
            <w:r>
              <w:rPr>
                <w:rFonts w:eastAsia="Times New Roman" w:cs="Times New Roman"/>
                <w:color w:val="000000"/>
                <w:sz w:val="20"/>
                <w:szCs w:val="20"/>
              </w:rPr>
              <w:t>Metale grele</w:t>
            </w:r>
          </w:p>
        </w:tc>
        <w:tc>
          <w:tcPr>
            <w:tcW w:w="198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2A92F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Hidrocarburi totale, tone/an </w:t>
            </w:r>
          </w:p>
        </w:tc>
        <w:tc>
          <w:tcPr>
            <w:tcW w:w="1529"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563D18"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Detergenți tone/an</w:t>
            </w:r>
          </w:p>
        </w:tc>
        <w:tc>
          <w:tcPr>
            <w:tcW w:w="125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72905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Fenoli tone/an</w:t>
            </w:r>
          </w:p>
        </w:tc>
      </w:tr>
      <w:tr w:rsidR="00670FD4" w14:paraId="5468110E" w14:textId="77777777" w:rsidTr="001925BA">
        <w:trPr>
          <w:trHeight w:val="440"/>
        </w:trPr>
        <w:tc>
          <w:tcPr>
            <w:tcW w:w="60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18378D"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17FEF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Zn total, tone/an</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9DA640" w14:textId="77777777" w:rsidR="00670FD4" w:rsidRDefault="00670FD4" w:rsidP="001925BA">
            <w:pPr>
              <w:spacing w:before="0" w:after="0" w:line="240" w:lineRule="auto"/>
              <w:ind w:firstLine="76"/>
              <w:rPr>
                <w:rFonts w:eastAsia="Times New Roman" w:cs="Times New Roman"/>
                <w:sz w:val="20"/>
                <w:szCs w:val="20"/>
              </w:rPr>
            </w:pPr>
            <w:r>
              <w:rPr>
                <w:rFonts w:eastAsia="Times New Roman" w:cs="Times New Roman"/>
                <w:color w:val="000000"/>
                <w:sz w:val="20"/>
                <w:szCs w:val="20"/>
              </w:rPr>
              <w:t>Cu total tone/an</w:t>
            </w:r>
          </w:p>
        </w:tc>
        <w:tc>
          <w:tcPr>
            <w:tcW w:w="9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FF882B" w14:textId="77777777" w:rsidR="00670FD4" w:rsidRDefault="00670FD4" w:rsidP="001925BA">
            <w:pPr>
              <w:spacing w:before="0" w:after="0" w:line="240" w:lineRule="auto"/>
              <w:ind w:firstLine="39"/>
              <w:rPr>
                <w:rFonts w:eastAsia="Times New Roman" w:cs="Times New Roman"/>
                <w:sz w:val="20"/>
                <w:szCs w:val="20"/>
              </w:rPr>
            </w:pPr>
            <w:r>
              <w:rPr>
                <w:rFonts w:eastAsia="Times New Roman" w:cs="Times New Roman"/>
                <w:color w:val="000000"/>
                <w:sz w:val="20"/>
                <w:szCs w:val="20"/>
              </w:rPr>
              <w:t>Cr total</w:t>
            </w:r>
          </w:p>
          <w:p w14:paraId="4117A5D3" w14:textId="77777777" w:rsidR="00670FD4" w:rsidRDefault="00670FD4" w:rsidP="001925BA">
            <w:pPr>
              <w:spacing w:before="0" w:after="0" w:line="240" w:lineRule="auto"/>
              <w:ind w:firstLine="39"/>
              <w:rPr>
                <w:rFonts w:eastAsia="Times New Roman" w:cs="Times New Roman"/>
                <w:sz w:val="20"/>
                <w:szCs w:val="20"/>
              </w:rPr>
            </w:pPr>
            <w:r>
              <w:rPr>
                <w:rFonts w:eastAsia="Times New Roman" w:cs="Times New Roman"/>
                <w:color w:val="000000"/>
                <w:sz w:val="20"/>
                <w:szCs w:val="20"/>
              </w:rPr>
              <w:t>tone/an</w:t>
            </w:r>
          </w:p>
        </w:tc>
        <w:tc>
          <w:tcPr>
            <w:tcW w:w="198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416A94"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1529"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A28688"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1254"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0FF648"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r>
      <w:tr w:rsidR="00670FD4" w14:paraId="02A7C2BC" w14:textId="77777777" w:rsidTr="001925BA">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632B5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2015</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81851C"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1,03</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DC7656" w14:textId="77777777" w:rsidR="00670FD4" w:rsidRDefault="00670FD4" w:rsidP="001925BA">
            <w:pPr>
              <w:spacing w:before="0" w:after="0" w:line="240" w:lineRule="auto"/>
              <w:ind w:firstLine="76"/>
              <w:rPr>
                <w:rFonts w:eastAsia="Times New Roman" w:cs="Times New Roman"/>
                <w:sz w:val="20"/>
                <w:szCs w:val="20"/>
              </w:rPr>
            </w:pPr>
            <w:r>
              <w:rPr>
                <w:rFonts w:eastAsia="Times New Roman" w:cs="Times New Roman"/>
                <w:color w:val="000000"/>
                <w:sz w:val="20"/>
                <w:szCs w:val="20"/>
              </w:rPr>
              <w:t>0,05</w:t>
            </w:r>
          </w:p>
        </w:tc>
        <w:tc>
          <w:tcPr>
            <w:tcW w:w="9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B4A220" w14:textId="77777777" w:rsidR="00670FD4" w:rsidRDefault="00670FD4" w:rsidP="001925BA">
            <w:pPr>
              <w:spacing w:before="0" w:after="0" w:line="240" w:lineRule="auto"/>
              <w:ind w:firstLine="39"/>
              <w:rPr>
                <w:rFonts w:eastAsia="Times New Roman" w:cs="Times New Roman"/>
                <w:sz w:val="20"/>
                <w:szCs w:val="20"/>
              </w:rPr>
            </w:pPr>
            <w:r>
              <w:rPr>
                <w:rFonts w:eastAsia="Times New Roman" w:cs="Times New Roman"/>
                <w:color w:val="000000"/>
                <w:sz w:val="20"/>
                <w:szCs w:val="20"/>
              </w:rPr>
              <w:t>0,04</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BC7A38"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0,005</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A992F5"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0,007</w:t>
            </w:r>
          </w:p>
        </w:tc>
        <w:tc>
          <w:tcPr>
            <w:tcW w:w="1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7787F7" w14:textId="77777777" w:rsidR="00670FD4" w:rsidRDefault="00670FD4" w:rsidP="001925BA">
            <w:pPr>
              <w:spacing w:before="0" w:after="0" w:line="240" w:lineRule="auto"/>
              <w:ind w:firstLine="76"/>
              <w:rPr>
                <w:rFonts w:eastAsia="Times New Roman" w:cs="Times New Roman"/>
                <w:sz w:val="20"/>
                <w:szCs w:val="20"/>
              </w:rPr>
            </w:pPr>
            <w:r>
              <w:rPr>
                <w:rFonts w:eastAsia="Times New Roman" w:cs="Times New Roman"/>
                <w:color w:val="000000"/>
                <w:sz w:val="20"/>
                <w:szCs w:val="20"/>
              </w:rPr>
              <w:t>0,0002</w:t>
            </w:r>
          </w:p>
        </w:tc>
      </w:tr>
      <w:tr w:rsidR="00670FD4" w14:paraId="5A686786" w14:textId="77777777" w:rsidTr="001925BA">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E65C0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2016</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650EB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1,05</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F2B723" w14:textId="77777777" w:rsidR="00670FD4" w:rsidRDefault="00670FD4" w:rsidP="001925BA">
            <w:pPr>
              <w:spacing w:before="0" w:after="0" w:line="240" w:lineRule="auto"/>
              <w:ind w:firstLine="76"/>
              <w:rPr>
                <w:rFonts w:eastAsia="Times New Roman" w:cs="Times New Roman"/>
                <w:sz w:val="20"/>
                <w:szCs w:val="20"/>
              </w:rPr>
            </w:pPr>
            <w:r>
              <w:rPr>
                <w:rFonts w:eastAsia="Times New Roman" w:cs="Times New Roman"/>
                <w:color w:val="000000"/>
                <w:sz w:val="20"/>
                <w:szCs w:val="20"/>
              </w:rPr>
              <w:t>0,02</w:t>
            </w:r>
          </w:p>
        </w:tc>
        <w:tc>
          <w:tcPr>
            <w:tcW w:w="9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686AB8" w14:textId="77777777" w:rsidR="00670FD4" w:rsidRDefault="00670FD4" w:rsidP="001925BA">
            <w:pPr>
              <w:spacing w:before="0" w:after="0" w:line="240" w:lineRule="auto"/>
              <w:ind w:firstLine="39"/>
              <w:rPr>
                <w:rFonts w:eastAsia="Times New Roman" w:cs="Times New Roman"/>
                <w:sz w:val="20"/>
                <w:szCs w:val="20"/>
              </w:rPr>
            </w:pPr>
            <w:r>
              <w:rPr>
                <w:rFonts w:eastAsia="Times New Roman" w:cs="Times New Roman"/>
                <w:color w:val="000000"/>
                <w:sz w:val="20"/>
                <w:szCs w:val="20"/>
              </w:rPr>
              <w:t>0,003</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D2E6BE"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0,002</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EACEF5"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0,0003</w:t>
            </w:r>
          </w:p>
        </w:tc>
        <w:tc>
          <w:tcPr>
            <w:tcW w:w="1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124EDD" w14:textId="77777777" w:rsidR="00670FD4" w:rsidRDefault="00670FD4" w:rsidP="001925BA">
            <w:pPr>
              <w:spacing w:before="0" w:after="0" w:line="240" w:lineRule="auto"/>
              <w:ind w:firstLine="76"/>
              <w:rPr>
                <w:rFonts w:eastAsia="Times New Roman" w:cs="Times New Roman"/>
                <w:sz w:val="20"/>
                <w:szCs w:val="20"/>
              </w:rPr>
            </w:pPr>
            <w:r>
              <w:rPr>
                <w:rFonts w:eastAsia="Times New Roman" w:cs="Times New Roman"/>
                <w:color w:val="000000"/>
                <w:sz w:val="20"/>
                <w:szCs w:val="20"/>
              </w:rPr>
              <w:t>0,000003</w:t>
            </w:r>
          </w:p>
        </w:tc>
      </w:tr>
      <w:tr w:rsidR="00670FD4" w14:paraId="3E9F13AC" w14:textId="77777777" w:rsidTr="001925BA">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58679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2017</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8B7CAD"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0,46</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3ACAE5" w14:textId="77777777" w:rsidR="00670FD4" w:rsidRDefault="00670FD4" w:rsidP="001925BA">
            <w:pPr>
              <w:spacing w:before="0" w:after="0" w:line="240" w:lineRule="auto"/>
              <w:ind w:firstLine="76"/>
              <w:rPr>
                <w:rFonts w:eastAsia="Times New Roman" w:cs="Times New Roman"/>
                <w:sz w:val="20"/>
                <w:szCs w:val="20"/>
              </w:rPr>
            </w:pPr>
            <w:r>
              <w:rPr>
                <w:rFonts w:eastAsia="Times New Roman" w:cs="Times New Roman"/>
                <w:color w:val="000000"/>
                <w:sz w:val="20"/>
                <w:szCs w:val="20"/>
              </w:rPr>
              <w:t>0,06</w:t>
            </w:r>
          </w:p>
        </w:tc>
        <w:tc>
          <w:tcPr>
            <w:tcW w:w="9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868910" w14:textId="77777777" w:rsidR="00670FD4" w:rsidRDefault="00670FD4" w:rsidP="001925BA">
            <w:pPr>
              <w:spacing w:before="0" w:after="0" w:line="240" w:lineRule="auto"/>
              <w:ind w:firstLine="39"/>
              <w:rPr>
                <w:rFonts w:eastAsia="Times New Roman" w:cs="Times New Roman"/>
                <w:sz w:val="20"/>
                <w:szCs w:val="20"/>
              </w:rPr>
            </w:pPr>
            <w:r>
              <w:rPr>
                <w:rFonts w:eastAsia="Times New Roman" w:cs="Times New Roman"/>
                <w:color w:val="000000"/>
                <w:sz w:val="20"/>
                <w:szCs w:val="20"/>
              </w:rPr>
              <w:t>0,007</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44E46F"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0,003</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FC43F3"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0,0005</w:t>
            </w:r>
          </w:p>
        </w:tc>
        <w:tc>
          <w:tcPr>
            <w:tcW w:w="1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C7A203" w14:textId="77777777" w:rsidR="00670FD4" w:rsidRDefault="00670FD4" w:rsidP="001925BA">
            <w:pPr>
              <w:spacing w:before="0" w:after="0" w:line="240" w:lineRule="auto"/>
              <w:ind w:firstLine="76"/>
              <w:rPr>
                <w:rFonts w:eastAsia="Times New Roman" w:cs="Times New Roman"/>
                <w:sz w:val="20"/>
                <w:szCs w:val="20"/>
              </w:rPr>
            </w:pPr>
            <w:r>
              <w:rPr>
                <w:rFonts w:eastAsia="Times New Roman" w:cs="Times New Roman"/>
                <w:color w:val="000000"/>
                <w:sz w:val="20"/>
                <w:szCs w:val="20"/>
              </w:rPr>
              <w:t>0,00004</w:t>
            </w:r>
          </w:p>
        </w:tc>
      </w:tr>
      <w:tr w:rsidR="00670FD4" w14:paraId="051A154E" w14:textId="77777777" w:rsidTr="001925BA">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C28B5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lastRenderedPageBreak/>
              <w:t>2018</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6985D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0,18</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406A23" w14:textId="77777777" w:rsidR="00670FD4" w:rsidRDefault="00670FD4" w:rsidP="001925BA">
            <w:pPr>
              <w:spacing w:before="0" w:after="0" w:line="240" w:lineRule="auto"/>
              <w:ind w:firstLine="76"/>
              <w:rPr>
                <w:rFonts w:eastAsia="Times New Roman" w:cs="Times New Roman"/>
                <w:sz w:val="20"/>
                <w:szCs w:val="20"/>
              </w:rPr>
            </w:pPr>
            <w:r>
              <w:rPr>
                <w:rFonts w:eastAsia="Times New Roman" w:cs="Times New Roman"/>
                <w:color w:val="000000"/>
                <w:sz w:val="20"/>
                <w:szCs w:val="20"/>
              </w:rPr>
              <w:t>0,03</w:t>
            </w:r>
          </w:p>
        </w:tc>
        <w:tc>
          <w:tcPr>
            <w:tcW w:w="9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34A33F" w14:textId="77777777" w:rsidR="00670FD4" w:rsidRDefault="00670FD4" w:rsidP="001925BA">
            <w:pPr>
              <w:spacing w:before="0" w:after="0" w:line="240" w:lineRule="auto"/>
              <w:ind w:firstLine="39"/>
              <w:rPr>
                <w:rFonts w:eastAsia="Times New Roman" w:cs="Times New Roman"/>
                <w:sz w:val="20"/>
                <w:szCs w:val="20"/>
              </w:rPr>
            </w:pPr>
            <w:r>
              <w:rPr>
                <w:rFonts w:eastAsia="Times New Roman" w:cs="Times New Roman"/>
                <w:color w:val="000000"/>
                <w:sz w:val="20"/>
                <w:szCs w:val="20"/>
              </w:rPr>
              <w:t>0,004</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677C41"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0,001</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16B7AF"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0,0003</w:t>
            </w:r>
          </w:p>
        </w:tc>
        <w:tc>
          <w:tcPr>
            <w:tcW w:w="1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9187F8" w14:textId="77777777" w:rsidR="00670FD4" w:rsidRDefault="00670FD4" w:rsidP="001925BA">
            <w:pPr>
              <w:spacing w:before="0" w:after="0" w:line="240" w:lineRule="auto"/>
              <w:ind w:firstLine="76"/>
              <w:rPr>
                <w:rFonts w:eastAsia="Times New Roman" w:cs="Times New Roman"/>
                <w:sz w:val="20"/>
                <w:szCs w:val="20"/>
              </w:rPr>
            </w:pPr>
            <w:r>
              <w:rPr>
                <w:rFonts w:eastAsia="Times New Roman" w:cs="Times New Roman"/>
                <w:color w:val="000000"/>
                <w:sz w:val="20"/>
                <w:szCs w:val="20"/>
              </w:rPr>
              <w:t>0,00002</w:t>
            </w:r>
          </w:p>
        </w:tc>
      </w:tr>
      <w:tr w:rsidR="00670FD4" w14:paraId="51930CB8" w14:textId="77777777" w:rsidTr="001925BA">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B00D8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2019</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02E23D"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0,24</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ADDF80" w14:textId="77777777" w:rsidR="00670FD4" w:rsidRDefault="00670FD4" w:rsidP="001925BA">
            <w:pPr>
              <w:spacing w:before="0" w:after="0" w:line="240" w:lineRule="auto"/>
              <w:ind w:firstLine="76"/>
              <w:rPr>
                <w:rFonts w:eastAsia="Times New Roman" w:cs="Times New Roman"/>
                <w:sz w:val="20"/>
                <w:szCs w:val="20"/>
              </w:rPr>
            </w:pPr>
            <w:r>
              <w:rPr>
                <w:rFonts w:eastAsia="Times New Roman" w:cs="Times New Roman"/>
                <w:color w:val="000000"/>
                <w:sz w:val="20"/>
                <w:szCs w:val="20"/>
              </w:rPr>
              <w:t>0,02</w:t>
            </w:r>
          </w:p>
        </w:tc>
        <w:tc>
          <w:tcPr>
            <w:tcW w:w="9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642B30" w14:textId="77777777" w:rsidR="00670FD4" w:rsidRDefault="00670FD4" w:rsidP="001925BA">
            <w:pPr>
              <w:spacing w:before="0" w:after="0" w:line="240" w:lineRule="auto"/>
              <w:ind w:firstLine="39"/>
              <w:rPr>
                <w:rFonts w:eastAsia="Times New Roman" w:cs="Times New Roman"/>
                <w:sz w:val="20"/>
                <w:szCs w:val="20"/>
              </w:rPr>
            </w:pPr>
            <w:r>
              <w:rPr>
                <w:rFonts w:eastAsia="Times New Roman" w:cs="Times New Roman"/>
                <w:color w:val="000000"/>
                <w:sz w:val="20"/>
                <w:szCs w:val="20"/>
              </w:rPr>
              <w:t>0,003</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D98EC8"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0,001</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4746ED"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0,0004</w:t>
            </w:r>
          </w:p>
        </w:tc>
        <w:tc>
          <w:tcPr>
            <w:tcW w:w="1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78DBBF" w14:textId="77777777" w:rsidR="00670FD4" w:rsidRDefault="00670FD4" w:rsidP="001925BA">
            <w:pPr>
              <w:spacing w:before="0" w:after="0" w:line="240" w:lineRule="auto"/>
              <w:ind w:firstLine="76"/>
              <w:rPr>
                <w:rFonts w:eastAsia="Times New Roman" w:cs="Times New Roman"/>
                <w:sz w:val="20"/>
                <w:szCs w:val="20"/>
              </w:rPr>
            </w:pPr>
            <w:r>
              <w:rPr>
                <w:rFonts w:eastAsia="Times New Roman" w:cs="Times New Roman"/>
                <w:color w:val="000000"/>
                <w:sz w:val="20"/>
                <w:szCs w:val="20"/>
              </w:rPr>
              <w:t>0,00001</w:t>
            </w:r>
          </w:p>
        </w:tc>
      </w:tr>
      <w:tr w:rsidR="00670FD4" w14:paraId="6263BCC5" w14:textId="77777777" w:rsidTr="001925BA">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5BE2FC"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2020</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1FA5D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0,22</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2A80E7" w14:textId="77777777" w:rsidR="00670FD4" w:rsidRDefault="00670FD4" w:rsidP="001925BA">
            <w:pPr>
              <w:spacing w:before="0" w:after="0" w:line="240" w:lineRule="auto"/>
              <w:ind w:firstLine="76"/>
              <w:rPr>
                <w:rFonts w:eastAsia="Times New Roman" w:cs="Times New Roman"/>
                <w:sz w:val="20"/>
                <w:szCs w:val="20"/>
              </w:rPr>
            </w:pPr>
            <w:r>
              <w:rPr>
                <w:rFonts w:eastAsia="Times New Roman" w:cs="Times New Roman"/>
                <w:color w:val="000000"/>
                <w:sz w:val="20"/>
                <w:szCs w:val="20"/>
              </w:rPr>
              <w:t>0,09</w:t>
            </w:r>
          </w:p>
        </w:tc>
        <w:tc>
          <w:tcPr>
            <w:tcW w:w="9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9FD631" w14:textId="77777777" w:rsidR="00670FD4" w:rsidRDefault="00670FD4" w:rsidP="001925BA">
            <w:pPr>
              <w:spacing w:before="0" w:after="0" w:line="240" w:lineRule="auto"/>
              <w:ind w:firstLine="39"/>
              <w:rPr>
                <w:rFonts w:eastAsia="Times New Roman" w:cs="Times New Roman"/>
                <w:sz w:val="20"/>
                <w:szCs w:val="20"/>
              </w:rPr>
            </w:pPr>
            <w:r>
              <w:rPr>
                <w:rFonts w:eastAsia="Times New Roman" w:cs="Times New Roman"/>
                <w:color w:val="000000"/>
                <w:sz w:val="20"/>
                <w:szCs w:val="20"/>
              </w:rPr>
              <w:t>0,005</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E8D917"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0,001</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DCFF2D"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0,0004</w:t>
            </w:r>
          </w:p>
        </w:tc>
        <w:tc>
          <w:tcPr>
            <w:tcW w:w="1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36478C" w14:textId="77777777" w:rsidR="00670FD4" w:rsidRDefault="00670FD4" w:rsidP="001925BA">
            <w:pPr>
              <w:spacing w:before="0" w:after="0" w:line="240" w:lineRule="auto"/>
              <w:ind w:firstLine="76"/>
              <w:rPr>
                <w:rFonts w:eastAsia="Times New Roman" w:cs="Times New Roman"/>
                <w:sz w:val="20"/>
                <w:szCs w:val="20"/>
              </w:rPr>
            </w:pPr>
            <w:r>
              <w:rPr>
                <w:rFonts w:eastAsia="Times New Roman" w:cs="Times New Roman"/>
                <w:color w:val="000000"/>
                <w:sz w:val="20"/>
                <w:szCs w:val="20"/>
              </w:rPr>
              <w:t>0,00001</w:t>
            </w:r>
          </w:p>
        </w:tc>
      </w:tr>
      <w:tr w:rsidR="00670FD4" w14:paraId="7C78858D" w14:textId="77777777" w:rsidTr="001925BA">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4DB58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2021</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3994F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0,22</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15C0C6" w14:textId="77777777" w:rsidR="00670FD4" w:rsidRDefault="00670FD4" w:rsidP="001925BA">
            <w:pPr>
              <w:spacing w:before="0" w:after="0" w:line="240" w:lineRule="auto"/>
              <w:ind w:firstLine="76"/>
              <w:rPr>
                <w:rFonts w:eastAsia="Times New Roman" w:cs="Times New Roman"/>
                <w:sz w:val="20"/>
                <w:szCs w:val="20"/>
              </w:rPr>
            </w:pPr>
            <w:r>
              <w:rPr>
                <w:rFonts w:eastAsia="Times New Roman" w:cs="Times New Roman"/>
                <w:color w:val="000000"/>
                <w:sz w:val="20"/>
                <w:szCs w:val="20"/>
              </w:rPr>
              <w:t>0,08</w:t>
            </w:r>
          </w:p>
        </w:tc>
        <w:tc>
          <w:tcPr>
            <w:tcW w:w="9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912002" w14:textId="77777777" w:rsidR="00670FD4" w:rsidRDefault="00670FD4" w:rsidP="001925BA">
            <w:pPr>
              <w:spacing w:before="0" w:after="0" w:line="240" w:lineRule="auto"/>
              <w:ind w:firstLine="39"/>
              <w:rPr>
                <w:rFonts w:eastAsia="Times New Roman" w:cs="Times New Roman"/>
                <w:sz w:val="20"/>
                <w:szCs w:val="20"/>
              </w:rPr>
            </w:pPr>
            <w:r>
              <w:rPr>
                <w:rFonts w:eastAsia="Times New Roman" w:cs="Times New Roman"/>
                <w:color w:val="000000"/>
                <w:sz w:val="20"/>
                <w:szCs w:val="20"/>
              </w:rPr>
              <w:t>0,004</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85A96B"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0,002</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C14CA7"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0,0005</w:t>
            </w:r>
          </w:p>
        </w:tc>
        <w:tc>
          <w:tcPr>
            <w:tcW w:w="1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A69A40" w14:textId="77777777" w:rsidR="00670FD4" w:rsidRDefault="00670FD4" w:rsidP="001925BA">
            <w:pPr>
              <w:spacing w:before="0" w:after="0" w:line="240" w:lineRule="auto"/>
              <w:ind w:firstLine="76"/>
              <w:rPr>
                <w:rFonts w:eastAsia="Times New Roman" w:cs="Times New Roman"/>
                <w:sz w:val="20"/>
                <w:szCs w:val="20"/>
              </w:rPr>
            </w:pPr>
            <w:r>
              <w:rPr>
                <w:rFonts w:eastAsia="Times New Roman" w:cs="Times New Roman"/>
                <w:color w:val="000000"/>
                <w:sz w:val="20"/>
                <w:szCs w:val="20"/>
              </w:rPr>
              <w:t>0,00005</w:t>
            </w:r>
          </w:p>
        </w:tc>
      </w:tr>
    </w:tbl>
    <w:p w14:paraId="36A87F9D" w14:textId="77777777" w:rsidR="00670FD4" w:rsidRDefault="00670FD4" w:rsidP="00670FD4">
      <w:pPr>
        <w:spacing w:before="0" w:after="0"/>
      </w:pPr>
    </w:p>
    <w:p w14:paraId="79347A94" w14:textId="77777777" w:rsidR="00670FD4" w:rsidRDefault="00670FD4" w:rsidP="00670FD4">
      <w:pPr>
        <w:spacing w:after="0" w:line="240" w:lineRule="auto"/>
        <w:jc w:val="center"/>
        <w:rPr>
          <w:rFonts w:eastAsia="Times New Roman" w:cs="Times New Roman"/>
        </w:rPr>
      </w:pPr>
      <w:bookmarkStart w:id="126" w:name="_heading=h.111kx3o" w:colFirst="0" w:colLast="0"/>
      <w:bookmarkEnd w:id="126"/>
      <w:r>
        <w:rPr>
          <w:rFonts w:eastAsia="Times New Roman" w:cs="Times New Roman"/>
          <w:b/>
          <w:color w:val="000000"/>
        </w:rPr>
        <w:t>Tabel 2.5.2.4 Emisii de substanțe sintetice și nesintetice (tone/an) din stația de epurare urbană Constanța Nord (</w:t>
      </w:r>
      <w:r>
        <w:rPr>
          <w:rFonts w:eastAsia="Times New Roman" w:cs="Times New Roman"/>
          <w:b/>
          <w:i/>
          <w:color w:val="000000"/>
        </w:rPr>
        <w:t>sursa: Administrația Națională Apele Române, 2023</w:t>
      </w:r>
      <w:r>
        <w:rPr>
          <w:rFonts w:eastAsia="Times New Roman" w:cs="Times New Roman"/>
          <w:b/>
          <w:color w:val="000000"/>
        </w:rPr>
        <w:t>)</w:t>
      </w:r>
    </w:p>
    <w:tbl>
      <w:tblPr>
        <w:tblW w:w="9006" w:type="dxa"/>
        <w:tblLayout w:type="fixed"/>
        <w:tblLook w:val="0400" w:firstRow="0" w:lastRow="0" w:firstColumn="0" w:lastColumn="0" w:noHBand="0" w:noVBand="1"/>
      </w:tblPr>
      <w:tblGrid>
        <w:gridCol w:w="600"/>
        <w:gridCol w:w="1343"/>
        <w:gridCol w:w="1314"/>
        <w:gridCol w:w="1281"/>
        <w:gridCol w:w="1706"/>
        <w:gridCol w:w="1531"/>
        <w:gridCol w:w="1231"/>
      </w:tblGrid>
      <w:tr w:rsidR="00670FD4" w14:paraId="22FAD4E9" w14:textId="77777777" w:rsidTr="001925BA">
        <w:trPr>
          <w:trHeight w:val="369"/>
        </w:trPr>
        <w:tc>
          <w:tcPr>
            <w:tcW w:w="60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4F8A1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An</w:t>
            </w:r>
          </w:p>
        </w:tc>
        <w:tc>
          <w:tcPr>
            <w:tcW w:w="3938"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712D75" w14:textId="77777777" w:rsidR="00670FD4" w:rsidRDefault="00670FD4" w:rsidP="001925BA">
            <w:pPr>
              <w:spacing w:before="0" w:after="0" w:line="240" w:lineRule="auto"/>
              <w:jc w:val="center"/>
              <w:rPr>
                <w:rFonts w:eastAsia="Times New Roman" w:cs="Times New Roman"/>
                <w:sz w:val="20"/>
                <w:szCs w:val="20"/>
              </w:rPr>
            </w:pPr>
            <w:r>
              <w:rPr>
                <w:rFonts w:eastAsia="Times New Roman" w:cs="Times New Roman"/>
                <w:color w:val="000000"/>
                <w:sz w:val="20"/>
                <w:szCs w:val="20"/>
              </w:rPr>
              <w:t>Metale grele</w:t>
            </w:r>
          </w:p>
        </w:tc>
        <w:tc>
          <w:tcPr>
            <w:tcW w:w="1706"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E9B5A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Hidrocarburi totale, tone/an </w:t>
            </w:r>
          </w:p>
        </w:tc>
        <w:tc>
          <w:tcPr>
            <w:tcW w:w="1531"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EA7A78"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Detergenți tone/an</w:t>
            </w:r>
          </w:p>
        </w:tc>
        <w:tc>
          <w:tcPr>
            <w:tcW w:w="1231"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692D48"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Fenoli tone/an</w:t>
            </w:r>
          </w:p>
        </w:tc>
      </w:tr>
      <w:tr w:rsidR="00670FD4" w14:paraId="1A4FA67F" w14:textId="77777777" w:rsidTr="001925BA">
        <w:trPr>
          <w:trHeight w:val="349"/>
        </w:trPr>
        <w:tc>
          <w:tcPr>
            <w:tcW w:w="60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C6B980"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13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C7289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Zn total, tone/an</w:t>
            </w:r>
          </w:p>
        </w:tc>
        <w:tc>
          <w:tcPr>
            <w:tcW w:w="13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6CC81A" w14:textId="77777777" w:rsidR="00670FD4" w:rsidRDefault="00670FD4" w:rsidP="001925BA">
            <w:pPr>
              <w:spacing w:before="0" w:after="0" w:line="240" w:lineRule="auto"/>
              <w:ind w:firstLine="74"/>
              <w:rPr>
                <w:rFonts w:eastAsia="Times New Roman" w:cs="Times New Roman"/>
                <w:sz w:val="20"/>
                <w:szCs w:val="20"/>
              </w:rPr>
            </w:pPr>
            <w:r>
              <w:rPr>
                <w:rFonts w:eastAsia="Times New Roman" w:cs="Times New Roman"/>
                <w:color w:val="000000"/>
                <w:sz w:val="20"/>
                <w:szCs w:val="20"/>
              </w:rPr>
              <w:t>Cu total tone/an</w:t>
            </w:r>
          </w:p>
        </w:tc>
        <w:tc>
          <w:tcPr>
            <w:tcW w:w="12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455D78" w14:textId="77777777" w:rsidR="00670FD4" w:rsidRDefault="00670FD4" w:rsidP="001925BA">
            <w:pPr>
              <w:spacing w:before="0" w:after="0" w:line="240" w:lineRule="auto"/>
              <w:ind w:firstLine="35"/>
              <w:rPr>
                <w:rFonts w:eastAsia="Times New Roman" w:cs="Times New Roman"/>
                <w:sz w:val="20"/>
                <w:szCs w:val="20"/>
              </w:rPr>
            </w:pPr>
            <w:r>
              <w:rPr>
                <w:rFonts w:eastAsia="Times New Roman" w:cs="Times New Roman"/>
                <w:color w:val="000000"/>
                <w:sz w:val="20"/>
                <w:szCs w:val="20"/>
              </w:rPr>
              <w:t>Cr total</w:t>
            </w:r>
          </w:p>
          <w:p w14:paraId="781F9E21" w14:textId="77777777" w:rsidR="00670FD4" w:rsidRDefault="00670FD4" w:rsidP="001925BA">
            <w:pPr>
              <w:spacing w:before="0" w:after="0" w:line="240" w:lineRule="auto"/>
              <w:ind w:firstLine="35"/>
              <w:rPr>
                <w:rFonts w:eastAsia="Times New Roman" w:cs="Times New Roman"/>
                <w:sz w:val="20"/>
                <w:szCs w:val="20"/>
              </w:rPr>
            </w:pPr>
            <w:r>
              <w:rPr>
                <w:rFonts w:eastAsia="Times New Roman" w:cs="Times New Roman"/>
                <w:color w:val="000000"/>
                <w:sz w:val="20"/>
                <w:szCs w:val="20"/>
              </w:rPr>
              <w:t>tone/an</w:t>
            </w:r>
          </w:p>
        </w:tc>
        <w:tc>
          <w:tcPr>
            <w:tcW w:w="1706"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025A83"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1531"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573D9E"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1231"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E38AC7"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r>
      <w:tr w:rsidR="00670FD4" w14:paraId="46A6F3FF" w14:textId="77777777" w:rsidTr="001925BA">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B3246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2015</w:t>
            </w:r>
          </w:p>
        </w:tc>
        <w:tc>
          <w:tcPr>
            <w:tcW w:w="13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89AF68"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0,69</w:t>
            </w:r>
          </w:p>
        </w:tc>
        <w:tc>
          <w:tcPr>
            <w:tcW w:w="13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1B1700" w14:textId="77777777" w:rsidR="00670FD4" w:rsidRDefault="00670FD4" w:rsidP="001925BA">
            <w:pPr>
              <w:spacing w:before="0" w:after="0" w:line="240" w:lineRule="auto"/>
              <w:ind w:firstLine="74"/>
              <w:rPr>
                <w:rFonts w:eastAsia="Times New Roman" w:cs="Times New Roman"/>
                <w:sz w:val="20"/>
                <w:szCs w:val="20"/>
              </w:rPr>
            </w:pPr>
            <w:r>
              <w:rPr>
                <w:rFonts w:eastAsia="Times New Roman" w:cs="Times New Roman"/>
                <w:color w:val="000000"/>
                <w:sz w:val="20"/>
                <w:szCs w:val="20"/>
              </w:rPr>
              <w:t>0,05</w:t>
            </w:r>
          </w:p>
        </w:tc>
        <w:tc>
          <w:tcPr>
            <w:tcW w:w="12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4E3C56" w14:textId="77777777" w:rsidR="00670FD4" w:rsidRDefault="00670FD4" w:rsidP="001925BA">
            <w:pPr>
              <w:spacing w:before="0" w:after="0" w:line="240" w:lineRule="auto"/>
              <w:ind w:firstLine="35"/>
              <w:rPr>
                <w:rFonts w:eastAsia="Times New Roman" w:cs="Times New Roman"/>
                <w:sz w:val="20"/>
                <w:szCs w:val="20"/>
              </w:rPr>
            </w:pPr>
            <w:r>
              <w:rPr>
                <w:rFonts w:eastAsia="Times New Roman" w:cs="Times New Roman"/>
                <w:color w:val="000000"/>
                <w:sz w:val="20"/>
                <w:szCs w:val="20"/>
              </w:rPr>
              <w:t>0,02</w:t>
            </w:r>
          </w:p>
        </w:tc>
        <w:tc>
          <w:tcPr>
            <w:tcW w:w="17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6D60D7"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0,003</w:t>
            </w:r>
          </w:p>
        </w:tc>
        <w:tc>
          <w:tcPr>
            <w:tcW w:w="15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2921BF"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0,0006</w:t>
            </w:r>
          </w:p>
        </w:tc>
        <w:tc>
          <w:tcPr>
            <w:tcW w:w="12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009028" w14:textId="77777777" w:rsidR="00670FD4" w:rsidRDefault="00670FD4" w:rsidP="001925BA">
            <w:pPr>
              <w:spacing w:before="0" w:after="0" w:line="240" w:lineRule="auto"/>
              <w:ind w:firstLine="53"/>
              <w:rPr>
                <w:rFonts w:eastAsia="Times New Roman" w:cs="Times New Roman"/>
                <w:sz w:val="20"/>
                <w:szCs w:val="20"/>
              </w:rPr>
            </w:pPr>
            <w:r>
              <w:rPr>
                <w:rFonts w:eastAsia="Times New Roman" w:cs="Times New Roman"/>
                <w:color w:val="000000"/>
                <w:sz w:val="20"/>
                <w:szCs w:val="20"/>
              </w:rPr>
              <w:t>0,00009</w:t>
            </w:r>
          </w:p>
        </w:tc>
      </w:tr>
      <w:tr w:rsidR="00670FD4" w14:paraId="6B9ADB90" w14:textId="77777777" w:rsidTr="001925BA">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EB509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2016</w:t>
            </w:r>
          </w:p>
        </w:tc>
        <w:tc>
          <w:tcPr>
            <w:tcW w:w="13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7F40E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0,29</w:t>
            </w:r>
          </w:p>
        </w:tc>
        <w:tc>
          <w:tcPr>
            <w:tcW w:w="13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E93FBA" w14:textId="77777777" w:rsidR="00670FD4" w:rsidRDefault="00670FD4" w:rsidP="001925BA">
            <w:pPr>
              <w:spacing w:before="0" w:after="0" w:line="240" w:lineRule="auto"/>
              <w:ind w:firstLine="74"/>
              <w:rPr>
                <w:rFonts w:eastAsia="Times New Roman" w:cs="Times New Roman"/>
                <w:sz w:val="20"/>
                <w:szCs w:val="20"/>
              </w:rPr>
            </w:pPr>
            <w:r>
              <w:rPr>
                <w:rFonts w:eastAsia="Times New Roman" w:cs="Times New Roman"/>
                <w:color w:val="000000"/>
                <w:sz w:val="20"/>
                <w:szCs w:val="20"/>
              </w:rPr>
              <w:t>0,02</w:t>
            </w:r>
          </w:p>
        </w:tc>
        <w:tc>
          <w:tcPr>
            <w:tcW w:w="12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3E6E55" w14:textId="77777777" w:rsidR="00670FD4" w:rsidRDefault="00670FD4" w:rsidP="001925BA">
            <w:pPr>
              <w:spacing w:before="0" w:after="0" w:line="240" w:lineRule="auto"/>
              <w:ind w:firstLine="35"/>
              <w:rPr>
                <w:rFonts w:eastAsia="Times New Roman" w:cs="Times New Roman"/>
                <w:sz w:val="20"/>
                <w:szCs w:val="20"/>
              </w:rPr>
            </w:pPr>
            <w:r>
              <w:rPr>
                <w:rFonts w:eastAsia="Times New Roman" w:cs="Times New Roman"/>
                <w:color w:val="000000"/>
                <w:sz w:val="20"/>
                <w:szCs w:val="20"/>
              </w:rPr>
              <w:t>0,06</w:t>
            </w:r>
          </w:p>
        </w:tc>
        <w:tc>
          <w:tcPr>
            <w:tcW w:w="17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1B695A"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0,006</w:t>
            </w:r>
          </w:p>
        </w:tc>
        <w:tc>
          <w:tcPr>
            <w:tcW w:w="15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A57D8E"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0,006</w:t>
            </w:r>
          </w:p>
        </w:tc>
        <w:tc>
          <w:tcPr>
            <w:tcW w:w="12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CEA4F3" w14:textId="77777777" w:rsidR="00670FD4" w:rsidRDefault="00670FD4" w:rsidP="001925BA">
            <w:pPr>
              <w:spacing w:before="0" w:after="0" w:line="240" w:lineRule="auto"/>
              <w:ind w:firstLine="53"/>
              <w:rPr>
                <w:rFonts w:eastAsia="Times New Roman" w:cs="Times New Roman"/>
                <w:sz w:val="20"/>
                <w:szCs w:val="20"/>
              </w:rPr>
            </w:pPr>
            <w:r>
              <w:rPr>
                <w:rFonts w:eastAsia="Times New Roman" w:cs="Times New Roman"/>
                <w:color w:val="000000"/>
                <w:sz w:val="20"/>
                <w:szCs w:val="20"/>
              </w:rPr>
              <w:t>0,00005</w:t>
            </w:r>
          </w:p>
        </w:tc>
      </w:tr>
      <w:tr w:rsidR="00670FD4" w14:paraId="65E549FD" w14:textId="77777777" w:rsidTr="001925BA">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E6029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2017</w:t>
            </w:r>
          </w:p>
        </w:tc>
        <w:tc>
          <w:tcPr>
            <w:tcW w:w="13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FF696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0,48</w:t>
            </w:r>
          </w:p>
        </w:tc>
        <w:tc>
          <w:tcPr>
            <w:tcW w:w="13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7B4D84" w14:textId="77777777" w:rsidR="00670FD4" w:rsidRDefault="00670FD4" w:rsidP="001925BA">
            <w:pPr>
              <w:spacing w:before="0" w:after="0" w:line="240" w:lineRule="auto"/>
              <w:ind w:firstLine="74"/>
              <w:rPr>
                <w:rFonts w:eastAsia="Times New Roman" w:cs="Times New Roman"/>
                <w:sz w:val="20"/>
                <w:szCs w:val="20"/>
              </w:rPr>
            </w:pPr>
            <w:r>
              <w:rPr>
                <w:rFonts w:eastAsia="Times New Roman" w:cs="Times New Roman"/>
                <w:color w:val="000000"/>
                <w:sz w:val="20"/>
                <w:szCs w:val="20"/>
              </w:rPr>
              <w:t>0,09</w:t>
            </w:r>
          </w:p>
        </w:tc>
        <w:tc>
          <w:tcPr>
            <w:tcW w:w="12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59842A" w14:textId="77777777" w:rsidR="00670FD4" w:rsidRDefault="00670FD4" w:rsidP="001925BA">
            <w:pPr>
              <w:spacing w:before="0" w:after="0" w:line="240" w:lineRule="auto"/>
              <w:ind w:firstLine="35"/>
              <w:rPr>
                <w:rFonts w:eastAsia="Times New Roman" w:cs="Times New Roman"/>
                <w:sz w:val="20"/>
                <w:szCs w:val="20"/>
              </w:rPr>
            </w:pPr>
            <w:r>
              <w:rPr>
                <w:rFonts w:eastAsia="Times New Roman" w:cs="Times New Roman"/>
                <w:color w:val="000000"/>
                <w:sz w:val="20"/>
                <w:szCs w:val="20"/>
              </w:rPr>
              <w:t>0,02</w:t>
            </w:r>
          </w:p>
        </w:tc>
        <w:tc>
          <w:tcPr>
            <w:tcW w:w="17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30167A"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0,005</w:t>
            </w:r>
          </w:p>
        </w:tc>
        <w:tc>
          <w:tcPr>
            <w:tcW w:w="15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DB0A48"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0,0009</w:t>
            </w:r>
          </w:p>
        </w:tc>
        <w:tc>
          <w:tcPr>
            <w:tcW w:w="12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263C54" w14:textId="77777777" w:rsidR="00670FD4" w:rsidRDefault="00670FD4" w:rsidP="001925BA">
            <w:pPr>
              <w:spacing w:before="0" w:after="0" w:line="240" w:lineRule="auto"/>
              <w:ind w:firstLine="53"/>
              <w:rPr>
                <w:rFonts w:eastAsia="Times New Roman" w:cs="Times New Roman"/>
                <w:sz w:val="20"/>
                <w:szCs w:val="20"/>
              </w:rPr>
            </w:pPr>
            <w:r>
              <w:rPr>
                <w:rFonts w:eastAsia="Times New Roman" w:cs="Times New Roman"/>
                <w:color w:val="000000"/>
                <w:sz w:val="20"/>
                <w:szCs w:val="20"/>
              </w:rPr>
              <w:t>0,00006</w:t>
            </w:r>
          </w:p>
        </w:tc>
      </w:tr>
      <w:tr w:rsidR="00670FD4" w14:paraId="44435928" w14:textId="77777777" w:rsidTr="001925BA">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54693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2018</w:t>
            </w:r>
          </w:p>
        </w:tc>
        <w:tc>
          <w:tcPr>
            <w:tcW w:w="13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54676C"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0,71</w:t>
            </w:r>
          </w:p>
        </w:tc>
        <w:tc>
          <w:tcPr>
            <w:tcW w:w="13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108648" w14:textId="77777777" w:rsidR="00670FD4" w:rsidRDefault="00670FD4" w:rsidP="001925BA">
            <w:pPr>
              <w:spacing w:before="0" w:after="0" w:line="240" w:lineRule="auto"/>
              <w:ind w:firstLine="74"/>
              <w:rPr>
                <w:rFonts w:eastAsia="Times New Roman" w:cs="Times New Roman"/>
                <w:sz w:val="20"/>
                <w:szCs w:val="20"/>
              </w:rPr>
            </w:pPr>
            <w:r>
              <w:rPr>
                <w:rFonts w:eastAsia="Times New Roman" w:cs="Times New Roman"/>
                <w:color w:val="000000"/>
                <w:sz w:val="20"/>
                <w:szCs w:val="20"/>
              </w:rPr>
              <w:t>0,11</w:t>
            </w:r>
          </w:p>
        </w:tc>
        <w:tc>
          <w:tcPr>
            <w:tcW w:w="12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FC4F27" w14:textId="77777777" w:rsidR="00670FD4" w:rsidRDefault="00670FD4" w:rsidP="001925BA">
            <w:pPr>
              <w:spacing w:before="0" w:after="0" w:line="240" w:lineRule="auto"/>
              <w:ind w:firstLine="35"/>
              <w:rPr>
                <w:rFonts w:eastAsia="Times New Roman" w:cs="Times New Roman"/>
                <w:sz w:val="20"/>
                <w:szCs w:val="20"/>
              </w:rPr>
            </w:pPr>
            <w:r>
              <w:rPr>
                <w:rFonts w:eastAsia="Times New Roman" w:cs="Times New Roman"/>
                <w:color w:val="000000"/>
                <w:sz w:val="20"/>
                <w:szCs w:val="20"/>
              </w:rPr>
              <w:t>0,02</w:t>
            </w:r>
          </w:p>
        </w:tc>
        <w:tc>
          <w:tcPr>
            <w:tcW w:w="17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753A3A"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0,004</w:t>
            </w:r>
          </w:p>
        </w:tc>
        <w:tc>
          <w:tcPr>
            <w:tcW w:w="15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47793F"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0,001</w:t>
            </w:r>
          </w:p>
        </w:tc>
        <w:tc>
          <w:tcPr>
            <w:tcW w:w="12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033CE2" w14:textId="77777777" w:rsidR="00670FD4" w:rsidRDefault="00670FD4" w:rsidP="001925BA">
            <w:pPr>
              <w:spacing w:before="0" w:after="0" w:line="240" w:lineRule="auto"/>
              <w:ind w:firstLine="53"/>
              <w:rPr>
                <w:rFonts w:eastAsia="Times New Roman" w:cs="Times New Roman"/>
                <w:sz w:val="20"/>
                <w:szCs w:val="20"/>
              </w:rPr>
            </w:pPr>
            <w:r>
              <w:rPr>
                <w:rFonts w:eastAsia="Times New Roman" w:cs="Times New Roman"/>
                <w:color w:val="000000"/>
                <w:sz w:val="20"/>
                <w:szCs w:val="20"/>
              </w:rPr>
              <w:t>0,00004</w:t>
            </w:r>
          </w:p>
        </w:tc>
      </w:tr>
      <w:tr w:rsidR="00670FD4" w14:paraId="11095FCD" w14:textId="77777777" w:rsidTr="001925BA">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C0301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2019</w:t>
            </w:r>
          </w:p>
        </w:tc>
        <w:tc>
          <w:tcPr>
            <w:tcW w:w="13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00E28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0,52</w:t>
            </w:r>
          </w:p>
        </w:tc>
        <w:tc>
          <w:tcPr>
            <w:tcW w:w="13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FF3388" w14:textId="77777777" w:rsidR="00670FD4" w:rsidRDefault="00670FD4" w:rsidP="001925BA">
            <w:pPr>
              <w:spacing w:before="0" w:after="0" w:line="240" w:lineRule="auto"/>
              <w:ind w:firstLine="74"/>
              <w:rPr>
                <w:rFonts w:eastAsia="Times New Roman" w:cs="Times New Roman"/>
                <w:sz w:val="20"/>
                <w:szCs w:val="20"/>
              </w:rPr>
            </w:pPr>
            <w:r>
              <w:rPr>
                <w:rFonts w:eastAsia="Times New Roman" w:cs="Times New Roman"/>
                <w:color w:val="000000"/>
                <w:sz w:val="20"/>
                <w:szCs w:val="20"/>
              </w:rPr>
              <w:t>0,10</w:t>
            </w:r>
          </w:p>
        </w:tc>
        <w:tc>
          <w:tcPr>
            <w:tcW w:w="12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689DD4" w14:textId="77777777" w:rsidR="00670FD4" w:rsidRDefault="00670FD4" w:rsidP="001925BA">
            <w:pPr>
              <w:spacing w:before="0" w:after="0" w:line="240" w:lineRule="auto"/>
              <w:ind w:firstLine="35"/>
              <w:rPr>
                <w:rFonts w:eastAsia="Times New Roman" w:cs="Times New Roman"/>
                <w:sz w:val="20"/>
                <w:szCs w:val="20"/>
              </w:rPr>
            </w:pPr>
            <w:r>
              <w:rPr>
                <w:rFonts w:eastAsia="Times New Roman" w:cs="Times New Roman"/>
                <w:color w:val="000000"/>
                <w:sz w:val="20"/>
                <w:szCs w:val="20"/>
              </w:rPr>
              <w:t>0,02</w:t>
            </w:r>
          </w:p>
        </w:tc>
        <w:tc>
          <w:tcPr>
            <w:tcW w:w="17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7BBB6A"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0,002</w:t>
            </w:r>
          </w:p>
        </w:tc>
        <w:tc>
          <w:tcPr>
            <w:tcW w:w="15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D18C7A"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0,002</w:t>
            </w:r>
          </w:p>
        </w:tc>
        <w:tc>
          <w:tcPr>
            <w:tcW w:w="12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06FC49" w14:textId="77777777" w:rsidR="00670FD4" w:rsidRDefault="00670FD4" w:rsidP="001925BA">
            <w:pPr>
              <w:spacing w:before="0" w:after="0" w:line="240" w:lineRule="auto"/>
              <w:ind w:firstLine="53"/>
              <w:rPr>
                <w:rFonts w:eastAsia="Times New Roman" w:cs="Times New Roman"/>
                <w:sz w:val="20"/>
                <w:szCs w:val="20"/>
              </w:rPr>
            </w:pPr>
            <w:r>
              <w:rPr>
                <w:rFonts w:eastAsia="Times New Roman" w:cs="Times New Roman"/>
                <w:color w:val="000000"/>
                <w:sz w:val="20"/>
                <w:szCs w:val="20"/>
              </w:rPr>
              <w:t>0,00005</w:t>
            </w:r>
          </w:p>
        </w:tc>
      </w:tr>
      <w:tr w:rsidR="00670FD4" w14:paraId="36FD7851" w14:textId="77777777" w:rsidTr="001925BA">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AD08E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2020</w:t>
            </w:r>
          </w:p>
        </w:tc>
        <w:tc>
          <w:tcPr>
            <w:tcW w:w="13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3A453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0,84</w:t>
            </w:r>
          </w:p>
        </w:tc>
        <w:tc>
          <w:tcPr>
            <w:tcW w:w="13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7DAED7" w14:textId="77777777" w:rsidR="00670FD4" w:rsidRDefault="00670FD4" w:rsidP="001925BA">
            <w:pPr>
              <w:spacing w:before="0" w:after="0" w:line="240" w:lineRule="auto"/>
              <w:ind w:firstLine="74"/>
              <w:rPr>
                <w:rFonts w:eastAsia="Times New Roman" w:cs="Times New Roman"/>
                <w:sz w:val="20"/>
                <w:szCs w:val="20"/>
              </w:rPr>
            </w:pPr>
            <w:r>
              <w:rPr>
                <w:rFonts w:eastAsia="Times New Roman" w:cs="Times New Roman"/>
                <w:color w:val="000000"/>
                <w:sz w:val="20"/>
                <w:szCs w:val="20"/>
              </w:rPr>
              <w:t>0,20</w:t>
            </w:r>
          </w:p>
        </w:tc>
        <w:tc>
          <w:tcPr>
            <w:tcW w:w="12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A92481" w14:textId="77777777" w:rsidR="00670FD4" w:rsidRDefault="00670FD4" w:rsidP="001925BA">
            <w:pPr>
              <w:spacing w:before="0" w:after="0" w:line="240" w:lineRule="auto"/>
              <w:ind w:firstLine="35"/>
              <w:rPr>
                <w:rFonts w:eastAsia="Times New Roman" w:cs="Times New Roman"/>
                <w:sz w:val="20"/>
                <w:szCs w:val="20"/>
              </w:rPr>
            </w:pPr>
            <w:r>
              <w:rPr>
                <w:rFonts w:eastAsia="Times New Roman" w:cs="Times New Roman"/>
                <w:color w:val="000000"/>
                <w:sz w:val="20"/>
                <w:szCs w:val="20"/>
              </w:rPr>
              <w:t>0,02</w:t>
            </w:r>
          </w:p>
        </w:tc>
        <w:tc>
          <w:tcPr>
            <w:tcW w:w="17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EA3DC3"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0,002</w:t>
            </w:r>
          </w:p>
        </w:tc>
        <w:tc>
          <w:tcPr>
            <w:tcW w:w="15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502499"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0,001</w:t>
            </w:r>
          </w:p>
        </w:tc>
        <w:tc>
          <w:tcPr>
            <w:tcW w:w="12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98FBB6" w14:textId="77777777" w:rsidR="00670FD4" w:rsidRDefault="00670FD4" w:rsidP="001925BA">
            <w:pPr>
              <w:spacing w:before="0" w:after="0" w:line="240" w:lineRule="auto"/>
              <w:ind w:firstLine="53"/>
              <w:rPr>
                <w:rFonts w:eastAsia="Times New Roman" w:cs="Times New Roman"/>
                <w:sz w:val="20"/>
                <w:szCs w:val="20"/>
              </w:rPr>
            </w:pPr>
            <w:r>
              <w:rPr>
                <w:rFonts w:eastAsia="Times New Roman" w:cs="Times New Roman"/>
                <w:color w:val="000000"/>
                <w:sz w:val="20"/>
                <w:szCs w:val="20"/>
              </w:rPr>
              <w:t>0,00003</w:t>
            </w:r>
          </w:p>
        </w:tc>
      </w:tr>
      <w:tr w:rsidR="00670FD4" w14:paraId="36252933" w14:textId="77777777" w:rsidTr="001925BA">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FD975D"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2021</w:t>
            </w:r>
          </w:p>
        </w:tc>
        <w:tc>
          <w:tcPr>
            <w:tcW w:w="13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A49FC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1,99</w:t>
            </w:r>
          </w:p>
        </w:tc>
        <w:tc>
          <w:tcPr>
            <w:tcW w:w="13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918833" w14:textId="77777777" w:rsidR="00670FD4" w:rsidRDefault="00670FD4" w:rsidP="001925BA">
            <w:pPr>
              <w:spacing w:before="0" w:after="0" w:line="240" w:lineRule="auto"/>
              <w:ind w:firstLine="74"/>
              <w:rPr>
                <w:rFonts w:eastAsia="Times New Roman" w:cs="Times New Roman"/>
                <w:sz w:val="20"/>
                <w:szCs w:val="20"/>
              </w:rPr>
            </w:pPr>
            <w:r>
              <w:rPr>
                <w:rFonts w:eastAsia="Times New Roman" w:cs="Times New Roman"/>
                <w:color w:val="000000"/>
                <w:sz w:val="20"/>
                <w:szCs w:val="20"/>
              </w:rPr>
              <w:t>0,25</w:t>
            </w:r>
          </w:p>
        </w:tc>
        <w:tc>
          <w:tcPr>
            <w:tcW w:w="12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230BAF" w14:textId="77777777" w:rsidR="00670FD4" w:rsidRDefault="00670FD4" w:rsidP="001925BA">
            <w:pPr>
              <w:spacing w:before="0" w:after="0" w:line="240" w:lineRule="auto"/>
              <w:ind w:firstLine="35"/>
              <w:rPr>
                <w:rFonts w:eastAsia="Times New Roman" w:cs="Times New Roman"/>
                <w:sz w:val="20"/>
                <w:szCs w:val="20"/>
              </w:rPr>
            </w:pPr>
            <w:r>
              <w:rPr>
                <w:rFonts w:eastAsia="Times New Roman" w:cs="Times New Roman"/>
                <w:color w:val="000000"/>
                <w:sz w:val="20"/>
                <w:szCs w:val="20"/>
              </w:rPr>
              <w:t>0,03</w:t>
            </w:r>
          </w:p>
        </w:tc>
        <w:tc>
          <w:tcPr>
            <w:tcW w:w="17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83F56A"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0,003</w:t>
            </w:r>
          </w:p>
        </w:tc>
        <w:tc>
          <w:tcPr>
            <w:tcW w:w="15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6AD03B"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0,003</w:t>
            </w:r>
          </w:p>
        </w:tc>
        <w:tc>
          <w:tcPr>
            <w:tcW w:w="12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C3306B" w14:textId="77777777" w:rsidR="00670FD4" w:rsidRDefault="00670FD4" w:rsidP="001925BA">
            <w:pPr>
              <w:spacing w:before="0" w:after="0" w:line="240" w:lineRule="auto"/>
              <w:ind w:firstLine="53"/>
              <w:rPr>
                <w:rFonts w:eastAsia="Times New Roman" w:cs="Times New Roman"/>
                <w:sz w:val="20"/>
                <w:szCs w:val="20"/>
              </w:rPr>
            </w:pPr>
            <w:r>
              <w:rPr>
                <w:rFonts w:eastAsia="Times New Roman" w:cs="Times New Roman"/>
                <w:color w:val="000000"/>
                <w:sz w:val="20"/>
                <w:szCs w:val="20"/>
              </w:rPr>
              <w:t>0,00006</w:t>
            </w:r>
          </w:p>
        </w:tc>
      </w:tr>
    </w:tbl>
    <w:p w14:paraId="4AAA696F" w14:textId="77777777" w:rsidR="00670FD4" w:rsidRDefault="00670FD4" w:rsidP="00670FD4">
      <w:pPr>
        <w:spacing w:line="240" w:lineRule="auto"/>
        <w:ind w:firstLine="0"/>
        <w:rPr>
          <w:b/>
          <w:color w:val="000000"/>
          <w:sz w:val="20"/>
          <w:szCs w:val="20"/>
        </w:rPr>
      </w:pPr>
      <w:bookmarkStart w:id="127" w:name="_heading=h.3l18frh" w:colFirst="0" w:colLast="0"/>
      <w:bookmarkEnd w:id="127"/>
    </w:p>
    <w:p w14:paraId="069BB459" w14:textId="77777777" w:rsidR="00670FD4" w:rsidRDefault="00670FD4" w:rsidP="00670FD4">
      <w:pPr>
        <w:spacing w:after="0"/>
        <w:jc w:val="center"/>
        <w:rPr>
          <w:rFonts w:eastAsia="Times New Roman" w:cs="Times New Roman"/>
        </w:rPr>
      </w:pPr>
      <w:r>
        <w:rPr>
          <w:rFonts w:eastAsia="Times New Roman" w:cs="Times New Roman"/>
          <w:b/>
          <w:color w:val="000000"/>
        </w:rPr>
        <w:t>Tabel 2.5.2.5 Emisii de substanțe sintetice și nesintetice (tone/an) din stația de epurare Eforie Sud (</w:t>
      </w:r>
      <w:r>
        <w:rPr>
          <w:rFonts w:eastAsia="Times New Roman" w:cs="Times New Roman"/>
          <w:b/>
          <w:i/>
          <w:color w:val="000000"/>
        </w:rPr>
        <w:t>sursa: Administrația Națională Apele Române, 2023</w:t>
      </w:r>
      <w:r>
        <w:rPr>
          <w:rFonts w:eastAsia="Times New Roman" w:cs="Times New Roman"/>
          <w:b/>
          <w:color w:val="000000"/>
        </w:rPr>
        <w:t>)</w:t>
      </w:r>
    </w:p>
    <w:tbl>
      <w:tblPr>
        <w:tblW w:w="9006" w:type="dxa"/>
        <w:tblLayout w:type="fixed"/>
        <w:tblLook w:val="0400" w:firstRow="0" w:lastRow="0" w:firstColumn="0" w:lastColumn="0" w:noHBand="0" w:noVBand="1"/>
      </w:tblPr>
      <w:tblGrid>
        <w:gridCol w:w="600"/>
        <w:gridCol w:w="1341"/>
        <w:gridCol w:w="1311"/>
        <w:gridCol w:w="1416"/>
        <w:gridCol w:w="1701"/>
        <w:gridCol w:w="1384"/>
        <w:gridCol w:w="1253"/>
      </w:tblGrid>
      <w:tr w:rsidR="00670FD4" w14:paraId="0B8A0D0B" w14:textId="77777777" w:rsidTr="001925BA">
        <w:trPr>
          <w:trHeight w:val="440"/>
        </w:trPr>
        <w:tc>
          <w:tcPr>
            <w:tcW w:w="60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6278D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An</w:t>
            </w:r>
          </w:p>
        </w:tc>
        <w:tc>
          <w:tcPr>
            <w:tcW w:w="4068"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C1FCDC" w14:textId="77777777" w:rsidR="00670FD4" w:rsidRDefault="00670FD4" w:rsidP="001925BA">
            <w:pPr>
              <w:spacing w:before="0" w:after="0" w:line="240" w:lineRule="auto"/>
              <w:jc w:val="center"/>
              <w:rPr>
                <w:rFonts w:eastAsia="Times New Roman" w:cs="Times New Roman"/>
                <w:sz w:val="20"/>
                <w:szCs w:val="20"/>
              </w:rPr>
            </w:pPr>
            <w:r>
              <w:rPr>
                <w:rFonts w:eastAsia="Times New Roman" w:cs="Times New Roman"/>
                <w:color w:val="000000"/>
                <w:sz w:val="20"/>
                <w:szCs w:val="20"/>
              </w:rPr>
              <w:t>Metale grele</w:t>
            </w:r>
          </w:p>
        </w:tc>
        <w:tc>
          <w:tcPr>
            <w:tcW w:w="1701"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0E655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Hidrocarburi totale, tone/an </w:t>
            </w:r>
          </w:p>
        </w:tc>
        <w:tc>
          <w:tcPr>
            <w:tcW w:w="138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52267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Detergenți tone/an</w:t>
            </w:r>
          </w:p>
        </w:tc>
        <w:tc>
          <w:tcPr>
            <w:tcW w:w="125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99E8E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Fenoli tone/an</w:t>
            </w:r>
          </w:p>
        </w:tc>
      </w:tr>
      <w:tr w:rsidR="00670FD4" w14:paraId="4F4F252D" w14:textId="77777777" w:rsidTr="001925BA">
        <w:trPr>
          <w:trHeight w:val="440"/>
        </w:trPr>
        <w:tc>
          <w:tcPr>
            <w:tcW w:w="60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2307E8"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F32FDD" w14:textId="77777777" w:rsidR="00670FD4" w:rsidRDefault="00670FD4" w:rsidP="001925BA">
            <w:pPr>
              <w:spacing w:before="0" w:after="0" w:line="240" w:lineRule="auto"/>
              <w:ind w:hanging="1"/>
              <w:rPr>
                <w:rFonts w:eastAsia="Times New Roman" w:cs="Times New Roman"/>
                <w:sz w:val="20"/>
                <w:szCs w:val="20"/>
              </w:rPr>
            </w:pPr>
            <w:r>
              <w:rPr>
                <w:rFonts w:eastAsia="Times New Roman" w:cs="Times New Roman"/>
                <w:color w:val="000000"/>
                <w:sz w:val="20"/>
                <w:szCs w:val="20"/>
              </w:rPr>
              <w:t>Zn total, tone/an</w:t>
            </w:r>
          </w:p>
        </w:tc>
        <w:tc>
          <w:tcPr>
            <w:tcW w:w="13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80104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Cu total tone/an</w:t>
            </w:r>
          </w:p>
        </w:tc>
        <w:tc>
          <w:tcPr>
            <w:tcW w:w="1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FDF360" w14:textId="77777777" w:rsidR="00670FD4" w:rsidRDefault="00670FD4" w:rsidP="001925BA">
            <w:pPr>
              <w:spacing w:before="0" w:after="0" w:line="240" w:lineRule="auto"/>
              <w:ind w:firstLine="40"/>
              <w:rPr>
                <w:rFonts w:eastAsia="Times New Roman" w:cs="Times New Roman"/>
                <w:sz w:val="20"/>
                <w:szCs w:val="20"/>
              </w:rPr>
            </w:pPr>
            <w:r>
              <w:rPr>
                <w:rFonts w:eastAsia="Times New Roman" w:cs="Times New Roman"/>
                <w:color w:val="000000"/>
                <w:sz w:val="20"/>
                <w:szCs w:val="20"/>
              </w:rPr>
              <w:t>Cr total</w:t>
            </w:r>
          </w:p>
          <w:p w14:paraId="006E7375" w14:textId="77777777" w:rsidR="00670FD4" w:rsidRDefault="00670FD4" w:rsidP="001925BA">
            <w:pPr>
              <w:spacing w:before="0" w:after="0" w:line="240" w:lineRule="auto"/>
              <w:ind w:firstLine="40"/>
              <w:rPr>
                <w:rFonts w:eastAsia="Times New Roman" w:cs="Times New Roman"/>
                <w:sz w:val="20"/>
                <w:szCs w:val="20"/>
              </w:rPr>
            </w:pPr>
            <w:r>
              <w:rPr>
                <w:rFonts w:eastAsia="Times New Roman" w:cs="Times New Roman"/>
                <w:color w:val="000000"/>
                <w:sz w:val="20"/>
                <w:szCs w:val="20"/>
              </w:rPr>
              <w:t>tone/an</w:t>
            </w:r>
          </w:p>
        </w:tc>
        <w:tc>
          <w:tcPr>
            <w:tcW w:w="1701"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501138"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1384"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B15049"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125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61D5AE"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r>
      <w:tr w:rsidR="00670FD4" w14:paraId="29F6D13C" w14:textId="77777777" w:rsidTr="001925BA">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5210F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2015</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60CAC3" w14:textId="77777777" w:rsidR="00670FD4" w:rsidRDefault="00670FD4" w:rsidP="001925BA">
            <w:pPr>
              <w:spacing w:before="0" w:after="0" w:line="240" w:lineRule="auto"/>
              <w:ind w:hanging="1"/>
              <w:rPr>
                <w:rFonts w:eastAsia="Times New Roman" w:cs="Times New Roman"/>
                <w:sz w:val="20"/>
                <w:szCs w:val="20"/>
              </w:rPr>
            </w:pPr>
            <w:r>
              <w:rPr>
                <w:rFonts w:eastAsia="Times New Roman" w:cs="Times New Roman"/>
                <w:color w:val="000000"/>
                <w:sz w:val="20"/>
                <w:szCs w:val="20"/>
              </w:rPr>
              <w:t>0,10</w:t>
            </w:r>
          </w:p>
        </w:tc>
        <w:tc>
          <w:tcPr>
            <w:tcW w:w="13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4F732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0,008</w:t>
            </w:r>
          </w:p>
        </w:tc>
        <w:tc>
          <w:tcPr>
            <w:tcW w:w="1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028B78" w14:textId="77777777" w:rsidR="00670FD4" w:rsidRDefault="00670FD4" w:rsidP="001925BA">
            <w:pPr>
              <w:spacing w:before="0" w:after="0" w:line="240" w:lineRule="auto"/>
              <w:ind w:firstLine="40"/>
              <w:rPr>
                <w:rFonts w:eastAsia="Times New Roman" w:cs="Times New Roman"/>
                <w:sz w:val="20"/>
                <w:szCs w:val="20"/>
              </w:rPr>
            </w:pPr>
            <w:r>
              <w:rPr>
                <w:rFonts w:eastAsia="Times New Roman" w:cs="Times New Roman"/>
                <w:color w:val="000000"/>
                <w:sz w:val="20"/>
                <w:szCs w:val="20"/>
              </w:rPr>
              <w:t>0,005</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AD59AD"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0,0007</w:t>
            </w:r>
          </w:p>
        </w:tc>
        <w:tc>
          <w:tcPr>
            <w:tcW w:w="13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563A69"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0,0002</w:t>
            </w:r>
          </w:p>
        </w:tc>
        <w:tc>
          <w:tcPr>
            <w:tcW w:w="12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0B8B95" w14:textId="77777777" w:rsidR="00670FD4" w:rsidRDefault="00670FD4" w:rsidP="001925BA">
            <w:pPr>
              <w:spacing w:before="0" w:after="0" w:line="240" w:lineRule="auto"/>
              <w:ind w:firstLine="75"/>
              <w:rPr>
                <w:rFonts w:eastAsia="Times New Roman" w:cs="Times New Roman"/>
                <w:sz w:val="20"/>
                <w:szCs w:val="20"/>
              </w:rPr>
            </w:pPr>
            <w:r>
              <w:rPr>
                <w:rFonts w:eastAsia="Times New Roman" w:cs="Times New Roman"/>
                <w:color w:val="000000"/>
                <w:sz w:val="20"/>
                <w:szCs w:val="20"/>
              </w:rPr>
              <w:t>0,00001</w:t>
            </w:r>
          </w:p>
        </w:tc>
      </w:tr>
      <w:tr w:rsidR="00670FD4" w14:paraId="096A8B7C" w14:textId="77777777" w:rsidTr="001925BA">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C5C4A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2016</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1572E3" w14:textId="77777777" w:rsidR="00670FD4" w:rsidRDefault="00670FD4" w:rsidP="001925BA">
            <w:pPr>
              <w:spacing w:before="0" w:after="0" w:line="240" w:lineRule="auto"/>
              <w:ind w:hanging="1"/>
              <w:rPr>
                <w:rFonts w:eastAsia="Times New Roman" w:cs="Times New Roman"/>
                <w:sz w:val="20"/>
                <w:szCs w:val="20"/>
              </w:rPr>
            </w:pPr>
            <w:r>
              <w:rPr>
                <w:rFonts w:eastAsia="Times New Roman" w:cs="Times New Roman"/>
                <w:color w:val="000000"/>
                <w:sz w:val="20"/>
                <w:szCs w:val="20"/>
              </w:rPr>
              <w:t>0,06</w:t>
            </w:r>
          </w:p>
        </w:tc>
        <w:tc>
          <w:tcPr>
            <w:tcW w:w="13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E5480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0,004</w:t>
            </w:r>
          </w:p>
        </w:tc>
        <w:tc>
          <w:tcPr>
            <w:tcW w:w="1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082A86" w14:textId="77777777" w:rsidR="00670FD4" w:rsidRDefault="00670FD4" w:rsidP="001925BA">
            <w:pPr>
              <w:spacing w:before="0" w:after="0" w:line="240" w:lineRule="auto"/>
              <w:ind w:firstLine="40"/>
              <w:rPr>
                <w:rFonts w:eastAsia="Times New Roman" w:cs="Times New Roman"/>
                <w:sz w:val="20"/>
                <w:szCs w:val="20"/>
              </w:rPr>
            </w:pPr>
            <w:r>
              <w:rPr>
                <w:rFonts w:eastAsia="Times New Roman" w:cs="Times New Roman"/>
                <w:color w:val="000000"/>
                <w:sz w:val="20"/>
                <w:szCs w:val="20"/>
              </w:rPr>
              <w:t>0,005</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54408E"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0,001</w:t>
            </w:r>
          </w:p>
        </w:tc>
        <w:tc>
          <w:tcPr>
            <w:tcW w:w="13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3D5464"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0,0001</w:t>
            </w:r>
          </w:p>
        </w:tc>
        <w:tc>
          <w:tcPr>
            <w:tcW w:w="12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DB3AC6" w14:textId="77777777" w:rsidR="00670FD4" w:rsidRDefault="00670FD4" w:rsidP="001925BA">
            <w:pPr>
              <w:spacing w:before="0" w:after="0" w:line="240" w:lineRule="auto"/>
              <w:ind w:firstLine="75"/>
              <w:rPr>
                <w:rFonts w:eastAsia="Times New Roman" w:cs="Times New Roman"/>
                <w:sz w:val="20"/>
                <w:szCs w:val="20"/>
              </w:rPr>
            </w:pPr>
            <w:r>
              <w:rPr>
                <w:rFonts w:eastAsia="Times New Roman" w:cs="Times New Roman"/>
                <w:color w:val="000000"/>
                <w:sz w:val="20"/>
                <w:szCs w:val="20"/>
              </w:rPr>
              <w:t>0,00003</w:t>
            </w:r>
          </w:p>
        </w:tc>
      </w:tr>
      <w:tr w:rsidR="00670FD4" w14:paraId="0B8D34E9" w14:textId="77777777" w:rsidTr="001925BA">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75C77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2017</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71517B" w14:textId="77777777" w:rsidR="00670FD4" w:rsidRDefault="00670FD4" w:rsidP="001925BA">
            <w:pPr>
              <w:spacing w:before="0" w:after="0" w:line="240" w:lineRule="auto"/>
              <w:ind w:hanging="1"/>
              <w:rPr>
                <w:rFonts w:eastAsia="Times New Roman" w:cs="Times New Roman"/>
                <w:sz w:val="20"/>
                <w:szCs w:val="20"/>
              </w:rPr>
            </w:pPr>
            <w:r>
              <w:rPr>
                <w:rFonts w:eastAsia="Times New Roman" w:cs="Times New Roman"/>
                <w:color w:val="000000"/>
                <w:sz w:val="20"/>
                <w:szCs w:val="20"/>
              </w:rPr>
              <w:t>0,48</w:t>
            </w:r>
          </w:p>
        </w:tc>
        <w:tc>
          <w:tcPr>
            <w:tcW w:w="13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4FB93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0,09</w:t>
            </w:r>
          </w:p>
        </w:tc>
        <w:tc>
          <w:tcPr>
            <w:tcW w:w="1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808104" w14:textId="77777777" w:rsidR="00670FD4" w:rsidRDefault="00670FD4" w:rsidP="001925BA">
            <w:pPr>
              <w:spacing w:before="0" w:after="0" w:line="240" w:lineRule="auto"/>
              <w:ind w:firstLine="40"/>
              <w:rPr>
                <w:rFonts w:eastAsia="Times New Roman" w:cs="Times New Roman"/>
                <w:sz w:val="20"/>
                <w:szCs w:val="20"/>
              </w:rPr>
            </w:pPr>
            <w:r>
              <w:rPr>
                <w:rFonts w:eastAsia="Times New Roman" w:cs="Times New Roman"/>
                <w:color w:val="000000"/>
                <w:sz w:val="20"/>
                <w:szCs w:val="20"/>
              </w:rPr>
              <w:t>0,02</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E245BB"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0,005</w:t>
            </w:r>
          </w:p>
        </w:tc>
        <w:tc>
          <w:tcPr>
            <w:tcW w:w="13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99E828"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0,0009</w:t>
            </w:r>
          </w:p>
        </w:tc>
        <w:tc>
          <w:tcPr>
            <w:tcW w:w="12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6C1C79" w14:textId="77777777" w:rsidR="00670FD4" w:rsidRDefault="00670FD4" w:rsidP="001925BA">
            <w:pPr>
              <w:spacing w:before="0" w:after="0" w:line="240" w:lineRule="auto"/>
              <w:ind w:firstLine="75"/>
              <w:rPr>
                <w:rFonts w:eastAsia="Times New Roman" w:cs="Times New Roman"/>
                <w:sz w:val="20"/>
                <w:szCs w:val="20"/>
              </w:rPr>
            </w:pPr>
            <w:r>
              <w:rPr>
                <w:rFonts w:eastAsia="Times New Roman" w:cs="Times New Roman"/>
                <w:color w:val="000000"/>
                <w:sz w:val="20"/>
                <w:szCs w:val="20"/>
              </w:rPr>
              <w:t>0,00006</w:t>
            </w:r>
          </w:p>
        </w:tc>
      </w:tr>
      <w:tr w:rsidR="00670FD4" w14:paraId="036AA2C0" w14:textId="77777777" w:rsidTr="001925BA">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33982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2018</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60CAEA" w14:textId="77777777" w:rsidR="00670FD4" w:rsidRDefault="00670FD4" w:rsidP="001925BA">
            <w:pPr>
              <w:spacing w:before="0" w:after="0" w:line="240" w:lineRule="auto"/>
              <w:ind w:hanging="1"/>
              <w:rPr>
                <w:rFonts w:eastAsia="Times New Roman" w:cs="Times New Roman"/>
                <w:sz w:val="20"/>
                <w:szCs w:val="20"/>
              </w:rPr>
            </w:pPr>
            <w:r>
              <w:rPr>
                <w:rFonts w:eastAsia="Times New Roman" w:cs="Times New Roman"/>
                <w:color w:val="000000"/>
                <w:sz w:val="20"/>
                <w:szCs w:val="20"/>
              </w:rPr>
              <w:t>0,30</w:t>
            </w:r>
          </w:p>
        </w:tc>
        <w:tc>
          <w:tcPr>
            <w:tcW w:w="13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55361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0,04</w:t>
            </w:r>
          </w:p>
        </w:tc>
        <w:tc>
          <w:tcPr>
            <w:tcW w:w="1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0819D1" w14:textId="77777777" w:rsidR="00670FD4" w:rsidRDefault="00670FD4" w:rsidP="001925BA">
            <w:pPr>
              <w:spacing w:before="0" w:after="0" w:line="240" w:lineRule="auto"/>
              <w:ind w:firstLine="40"/>
              <w:rPr>
                <w:rFonts w:eastAsia="Times New Roman" w:cs="Times New Roman"/>
                <w:sz w:val="20"/>
                <w:szCs w:val="20"/>
              </w:rPr>
            </w:pPr>
            <w:r>
              <w:rPr>
                <w:rFonts w:eastAsia="Times New Roman" w:cs="Times New Roman"/>
                <w:color w:val="000000"/>
                <w:sz w:val="20"/>
                <w:szCs w:val="20"/>
              </w:rPr>
              <w:t>0,006</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D359A5"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0,0002</w:t>
            </w:r>
          </w:p>
        </w:tc>
        <w:tc>
          <w:tcPr>
            <w:tcW w:w="13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22C5F0"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0,0002</w:t>
            </w:r>
          </w:p>
        </w:tc>
        <w:tc>
          <w:tcPr>
            <w:tcW w:w="12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106E78" w14:textId="77777777" w:rsidR="00670FD4" w:rsidRDefault="00670FD4" w:rsidP="001925BA">
            <w:pPr>
              <w:spacing w:before="0" w:after="0" w:line="240" w:lineRule="auto"/>
              <w:ind w:firstLine="75"/>
              <w:rPr>
                <w:rFonts w:eastAsia="Times New Roman" w:cs="Times New Roman"/>
                <w:sz w:val="20"/>
                <w:szCs w:val="20"/>
              </w:rPr>
            </w:pPr>
            <w:r>
              <w:rPr>
                <w:rFonts w:eastAsia="Times New Roman" w:cs="Times New Roman"/>
                <w:color w:val="000000"/>
                <w:sz w:val="20"/>
                <w:szCs w:val="20"/>
              </w:rPr>
              <w:t>0,00001</w:t>
            </w:r>
          </w:p>
        </w:tc>
      </w:tr>
      <w:tr w:rsidR="00670FD4" w14:paraId="2D65F103" w14:textId="77777777" w:rsidTr="001925BA">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F25939"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2019</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559F65" w14:textId="77777777" w:rsidR="00670FD4" w:rsidRDefault="00670FD4" w:rsidP="001925BA">
            <w:pPr>
              <w:spacing w:before="0" w:after="0" w:line="240" w:lineRule="auto"/>
              <w:ind w:hanging="1"/>
              <w:rPr>
                <w:rFonts w:eastAsia="Times New Roman" w:cs="Times New Roman"/>
                <w:sz w:val="20"/>
                <w:szCs w:val="20"/>
              </w:rPr>
            </w:pPr>
            <w:r>
              <w:rPr>
                <w:rFonts w:eastAsia="Times New Roman" w:cs="Times New Roman"/>
                <w:color w:val="000000"/>
                <w:sz w:val="20"/>
                <w:szCs w:val="20"/>
              </w:rPr>
              <w:t>0,14</w:t>
            </w:r>
          </w:p>
        </w:tc>
        <w:tc>
          <w:tcPr>
            <w:tcW w:w="13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D0CEA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0,06</w:t>
            </w:r>
          </w:p>
        </w:tc>
        <w:tc>
          <w:tcPr>
            <w:tcW w:w="1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953BF4" w14:textId="77777777" w:rsidR="00670FD4" w:rsidRDefault="00670FD4" w:rsidP="001925BA">
            <w:pPr>
              <w:spacing w:before="0" w:after="0" w:line="240" w:lineRule="auto"/>
              <w:ind w:firstLine="40"/>
              <w:rPr>
                <w:rFonts w:eastAsia="Times New Roman" w:cs="Times New Roman"/>
                <w:sz w:val="20"/>
                <w:szCs w:val="20"/>
              </w:rPr>
            </w:pPr>
            <w:r>
              <w:rPr>
                <w:rFonts w:eastAsia="Times New Roman" w:cs="Times New Roman"/>
                <w:color w:val="000000"/>
                <w:sz w:val="20"/>
                <w:szCs w:val="20"/>
              </w:rPr>
              <w:t>0,01</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29E491"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0,003</w:t>
            </w:r>
          </w:p>
        </w:tc>
        <w:tc>
          <w:tcPr>
            <w:tcW w:w="13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328237"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0,0002</w:t>
            </w:r>
          </w:p>
        </w:tc>
        <w:tc>
          <w:tcPr>
            <w:tcW w:w="12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BA5544" w14:textId="77777777" w:rsidR="00670FD4" w:rsidRDefault="00670FD4" w:rsidP="001925BA">
            <w:pPr>
              <w:spacing w:before="0" w:after="0" w:line="240" w:lineRule="auto"/>
              <w:ind w:firstLine="75"/>
              <w:rPr>
                <w:rFonts w:eastAsia="Times New Roman" w:cs="Times New Roman"/>
                <w:sz w:val="20"/>
                <w:szCs w:val="20"/>
              </w:rPr>
            </w:pPr>
            <w:r>
              <w:rPr>
                <w:rFonts w:eastAsia="Times New Roman" w:cs="Times New Roman"/>
                <w:color w:val="000000"/>
                <w:sz w:val="20"/>
                <w:szCs w:val="20"/>
              </w:rPr>
              <w:t>0,00003</w:t>
            </w:r>
          </w:p>
        </w:tc>
      </w:tr>
      <w:tr w:rsidR="00670FD4" w14:paraId="24B1B616" w14:textId="77777777" w:rsidTr="001925BA">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DBDBB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2020</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894E08" w14:textId="77777777" w:rsidR="00670FD4" w:rsidRDefault="00670FD4" w:rsidP="001925BA">
            <w:pPr>
              <w:spacing w:before="0" w:after="0" w:line="240" w:lineRule="auto"/>
              <w:ind w:hanging="1"/>
              <w:rPr>
                <w:rFonts w:eastAsia="Times New Roman" w:cs="Times New Roman"/>
                <w:sz w:val="20"/>
                <w:szCs w:val="20"/>
              </w:rPr>
            </w:pPr>
            <w:r>
              <w:rPr>
                <w:rFonts w:eastAsia="Times New Roman" w:cs="Times New Roman"/>
                <w:color w:val="000000"/>
                <w:sz w:val="20"/>
                <w:szCs w:val="20"/>
              </w:rPr>
              <w:t>0,10</w:t>
            </w:r>
          </w:p>
        </w:tc>
        <w:tc>
          <w:tcPr>
            <w:tcW w:w="13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834C1D"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0,09</w:t>
            </w:r>
          </w:p>
        </w:tc>
        <w:tc>
          <w:tcPr>
            <w:tcW w:w="1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0BF21D" w14:textId="77777777" w:rsidR="00670FD4" w:rsidRDefault="00670FD4" w:rsidP="001925BA">
            <w:pPr>
              <w:spacing w:before="0" w:after="0" w:line="240" w:lineRule="auto"/>
              <w:ind w:firstLine="40"/>
              <w:rPr>
                <w:rFonts w:eastAsia="Times New Roman" w:cs="Times New Roman"/>
                <w:sz w:val="20"/>
                <w:szCs w:val="20"/>
              </w:rPr>
            </w:pPr>
            <w:r>
              <w:rPr>
                <w:rFonts w:eastAsia="Times New Roman" w:cs="Times New Roman"/>
                <w:color w:val="000000"/>
                <w:sz w:val="20"/>
                <w:szCs w:val="20"/>
              </w:rPr>
              <w:t>0,005</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542CDC"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0,0003</w:t>
            </w:r>
          </w:p>
        </w:tc>
        <w:tc>
          <w:tcPr>
            <w:tcW w:w="13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49C419"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0,0002</w:t>
            </w:r>
          </w:p>
        </w:tc>
        <w:tc>
          <w:tcPr>
            <w:tcW w:w="12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F4B431" w14:textId="77777777" w:rsidR="00670FD4" w:rsidRDefault="00670FD4" w:rsidP="001925BA">
            <w:pPr>
              <w:spacing w:before="0" w:after="0" w:line="240" w:lineRule="auto"/>
              <w:ind w:firstLine="75"/>
              <w:rPr>
                <w:rFonts w:eastAsia="Times New Roman" w:cs="Times New Roman"/>
                <w:sz w:val="20"/>
                <w:szCs w:val="20"/>
              </w:rPr>
            </w:pPr>
            <w:r>
              <w:rPr>
                <w:rFonts w:eastAsia="Times New Roman" w:cs="Times New Roman"/>
                <w:color w:val="000000"/>
                <w:sz w:val="20"/>
                <w:szCs w:val="20"/>
              </w:rPr>
              <w:t>0,000006</w:t>
            </w:r>
          </w:p>
        </w:tc>
      </w:tr>
      <w:tr w:rsidR="00670FD4" w14:paraId="6F20EF06" w14:textId="77777777" w:rsidTr="001925BA">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A32E4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2021</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32394D" w14:textId="77777777" w:rsidR="00670FD4" w:rsidRDefault="00670FD4" w:rsidP="001925BA">
            <w:pPr>
              <w:spacing w:before="0" w:after="0" w:line="240" w:lineRule="auto"/>
              <w:ind w:hanging="1"/>
              <w:rPr>
                <w:rFonts w:eastAsia="Times New Roman" w:cs="Times New Roman"/>
                <w:sz w:val="20"/>
                <w:szCs w:val="20"/>
              </w:rPr>
            </w:pPr>
            <w:r>
              <w:rPr>
                <w:rFonts w:eastAsia="Times New Roman" w:cs="Times New Roman"/>
                <w:color w:val="000000"/>
                <w:sz w:val="20"/>
                <w:szCs w:val="20"/>
              </w:rPr>
              <w:t>0,12</w:t>
            </w:r>
          </w:p>
        </w:tc>
        <w:tc>
          <w:tcPr>
            <w:tcW w:w="13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CCEF99"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0,09</w:t>
            </w:r>
          </w:p>
        </w:tc>
        <w:tc>
          <w:tcPr>
            <w:tcW w:w="1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10BC5E" w14:textId="77777777" w:rsidR="00670FD4" w:rsidRDefault="00670FD4" w:rsidP="001925BA">
            <w:pPr>
              <w:spacing w:before="0" w:after="0" w:line="240" w:lineRule="auto"/>
              <w:ind w:firstLine="40"/>
              <w:rPr>
                <w:rFonts w:eastAsia="Times New Roman" w:cs="Times New Roman"/>
                <w:sz w:val="20"/>
                <w:szCs w:val="20"/>
              </w:rPr>
            </w:pPr>
            <w:r>
              <w:rPr>
                <w:rFonts w:eastAsia="Times New Roman" w:cs="Times New Roman"/>
                <w:color w:val="000000"/>
                <w:sz w:val="20"/>
                <w:szCs w:val="20"/>
              </w:rPr>
              <w:t>0,009</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171853"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0,0009</w:t>
            </w:r>
          </w:p>
        </w:tc>
        <w:tc>
          <w:tcPr>
            <w:tcW w:w="13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0CE825"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0,0002</w:t>
            </w:r>
          </w:p>
        </w:tc>
        <w:tc>
          <w:tcPr>
            <w:tcW w:w="12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328B90" w14:textId="77777777" w:rsidR="00670FD4" w:rsidRDefault="00670FD4" w:rsidP="001925BA">
            <w:pPr>
              <w:spacing w:before="0" w:after="0" w:line="240" w:lineRule="auto"/>
              <w:ind w:firstLine="75"/>
              <w:rPr>
                <w:rFonts w:eastAsia="Times New Roman" w:cs="Times New Roman"/>
                <w:sz w:val="20"/>
                <w:szCs w:val="20"/>
              </w:rPr>
            </w:pPr>
            <w:r>
              <w:rPr>
                <w:rFonts w:eastAsia="Times New Roman" w:cs="Times New Roman"/>
                <w:color w:val="000000"/>
                <w:sz w:val="20"/>
                <w:szCs w:val="20"/>
              </w:rPr>
              <w:t>0,00002</w:t>
            </w:r>
          </w:p>
        </w:tc>
      </w:tr>
    </w:tbl>
    <w:p w14:paraId="5D7E9F9B" w14:textId="77777777" w:rsidR="00670FD4" w:rsidRDefault="00670FD4" w:rsidP="00670FD4">
      <w:pPr>
        <w:spacing w:line="240" w:lineRule="auto"/>
      </w:pPr>
    </w:p>
    <w:p w14:paraId="5DBDE2D6" w14:textId="77777777" w:rsidR="00670FD4" w:rsidRDefault="00670FD4" w:rsidP="00670FD4">
      <w:pPr>
        <w:jc w:val="center"/>
        <w:rPr>
          <w:rFonts w:eastAsia="Times New Roman" w:cs="Times New Roman"/>
        </w:rPr>
      </w:pPr>
      <w:bookmarkStart w:id="128" w:name="_heading=h.206ipza" w:colFirst="0" w:colLast="0"/>
      <w:bookmarkEnd w:id="128"/>
      <w:r>
        <w:rPr>
          <w:rFonts w:eastAsia="Times New Roman" w:cs="Times New Roman"/>
          <w:b/>
          <w:color w:val="000000"/>
        </w:rPr>
        <w:lastRenderedPageBreak/>
        <w:t>Tabel 2.5.2.6 Emisii de substanțe sintetice și nesintetice (tone/an) din stația de epurare Mangalia (</w:t>
      </w:r>
      <w:r>
        <w:rPr>
          <w:rFonts w:eastAsia="Times New Roman" w:cs="Times New Roman"/>
          <w:b/>
          <w:i/>
          <w:color w:val="000000"/>
        </w:rPr>
        <w:t>sursa: Administrația Națională Apele Române, 2023</w:t>
      </w:r>
      <w:r>
        <w:rPr>
          <w:rFonts w:eastAsia="Times New Roman" w:cs="Times New Roman"/>
          <w:b/>
          <w:color w:val="000000"/>
        </w:rPr>
        <w:t>)</w:t>
      </w:r>
    </w:p>
    <w:tbl>
      <w:tblPr>
        <w:tblW w:w="9006" w:type="dxa"/>
        <w:tblLayout w:type="fixed"/>
        <w:tblLook w:val="0400" w:firstRow="0" w:lastRow="0" w:firstColumn="0" w:lastColumn="0" w:noHBand="0" w:noVBand="1"/>
      </w:tblPr>
      <w:tblGrid>
        <w:gridCol w:w="699"/>
        <w:gridCol w:w="1243"/>
        <w:gridCol w:w="1312"/>
        <w:gridCol w:w="847"/>
        <w:gridCol w:w="2123"/>
        <w:gridCol w:w="1529"/>
        <w:gridCol w:w="1253"/>
      </w:tblGrid>
      <w:tr w:rsidR="00670FD4" w14:paraId="218F030E" w14:textId="77777777" w:rsidTr="001925BA">
        <w:trPr>
          <w:trHeight w:val="440"/>
        </w:trPr>
        <w:tc>
          <w:tcPr>
            <w:tcW w:w="699"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B40A4D"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An</w:t>
            </w:r>
          </w:p>
        </w:tc>
        <w:tc>
          <w:tcPr>
            <w:tcW w:w="3402"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FC0EA8" w14:textId="77777777" w:rsidR="00670FD4" w:rsidRDefault="00670FD4" w:rsidP="001925BA">
            <w:pPr>
              <w:spacing w:before="0" w:after="0" w:line="240" w:lineRule="auto"/>
              <w:jc w:val="center"/>
              <w:rPr>
                <w:rFonts w:eastAsia="Times New Roman" w:cs="Times New Roman"/>
                <w:sz w:val="20"/>
                <w:szCs w:val="20"/>
              </w:rPr>
            </w:pPr>
            <w:r>
              <w:rPr>
                <w:rFonts w:eastAsia="Times New Roman" w:cs="Times New Roman"/>
                <w:color w:val="000000"/>
                <w:sz w:val="20"/>
                <w:szCs w:val="20"/>
              </w:rPr>
              <w:t>Metale grele</w:t>
            </w:r>
          </w:p>
        </w:tc>
        <w:tc>
          <w:tcPr>
            <w:tcW w:w="212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CAFEF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Hidrocarburi totale, tone/an </w:t>
            </w:r>
          </w:p>
        </w:tc>
        <w:tc>
          <w:tcPr>
            <w:tcW w:w="1529"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A47C4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Detergenți tone/an</w:t>
            </w:r>
          </w:p>
        </w:tc>
        <w:tc>
          <w:tcPr>
            <w:tcW w:w="125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40D098"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Fenoli tone/an</w:t>
            </w:r>
          </w:p>
        </w:tc>
      </w:tr>
      <w:tr w:rsidR="00670FD4" w14:paraId="52E2C519" w14:textId="77777777" w:rsidTr="001925BA">
        <w:trPr>
          <w:trHeight w:val="440"/>
        </w:trPr>
        <w:tc>
          <w:tcPr>
            <w:tcW w:w="699"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74ED88"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1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C92BC9" w14:textId="77777777" w:rsidR="00670FD4" w:rsidRDefault="00670FD4" w:rsidP="001925BA">
            <w:pPr>
              <w:spacing w:before="0" w:after="0" w:line="240" w:lineRule="auto"/>
              <w:ind w:firstLine="42"/>
              <w:rPr>
                <w:rFonts w:eastAsia="Times New Roman" w:cs="Times New Roman"/>
                <w:sz w:val="20"/>
                <w:szCs w:val="20"/>
              </w:rPr>
            </w:pPr>
            <w:r>
              <w:rPr>
                <w:rFonts w:eastAsia="Times New Roman" w:cs="Times New Roman"/>
                <w:color w:val="000000"/>
                <w:sz w:val="20"/>
                <w:szCs w:val="20"/>
              </w:rPr>
              <w:t>Zn total, tone/an</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A18C6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Cu total tone/an</w:t>
            </w:r>
          </w:p>
        </w:tc>
        <w:tc>
          <w:tcPr>
            <w:tcW w:w="8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93D861" w14:textId="77777777" w:rsidR="00670FD4" w:rsidRDefault="00670FD4" w:rsidP="001925BA">
            <w:pPr>
              <w:spacing w:before="0" w:after="0" w:line="240" w:lineRule="auto"/>
              <w:ind w:firstLine="38"/>
              <w:rPr>
                <w:rFonts w:eastAsia="Times New Roman" w:cs="Times New Roman"/>
                <w:sz w:val="20"/>
                <w:szCs w:val="20"/>
              </w:rPr>
            </w:pPr>
            <w:r>
              <w:rPr>
                <w:rFonts w:eastAsia="Times New Roman" w:cs="Times New Roman"/>
                <w:color w:val="000000"/>
                <w:sz w:val="20"/>
                <w:szCs w:val="20"/>
              </w:rPr>
              <w:t>Cr total</w:t>
            </w:r>
          </w:p>
          <w:p w14:paraId="18E0EB57" w14:textId="77777777" w:rsidR="00670FD4" w:rsidRDefault="00670FD4" w:rsidP="001925BA">
            <w:pPr>
              <w:spacing w:before="0" w:after="0" w:line="240" w:lineRule="auto"/>
              <w:ind w:firstLine="38"/>
              <w:rPr>
                <w:rFonts w:eastAsia="Times New Roman" w:cs="Times New Roman"/>
                <w:sz w:val="20"/>
                <w:szCs w:val="20"/>
              </w:rPr>
            </w:pPr>
            <w:r>
              <w:rPr>
                <w:rFonts w:eastAsia="Times New Roman" w:cs="Times New Roman"/>
                <w:color w:val="000000"/>
                <w:sz w:val="20"/>
                <w:szCs w:val="20"/>
              </w:rPr>
              <w:t>tone/an</w:t>
            </w:r>
          </w:p>
        </w:tc>
        <w:tc>
          <w:tcPr>
            <w:tcW w:w="212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B123E1"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1529"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BA15DA"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125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E51EFE"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r>
      <w:tr w:rsidR="00670FD4" w14:paraId="4E052A62" w14:textId="77777777" w:rsidTr="001925BA">
        <w:tc>
          <w:tcPr>
            <w:tcW w:w="6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B02D3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2015</w:t>
            </w:r>
          </w:p>
        </w:tc>
        <w:tc>
          <w:tcPr>
            <w:tcW w:w="1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C38EB7" w14:textId="77777777" w:rsidR="00670FD4" w:rsidRDefault="00670FD4" w:rsidP="001925BA">
            <w:pPr>
              <w:spacing w:before="0" w:after="0" w:line="240" w:lineRule="auto"/>
              <w:ind w:firstLine="42"/>
              <w:rPr>
                <w:rFonts w:eastAsia="Times New Roman" w:cs="Times New Roman"/>
                <w:sz w:val="20"/>
                <w:szCs w:val="20"/>
              </w:rPr>
            </w:pPr>
            <w:r>
              <w:rPr>
                <w:rFonts w:eastAsia="Times New Roman" w:cs="Times New Roman"/>
                <w:color w:val="000000"/>
                <w:sz w:val="20"/>
                <w:szCs w:val="20"/>
              </w:rPr>
              <w:t>0,14</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46E65D"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0,009</w:t>
            </w:r>
          </w:p>
        </w:tc>
        <w:tc>
          <w:tcPr>
            <w:tcW w:w="8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003623" w14:textId="77777777" w:rsidR="00670FD4" w:rsidRDefault="00670FD4" w:rsidP="001925BA">
            <w:pPr>
              <w:spacing w:before="0" w:after="0" w:line="240" w:lineRule="auto"/>
              <w:ind w:firstLine="38"/>
              <w:rPr>
                <w:rFonts w:eastAsia="Times New Roman" w:cs="Times New Roman"/>
                <w:sz w:val="20"/>
                <w:szCs w:val="20"/>
              </w:rPr>
            </w:pPr>
            <w:r>
              <w:rPr>
                <w:rFonts w:eastAsia="Times New Roman" w:cs="Times New Roman"/>
                <w:color w:val="000000"/>
                <w:sz w:val="20"/>
                <w:szCs w:val="20"/>
              </w:rPr>
              <w:t>0,02</w:t>
            </w:r>
          </w:p>
        </w:tc>
        <w:tc>
          <w:tcPr>
            <w:tcW w:w="21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29809A"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0,001</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379460"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0,004</w:t>
            </w:r>
          </w:p>
        </w:tc>
        <w:tc>
          <w:tcPr>
            <w:tcW w:w="12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43E71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0,00002</w:t>
            </w:r>
          </w:p>
        </w:tc>
      </w:tr>
      <w:tr w:rsidR="00670FD4" w14:paraId="64DA02CF" w14:textId="77777777" w:rsidTr="001925BA">
        <w:tc>
          <w:tcPr>
            <w:tcW w:w="6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37C0F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2016</w:t>
            </w:r>
          </w:p>
        </w:tc>
        <w:tc>
          <w:tcPr>
            <w:tcW w:w="1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F211D3" w14:textId="77777777" w:rsidR="00670FD4" w:rsidRDefault="00670FD4" w:rsidP="001925BA">
            <w:pPr>
              <w:spacing w:before="0" w:after="0" w:line="240" w:lineRule="auto"/>
              <w:ind w:firstLine="42"/>
              <w:rPr>
                <w:rFonts w:eastAsia="Times New Roman" w:cs="Times New Roman"/>
                <w:sz w:val="20"/>
                <w:szCs w:val="20"/>
              </w:rPr>
            </w:pPr>
            <w:r>
              <w:rPr>
                <w:rFonts w:eastAsia="Times New Roman" w:cs="Times New Roman"/>
                <w:color w:val="000000"/>
                <w:sz w:val="20"/>
                <w:szCs w:val="20"/>
              </w:rPr>
              <w:t>0,07</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A2CCE8"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0,006</w:t>
            </w:r>
          </w:p>
        </w:tc>
        <w:tc>
          <w:tcPr>
            <w:tcW w:w="8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9BA07F" w14:textId="77777777" w:rsidR="00670FD4" w:rsidRDefault="00670FD4" w:rsidP="001925BA">
            <w:pPr>
              <w:spacing w:before="0" w:after="0" w:line="240" w:lineRule="auto"/>
              <w:ind w:firstLine="38"/>
              <w:rPr>
                <w:rFonts w:eastAsia="Times New Roman" w:cs="Times New Roman"/>
                <w:sz w:val="20"/>
                <w:szCs w:val="20"/>
              </w:rPr>
            </w:pPr>
            <w:r>
              <w:rPr>
                <w:rFonts w:eastAsia="Times New Roman" w:cs="Times New Roman"/>
                <w:color w:val="000000"/>
                <w:sz w:val="20"/>
                <w:szCs w:val="20"/>
              </w:rPr>
              <w:t>0,02</w:t>
            </w:r>
          </w:p>
        </w:tc>
        <w:tc>
          <w:tcPr>
            <w:tcW w:w="21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68F52A"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0,002</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921B9B"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0,0002</w:t>
            </w:r>
          </w:p>
        </w:tc>
        <w:tc>
          <w:tcPr>
            <w:tcW w:w="12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39F0DC"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0,00002</w:t>
            </w:r>
          </w:p>
        </w:tc>
      </w:tr>
      <w:tr w:rsidR="00670FD4" w14:paraId="5B84D91A" w14:textId="77777777" w:rsidTr="001925BA">
        <w:tc>
          <w:tcPr>
            <w:tcW w:w="6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AAA5B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2017</w:t>
            </w:r>
          </w:p>
        </w:tc>
        <w:tc>
          <w:tcPr>
            <w:tcW w:w="1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A3B073" w14:textId="77777777" w:rsidR="00670FD4" w:rsidRDefault="00670FD4" w:rsidP="001925BA">
            <w:pPr>
              <w:spacing w:before="0" w:after="0" w:line="240" w:lineRule="auto"/>
              <w:ind w:firstLine="42"/>
              <w:rPr>
                <w:rFonts w:eastAsia="Times New Roman" w:cs="Times New Roman"/>
                <w:sz w:val="20"/>
                <w:szCs w:val="20"/>
              </w:rPr>
            </w:pPr>
            <w:r>
              <w:rPr>
                <w:rFonts w:eastAsia="Times New Roman" w:cs="Times New Roman"/>
                <w:color w:val="000000"/>
                <w:sz w:val="20"/>
                <w:szCs w:val="20"/>
              </w:rPr>
              <w:t>0,13</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B4FF3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0,06</w:t>
            </w:r>
          </w:p>
        </w:tc>
        <w:tc>
          <w:tcPr>
            <w:tcW w:w="8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B0FB10" w14:textId="77777777" w:rsidR="00670FD4" w:rsidRDefault="00670FD4" w:rsidP="001925BA">
            <w:pPr>
              <w:spacing w:before="0" w:after="0" w:line="240" w:lineRule="auto"/>
              <w:ind w:firstLine="38"/>
              <w:rPr>
                <w:rFonts w:eastAsia="Times New Roman" w:cs="Times New Roman"/>
                <w:sz w:val="20"/>
                <w:szCs w:val="20"/>
              </w:rPr>
            </w:pPr>
            <w:r>
              <w:rPr>
                <w:rFonts w:eastAsia="Times New Roman" w:cs="Times New Roman"/>
                <w:color w:val="000000"/>
                <w:sz w:val="20"/>
                <w:szCs w:val="20"/>
              </w:rPr>
              <w:t>0,02</w:t>
            </w:r>
          </w:p>
        </w:tc>
        <w:tc>
          <w:tcPr>
            <w:tcW w:w="21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9C7338"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0,001</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FD2674"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0,0006</w:t>
            </w:r>
          </w:p>
        </w:tc>
        <w:tc>
          <w:tcPr>
            <w:tcW w:w="12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B8F46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0,00003</w:t>
            </w:r>
          </w:p>
        </w:tc>
      </w:tr>
      <w:tr w:rsidR="00670FD4" w14:paraId="05283352" w14:textId="77777777" w:rsidTr="001925BA">
        <w:tc>
          <w:tcPr>
            <w:tcW w:w="6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89917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2018</w:t>
            </w:r>
          </w:p>
        </w:tc>
        <w:tc>
          <w:tcPr>
            <w:tcW w:w="1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9D4B1B" w14:textId="77777777" w:rsidR="00670FD4" w:rsidRDefault="00670FD4" w:rsidP="001925BA">
            <w:pPr>
              <w:spacing w:before="0" w:after="0" w:line="240" w:lineRule="auto"/>
              <w:ind w:firstLine="42"/>
              <w:rPr>
                <w:rFonts w:eastAsia="Times New Roman" w:cs="Times New Roman"/>
                <w:sz w:val="20"/>
                <w:szCs w:val="20"/>
              </w:rPr>
            </w:pPr>
            <w:r>
              <w:rPr>
                <w:rFonts w:eastAsia="Times New Roman" w:cs="Times New Roman"/>
                <w:color w:val="000000"/>
                <w:sz w:val="20"/>
                <w:szCs w:val="20"/>
              </w:rPr>
              <w:t>0,26</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572759"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0,05</w:t>
            </w:r>
          </w:p>
        </w:tc>
        <w:tc>
          <w:tcPr>
            <w:tcW w:w="8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8D4152" w14:textId="77777777" w:rsidR="00670FD4" w:rsidRDefault="00670FD4" w:rsidP="001925BA">
            <w:pPr>
              <w:spacing w:before="0" w:after="0" w:line="240" w:lineRule="auto"/>
              <w:ind w:firstLine="38"/>
              <w:rPr>
                <w:rFonts w:eastAsia="Times New Roman" w:cs="Times New Roman"/>
                <w:sz w:val="20"/>
                <w:szCs w:val="20"/>
              </w:rPr>
            </w:pPr>
            <w:r>
              <w:rPr>
                <w:rFonts w:eastAsia="Times New Roman" w:cs="Times New Roman"/>
                <w:color w:val="000000"/>
                <w:sz w:val="20"/>
                <w:szCs w:val="20"/>
              </w:rPr>
              <w:t>0,03</w:t>
            </w:r>
          </w:p>
        </w:tc>
        <w:tc>
          <w:tcPr>
            <w:tcW w:w="21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0FC547"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0,001</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0FEA25"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0,004</w:t>
            </w:r>
          </w:p>
        </w:tc>
        <w:tc>
          <w:tcPr>
            <w:tcW w:w="12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964D8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0,00006</w:t>
            </w:r>
          </w:p>
        </w:tc>
      </w:tr>
      <w:tr w:rsidR="00670FD4" w14:paraId="718BE6DC" w14:textId="77777777" w:rsidTr="001925BA">
        <w:tc>
          <w:tcPr>
            <w:tcW w:w="6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45820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2019</w:t>
            </w:r>
          </w:p>
        </w:tc>
        <w:tc>
          <w:tcPr>
            <w:tcW w:w="1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99BA41" w14:textId="77777777" w:rsidR="00670FD4" w:rsidRDefault="00670FD4" w:rsidP="001925BA">
            <w:pPr>
              <w:spacing w:before="0" w:after="0" w:line="240" w:lineRule="auto"/>
              <w:ind w:firstLine="42"/>
              <w:rPr>
                <w:rFonts w:eastAsia="Times New Roman" w:cs="Times New Roman"/>
                <w:sz w:val="20"/>
                <w:szCs w:val="20"/>
              </w:rPr>
            </w:pPr>
            <w:r>
              <w:rPr>
                <w:rFonts w:eastAsia="Times New Roman" w:cs="Times New Roman"/>
                <w:color w:val="000000"/>
                <w:sz w:val="20"/>
                <w:szCs w:val="20"/>
              </w:rPr>
              <w:t>0,39</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8B318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0,06</w:t>
            </w:r>
          </w:p>
        </w:tc>
        <w:tc>
          <w:tcPr>
            <w:tcW w:w="8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F88AEC" w14:textId="77777777" w:rsidR="00670FD4" w:rsidRDefault="00670FD4" w:rsidP="001925BA">
            <w:pPr>
              <w:spacing w:before="0" w:after="0" w:line="240" w:lineRule="auto"/>
              <w:ind w:firstLine="38"/>
              <w:rPr>
                <w:rFonts w:eastAsia="Times New Roman" w:cs="Times New Roman"/>
                <w:sz w:val="20"/>
                <w:szCs w:val="20"/>
              </w:rPr>
            </w:pPr>
            <w:r>
              <w:rPr>
                <w:rFonts w:eastAsia="Times New Roman" w:cs="Times New Roman"/>
                <w:color w:val="000000"/>
                <w:sz w:val="20"/>
                <w:szCs w:val="20"/>
              </w:rPr>
              <w:t>0,04</w:t>
            </w:r>
          </w:p>
        </w:tc>
        <w:tc>
          <w:tcPr>
            <w:tcW w:w="21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F64917"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0,0006</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5ECA86"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0,003</w:t>
            </w:r>
          </w:p>
        </w:tc>
        <w:tc>
          <w:tcPr>
            <w:tcW w:w="12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8C6859"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0,0002</w:t>
            </w:r>
          </w:p>
        </w:tc>
      </w:tr>
      <w:tr w:rsidR="00670FD4" w14:paraId="0B045D1B" w14:textId="77777777" w:rsidTr="001925BA">
        <w:tc>
          <w:tcPr>
            <w:tcW w:w="6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247F88"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2020</w:t>
            </w:r>
          </w:p>
        </w:tc>
        <w:tc>
          <w:tcPr>
            <w:tcW w:w="1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3D56C0" w14:textId="77777777" w:rsidR="00670FD4" w:rsidRDefault="00670FD4" w:rsidP="001925BA">
            <w:pPr>
              <w:spacing w:before="0" w:after="0" w:line="240" w:lineRule="auto"/>
              <w:ind w:firstLine="42"/>
              <w:rPr>
                <w:rFonts w:eastAsia="Times New Roman" w:cs="Times New Roman"/>
                <w:sz w:val="20"/>
                <w:szCs w:val="20"/>
              </w:rPr>
            </w:pPr>
            <w:r>
              <w:rPr>
                <w:rFonts w:eastAsia="Times New Roman" w:cs="Times New Roman"/>
                <w:color w:val="000000"/>
                <w:sz w:val="20"/>
                <w:szCs w:val="20"/>
              </w:rPr>
              <w:t>0,14</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35F57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0,07</w:t>
            </w:r>
          </w:p>
        </w:tc>
        <w:tc>
          <w:tcPr>
            <w:tcW w:w="8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17B246" w14:textId="77777777" w:rsidR="00670FD4" w:rsidRDefault="00670FD4" w:rsidP="001925BA">
            <w:pPr>
              <w:spacing w:before="0" w:after="0" w:line="240" w:lineRule="auto"/>
              <w:ind w:firstLine="38"/>
              <w:rPr>
                <w:rFonts w:eastAsia="Times New Roman" w:cs="Times New Roman"/>
                <w:sz w:val="20"/>
                <w:szCs w:val="20"/>
              </w:rPr>
            </w:pPr>
            <w:r>
              <w:rPr>
                <w:rFonts w:eastAsia="Times New Roman" w:cs="Times New Roman"/>
                <w:color w:val="000000"/>
                <w:sz w:val="20"/>
                <w:szCs w:val="20"/>
              </w:rPr>
              <w:t>0,02</w:t>
            </w:r>
          </w:p>
        </w:tc>
        <w:tc>
          <w:tcPr>
            <w:tcW w:w="21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1EF68E"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0,0006</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E5783B"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0,0003</w:t>
            </w:r>
          </w:p>
        </w:tc>
        <w:tc>
          <w:tcPr>
            <w:tcW w:w="12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4256B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0,000008</w:t>
            </w:r>
          </w:p>
        </w:tc>
      </w:tr>
      <w:tr w:rsidR="00670FD4" w14:paraId="3B5A6CFC" w14:textId="77777777" w:rsidTr="001925BA">
        <w:tc>
          <w:tcPr>
            <w:tcW w:w="6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748D0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2021</w:t>
            </w:r>
          </w:p>
        </w:tc>
        <w:tc>
          <w:tcPr>
            <w:tcW w:w="1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52420C" w14:textId="77777777" w:rsidR="00670FD4" w:rsidRDefault="00670FD4" w:rsidP="001925BA">
            <w:pPr>
              <w:spacing w:before="0" w:after="0" w:line="240" w:lineRule="auto"/>
              <w:ind w:firstLine="42"/>
              <w:rPr>
                <w:rFonts w:eastAsia="Times New Roman" w:cs="Times New Roman"/>
                <w:sz w:val="20"/>
                <w:szCs w:val="20"/>
              </w:rPr>
            </w:pPr>
            <w:r>
              <w:rPr>
                <w:rFonts w:eastAsia="Times New Roman" w:cs="Times New Roman"/>
                <w:color w:val="000000"/>
                <w:sz w:val="20"/>
                <w:szCs w:val="20"/>
              </w:rPr>
              <w:t>0,27</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BC824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0,07</w:t>
            </w:r>
          </w:p>
        </w:tc>
        <w:tc>
          <w:tcPr>
            <w:tcW w:w="8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DFA9CD" w14:textId="77777777" w:rsidR="00670FD4" w:rsidRDefault="00670FD4" w:rsidP="001925BA">
            <w:pPr>
              <w:spacing w:before="0" w:after="0" w:line="240" w:lineRule="auto"/>
              <w:ind w:firstLine="38"/>
              <w:rPr>
                <w:rFonts w:eastAsia="Times New Roman" w:cs="Times New Roman"/>
                <w:sz w:val="20"/>
                <w:szCs w:val="20"/>
              </w:rPr>
            </w:pPr>
            <w:r>
              <w:rPr>
                <w:rFonts w:eastAsia="Times New Roman" w:cs="Times New Roman"/>
                <w:color w:val="000000"/>
                <w:sz w:val="20"/>
                <w:szCs w:val="20"/>
              </w:rPr>
              <w:t>0,02</w:t>
            </w:r>
          </w:p>
        </w:tc>
        <w:tc>
          <w:tcPr>
            <w:tcW w:w="21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81F18C"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0,001</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1C4AB3"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0,0003</w:t>
            </w:r>
          </w:p>
        </w:tc>
        <w:tc>
          <w:tcPr>
            <w:tcW w:w="12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6A6968"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0,00002</w:t>
            </w:r>
          </w:p>
        </w:tc>
      </w:tr>
    </w:tbl>
    <w:p w14:paraId="1713CDDA" w14:textId="77777777" w:rsidR="00670FD4" w:rsidRDefault="00670FD4" w:rsidP="00670FD4"/>
    <w:p w14:paraId="6DCCD08D" w14:textId="77777777" w:rsidR="00670FD4" w:rsidRDefault="00670FD4" w:rsidP="00670FD4">
      <w:pPr>
        <w:spacing w:before="0"/>
        <w:ind w:firstLine="567"/>
        <w:rPr>
          <w:rFonts w:eastAsia="Times New Roman" w:cs="Times New Roman"/>
        </w:rPr>
      </w:pPr>
      <w:r>
        <w:rPr>
          <w:rFonts w:eastAsia="Times New Roman" w:cs="Times New Roman"/>
          <w:color w:val="000000"/>
        </w:rPr>
        <w:t>Pe lângă aceste surse de poluare de pe uscat, menționate și analizate mai sus, introducerea de compuși sintetici și non-sintetici se poate realiza și prin deversări sau scurgeri accidentale în mare de la platformele petroliere din afara zonei de studiu, conductele de transport țiței, sau de la nave. Statistic, aceste poluări accidentale sunt cauzate, în principal, de activitățile de transport naval. Poluările accidentale au fost de mică amploare, sub formă de irizaţii, în zonele afectate au fost folosite baraje flotante antipetrol pentru limitarea poluării apei, şi s-au aplicat substanţe biodegradabile pentru neutralizare. Posibilele locuri de apariţie a acestora şi zonele care ar putea fi afectate, sunt: acvatoriul porturilor Constanţa, Mangalia și Midia, zona Canalului Dunăre-Marea Neagră şi zona Canalului Poarta Albă Midia-Năvodari. Riscul de producere a unor poluări majore este strâns legat de producerea unui accident naval major, precum coliziune și/sau scufundare.</w:t>
      </w:r>
    </w:p>
    <w:p w14:paraId="65699F71" w14:textId="77777777" w:rsidR="00670FD4" w:rsidRDefault="00670FD4" w:rsidP="00670FD4">
      <w:pPr>
        <w:spacing w:before="0"/>
        <w:rPr>
          <w:rFonts w:eastAsia="Times New Roman" w:cs="Times New Roman"/>
          <w:u w:val="single"/>
        </w:rPr>
      </w:pPr>
      <w:r>
        <w:rPr>
          <w:rFonts w:eastAsia="Times New Roman" w:cs="Times New Roman"/>
          <w:color w:val="000000"/>
          <w:u w:val="single"/>
        </w:rPr>
        <w:t>Ape de suprafață (Dunăre, lacuri)</w:t>
      </w:r>
    </w:p>
    <w:p w14:paraId="20169363" w14:textId="77777777" w:rsidR="00670FD4" w:rsidRDefault="00670FD4" w:rsidP="00670FD4">
      <w:pPr>
        <w:spacing w:before="0"/>
        <w:ind w:firstLine="567"/>
        <w:rPr>
          <w:rFonts w:eastAsia="Times New Roman" w:cs="Times New Roman"/>
        </w:rPr>
      </w:pPr>
      <w:r>
        <w:rPr>
          <w:rFonts w:eastAsia="Times New Roman" w:cs="Times New Roman"/>
          <w:color w:val="000000"/>
        </w:rPr>
        <w:t xml:space="preserve">Cea mai importantă sursă de introducere a compușilor sintetici și non-sintetici în partea de nord a zonei de studiu o constituie fluviul Dunărea. Aportul de poluanți al Dunării a fost discutat mai sus, de menționat este faptul că o parte din acest aport este reținut în Delta Dunării (adsorbit pe suprafața particulelor de sedimente, materie organică particulată, microplastice, etc.) sau acumulat în biota. Dintre sursele locale, este de menționat transportul naval desfășurat pe căile navigabile, atât în ambarcaţiuni mici, cât şi de navele maritime şi fluviale aflate în tranzit (exemplu Sulina, unde s-a arătat influența intensificării tranzitului naval în ultimii 2 ani). Poluarea determinată de activitatea de transport naval se datorează faptului că nu toate navele sunt dotate cu separatoare de reziduuri petroliere eficiente, de exploatarea necorespunzătoare a acestora şi de faptul că porturile dunărene de pe teritoriul rezervaţiei nu sunt dotate cu instalaţii specifice pentru prelucrarea şi reciclarea acestor reziduuri. Pentru evitarea poluării, ARBDD a impus societăţilor deţinătoare de mijloace navale de transport, aplicarea recomandărilor POLDANUBE – 1986 la fluviu şi a Convenţiei MARPOL 73/78 de </w:t>
      </w:r>
      <w:r>
        <w:rPr>
          <w:rFonts w:eastAsia="Times New Roman" w:cs="Times New Roman"/>
          <w:color w:val="000000"/>
        </w:rPr>
        <w:lastRenderedPageBreak/>
        <w:t>către navele maritime, ambele convenţii referindu-se la colectarea, stocarea la bordul navelor a reziduurilor de hidrocarburi, precum şi ţinerea evidenţei predării acestora la unităţile colectoare (Consiliul Județean Tulcea, 2021). De asemenea, activitățile agricole din Delta Dunării pot contribui la introducerea unor compuși sintetici și non-sintetici în apele de suprafață (lacuri, canale).</w:t>
      </w:r>
    </w:p>
    <w:p w14:paraId="1D20EE92" w14:textId="77777777" w:rsidR="00670FD4" w:rsidRDefault="00670FD4" w:rsidP="00670FD4">
      <w:pPr>
        <w:spacing w:before="0"/>
        <w:ind w:firstLine="567"/>
        <w:rPr>
          <w:rFonts w:eastAsia="Times New Roman" w:cs="Times New Roman"/>
        </w:rPr>
      </w:pPr>
      <w:r>
        <w:rPr>
          <w:rFonts w:eastAsia="Times New Roman" w:cs="Times New Roman"/>
          <w:color w:val="000000"/>
        </w:rPr>
        <w:t>Alte surse de poluare sunt reprezentate de stațiile de epurare care tratează doar parțial apele uzate (tratament primar și secundar), precum și lipsa colectării și epurării apelor menajere în unele localități rurale. Emisiile de poluanți din stațiile de epurare urbane Sulina și Jurilovca sunt redate în Tabelul 2.5.2.7.</w:t>
      </w:r>
    </w:p>
    <w:p w14:paraId="136D13F5" w14:textId="77777777" w:rsidR="00670FD4" w:rsidRDefault="00670FD4" w:rsidP="00670FD4">
      <w:pPr>
        <w:spacing w:before="0"/>
      </w:pPr>
    </w:p>
    <w:p w14:paraId="5AA36B54" w14:textId="77777777" w:rsidR="00670FD4" w:rsidRDefault="00670FD4" w:rsidP="00670FD4">
      <w:pPr>
        <w:spacing w:after="0"/>
        <w:jc w:val="center"/>
        <w:rPr>
          <w:rFonts w:eastAsia="Times New Roman" w:cs="Times New Roman"/>
        </w:rPr>
      </w:pPr>
      <w:bookmarkStart w:id="129" w:name="_heading=h.4k668n3" w:colFirst="0" w:colLast="0"/>
      <w:bookmarkEnd w:id="129"/>
      <w:r>
        <w:rPr>
          <w:rFonts w:eastAsia="Times New Roman" w:cs="Times New Roman"/>
          <w:b/>
          <w:color w:val="000000"/>
        </w:rPr>
        <w:t>Tabel 2.5.2.7 Emisii de substanțe sintetice și nesintetice (tone/an) din stația de epurare Sulina și Jurilovca (</w:t>
      </w:r>
      <w:r>
        <w:rPr>
          <w:rFonts w:eastAsia="Times New Roman" w:cs="Times New Roman"/>
          <w:b/>
          <w:i/>
          <w:color w:val="000000"/>
        </w:rPr>
        <w:t>sursa: Administrația Națională Apele Române, 2023</w:t>
      </w:r>
      <w:r>
        <w:rPr>
          <w:rFonts w:eastAsia="Times New Roman" w:cs="Times New Roman"/>
          <w:b/>
          <w:color w:val="000000"/>
        </w:rPr>
        <w:t>)</w:t>
      </w:r>
    </w:p>
    <w:tbl>
      <w:tblPr>
        <w:tblW w:w="7476" w:type="dxa"/>
        <w:jc w:val="center"/>
        <w:tblLayout w:type="fixed"/>
        <w:tblLook w:val="0400" w:firstRow="0" w:lastRow="0" w:firstColumn="0" w:lastColumn="0" w:noHBand="0" w:noVBand="1"/>
      </w:tblPr>
      <w:tblGrid>
        <w:gridCol w:w="960"/>
        <w:gridCol w:w="1382"/>
        <w:gridCol w:w="1947"/>
        <w:gridCol w:w="1637"/>
        <w:gridCol w:w="1314"/>
        <w:gridCol w:w="236"/>
      </w:tblGrid>
      <w:tr w:rsidR="00670FD4" w14:paraId="6FD7E28B" w14:textId="77777777" w:rsidTr="001925BA">
        <w:trPr>
          <w:gridAfter w:val="1"/>
          <w:wAfter w:w="50" w:type="dxa"/>
          <w:trHeight w:val="557"/>
          <w:jc w:val="center"/>
        </w:trPr>
        <w:tc>
          <w:tcPr>
            <w:tcW w:w="98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5960BD" w14:textId="77777777" w:rsidR="00670FD4" w:rsidRDefault="00670FD4" w:rsidP="001925BA">
            <w:pPr>
              <w:spacing w:before="0" w:after="0" w:line="240" w:lineRule="auto"/>
              <w:ind w:firstLine="32"/>
              <w:rPr>
                <w:rFonts w:eastAsia="Times New Roman" w:cs="Times New Roman"/>
                <w:sz w:val="20"/>
                <w:szCs w:val="20"/>
              </w:rPr>
            </w:pPr>
            <w:r>
              <w:rPr>
                <w:rFonts w:eastAsia="Times New Roman" w:cs="Times New Roman"/>
                <w:color w:val="000000"/>
                <w:sz w:val="20"/>
                <w:szCs w:val="20"/>
              </w:rPr>
              <w:t>An</w:t>
            </w:r>
          </w:p>
        </w:tc>
        <w:tc>
          <w:tcPr>
            <w:tcW w:w="141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E109BA" w14:textId="77777777" w:rsidR="00670FD4" w:rsidRDefault="00670FD4" w:rsidP="001925BA">
            <w:pPr>
              <w:spacing w:before="0" w:after="0" w:line="240" w:lineRule="auto"/>
              <w:ind w:firstLine="64"/>
              <w:rPr>
                <w:rFonts w:eastAsia="Times New Roman" w:cs="Times New Roman"/>
                <w:sz w:val="20"/>
                <w:szCs w:val="20"/>
              </w:rPr>
            </w:pPr>
            <w:r>
              <w:rPr>
                <w:rFonts w:eastAsia="Times New Roman" w:cs="Times New Roman"/>
                <w:color w:val="000000"/>
                <w:sz w:val="20"/>
                <w:szCs w:val="20"/>
              </w:rPr>
              <w:t>Stația</w:t>
            </w:r>
          </w:p>
        </w:tc>
        <w:tc>
          <w:tcPr>
            <w:tcW w:w="1999"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3F00F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Hidrocarburi totale, tone/an </w:t>
            </w:r>
          </w:p>
        </w:tc>
        <w:tc>
          <w:tcPr>
            <w:tcW w:w="168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148F6C" w14:textId="77777777" w:rsidR="00670FD4" w:rsidRDefault="00670FD4" w:rsidP="001925BA">
            <w:pPr>
              <w:spacing w:before="0" w:after="0" w:line="240" w:lineRule="auto"/>
              <w:ind w:hanging="4"/>
              <w:rPr>
                <w:rFonts w:eastAsia="Times New Roman" w:cs="Times New Roman"/>
                <w:sz w:val="20"/>
                <w:szCs w:val="20"/>
              </w:rPr>
            </w:pPr>
            <w:r>
              <w:rPr>
                <w:rFonts w:eastAsia="Times New Roman" w:cs="Times New Roman"/>
                <w:color w:val="000000"/>
                <w:sz w:val="20"/>
                <w:szCs w:val="20"/>
              </w:rPr>
              <w:t>Detergenți tone/an</w:t>
            </w:r>
          </w:p>
        </w:tc>
        <w:tc>
          <w:tcPr>
            <w:tcW w:w="134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CEE299" w14:textId="77777777" w:rsidR="00670FD4" w:rsidRDefault="00670FD4" w:rsidP="001925BA">
            <w:pPr>
              <w:spacing w:before="0" w:after="0" w:line="240" w:lineRule="auto"/>
              <w:ind w:firstLine="60"/>
              <w:rPr>
                <w:rFonts w:eastAsia="Times New Roman" w:cs="Times New Roman"/>
                <w:sz w:val="20"/>
                <w:szCs w:val="20"/>
              </w:rPr>
            </w:pPr>
            <w:r>
              <w:rPr>
                <w:rFonts w:eastAsia="Times New Roman" w:cs="Times New Roman"/>
                <w:color w:val="000000"/>
                <w:sz w:val="20"/>
                <w:szCs w:val="20"/>
              </w:rPr>
              <w:t>Fenoli tone/an</w:t>
            </w:r>
          </w:p>
        </w:tc>
      </w:tr>
      <w:tr w:rsidR="00670FD4" w14:paraId="55876404" w14:textId="77777777" w:rsidTr="001925BA">
        <w:trPr>
          <w:trHeight w:val="33"/>
          <w:jc w:val="center"/>
        </w:trPr>
        <w:tc>
          <w:tcPr>
            <w:tcW w:w="98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1ADBF7" w14:textId="77777777" w:rsidR="00670FD4" w:rsidRDefault="00670FD4" w:rsidP="001925BA">
            <w:pPr>
              <w:widowControl w:val="0"/>
              <w:pBdr>
                <w:top w:val="nil"/>
                <w:left w:val="nil"/>
                <w:bottom w:val="nil"/>
                <w:right w:val="nil"/>
                <w:between w:val="nil"/>
              </w:pBdr>
              <w:spacing w:before="0" w:after="0"/>
              <w:ind w:firstLine="32"/>
              <w:rPr>
                <w:rFonts w:eastAsia="Times New Roman" w:cs="Times New Roman"/>
                <w:sz w:val="20"/>
                <w:szCs w:val="20"/>
              </w:rPr>
            </w:pPr>
          </w:p>
        </w:tc>
        <w:tc>
          <w:tcPr>
            <w:tcW w:w="141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757B1B" w14:textId="77777777" w:rsidR="00670FD4" w:rsidRDefault="00670FD4" w:rsidP="001925BA">
            <w:pPr>
              <w:widowControl w:val="0"/>
              <w:pBdr>
                <w:top w:val="nil"/>
                <w:left w:val="nil"/>
                <w:bottom w:val="nil"/>
                <w:right w:val="nil"/>
                <w:between w:val="nil"/>
              </w:pBdr>
              <w:spacing w:before="0" w:after="0"/>
              <w:ind w:firstLine="64"/>
              <w:rPr>
                <w:rFonts w:eastAsia="Times New Roman" w:cs="Times New Roman"/>
                <w:sz w:val="20"/>
                <w:szCs w:val="20"/>
              </w:rPr>
            </w:pPr>
          </w:p>
        </w:tc>
        <w:tc>
          <w:tcPr>
            <w:tcW w:w="1999"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00959F" w14:textId="77777777" w:rsidR="00670FD4" w:rsidRDefault="00670FD4" w:rsidP="001925BA">
            <w:pPr>
              <w:widowControl w:val="0"/>
              <w:pBdr>
                <w:top w:val="nil"/>
                <w:left w:val="nil"/>
                <w:bottom w:val="nil"/>
                <w:right w:val="nil"/>
                <w:between w:val="nil"/>
              </w:pBdr>
              <w:spacing w:before="0" w:after="0"/>
              <w:ind w:firstLine="0"/>
              <w:rPr>
                <w:rFonts w:eastAsia="Times New Roman" w:cs="Times New Roman"/>
                <w:sz w:val="20"/>
                <w:szCs w:val="20"/>
              </w:rPr>
            </w:pPr>
          </w:p>
        </w:tc>
        <w:tc>
          <w:tcPr>
            <w:tcW w:w="168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78D44C" w14:textId="77777777" w:rsidR="00670FD4" w:rsidRDefault="00670FD4" w:rsidP="001925BA">
            <w:pPr>
              <w:widowControl w:val="0"/>
              <w:pBdr>
                <w:top w:val="nil"/>
                <w:left w:val="nil"/>
                <w:bottom w:val="nil"/>
                <w:right w:val="nil"/>
                <w:between w:val="nil"/>
              </w:pBdr>
              <w:spacing w:before="0" w:after="0"/>
              <w:ind w:hanging="4"/>
              <w:rPr>
                <w:rFonts w:eastAsia="Times New Roman" w:cs="Times New Roman"/>
                <w:sz w:val="20"/>
                <w:szCs w:val="20"/>
              </w:rPr>
            </w:pPr>
          </w:p>
        </w:tc>
        <w:tc>
          <w:tcPr>
            <w:tcW w:w="134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7531CA" w14:textId="77777777" w:rsidR="00670FD4" w:rsidRDefault="00670FD4" w:rsidP="001925BA">
            <w:pPr>
              <w:widowControl w:val="0"/>
              <w:pBdr>
                <w:top w:val="nil"/>
                <w:left w:val="nil"/>
                <w:bottom w:val="nil"/>
                <w:right w:val="nil"/>
                <w:between w:val="nil"/>
              </w:pBdr>
              <w:spacing w:before="0" w:after="0"/>
              <w:ind w:firstLine="60"/>
              <w:rPr>
                <w:rFonts w:eastAsia="Times New Roman" w:cs="Times New Roman"/>
                <w:sz w:val="20"/>
                <w:szCs w:val="20"/>
              </w:rPr>
            </w:pPr>
          </w:p>
        </w:tc>
        <w:tc>
          <w:tcPr>
            <w:tcW w:w="50" w:type="dxa"/>
            <w:vAlign w:val="center"/>
          </w:tcPr>
          <w:p w14:paraId="6903E57A" w14:textId="77777777" w:rsidR="00670FD4" w:rsidRDefault="00670FD4" w:rsidP="001925BA">
            <w:pPr>
              <w:spacing w:before="0" w:after="0"/>
            </w:pPr>
          </w:p>
        </w:tc>
      </w:tr>
      <w:tr w:rsidR="00670FD4" w14:paraId="3EFAA29E" w14:textId="77777777" w:rsidTr="001925BA">
        <w:trPr>
          <w:trHeight w:val="367"/>
          <w:jc w:val="center"/>
        </w:trPr>
        <w:tc>
          <w:tcPr>
            <w:tcW w:w="98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14E078" w14:textId="77777777" w:rsidR="00670FD4" w:rsidRDefault="00670FD4" w:rsidP="001925BA">
            <w:pPr>
              <w:spacing w:before="0" w:after="0" w:line="240" w:lineRule="auto"/>
              <w:ind w:firstLine="32"/>
              <w:rPr>
                <w:rFonts w:eastAsia="Times New Roman" w:cs="Times New Roman"/>
                <w:sz w:val="20"/>
                <w:szCs w:val="20"/>
              </w:rPr>
            </w:pPr>
            <w:r>
              <w:rPr>
                <w:rFonts w:eastAsia="Times New Roman" w:cs="Times New Roman"/>
                <w:color w:val="000000"/>
                <w:sz w:val="20"/>
                <w:szCs w:val="20"/>
              </w:rPr>
              <w:t>2018</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F42E77" w14:textId="77777777" w:rsidR="00670FD4" w:rsidRDefault="00670FD4" w:rsidP="001925BA">
            <w:pPr>
              <w:spacing w:before="0" w:after="0" w:line="240" w:lineRule="auto"/>
              <w:ind w:firstLine="64"/>
              <w:rPr>
                <w:rFonts w:eastAsia="Times New Roman" w:cs="Times New Roman"/>
                <w:sz w:val="20"/>
                <w:szCs w:val="20"/>
              </w:rPr>
            </w:pPr>
            <w:r>
              <w:rPr>
                <w:rFonts w:eastAsia="Times New Roman" w:cs="Times New Roman"/>
                <w:color w:val="000000"/>
                <w:sz w:val="20"/>
                <w:szCs w:val="20"/>
              </w:rPr>
              <w:t>Sulina</w:t>
            </w:r>
          </w:p>
        </w:tc>
        <w:tc>
          <w:tcPr>
            <w:tcW w:w="19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A76107" w14:textId="77777777" w:rsidR="00670FD4" w:rsidRDefault="00670FD4" w:rsidP="001925BA">
            <w:pPr>
              <w:spacing w:before="0" w:after="0" w:line="240" w:lineRule="auto"/>
              <w:ind w:firstLine="0"/>
              <w:rPr>
                <w:rFonts w:eastAsia="Times New Roman" w:cs="Times New Roman"/>
                <w:sz w:val="20"/>
                <w:szCs w:val="20"/>
              </w:rPr>
            </w:pPr>
          </w:p>
        </w:tc>
        <w:tc>
          <w:tcPr>
            <w:tcW w:w="1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41FC33" w14:textId="77777777" w:rsidR="00670FD4" w:rsidRDefault="00670FD4" w:rsidP="001925BA">
            <w:pPr>
              <w:spacing w:before="0" w:after="0" w:line="240" w:lineRule="auto"/>
              <w:ind w:hanging="4"/>
              <w:rPr>
                <w:rFonts w:eastAsia="Times New Roman" w:cs="Times New Roman"/>
                <w:sz w:val="20"/>
                <w:szCs w:val="20"/>
              </w:rPr>
            </w:pPr>
            <w:r>
              <w:rPr>
                <w:rFonts w:eastAsia="Times New Roman" w:cs="Times New Roman"/>
                <w:color w:val="000000"/>
                <w:sz w:val="20"/>
                <w:szCs w:val="20"/>
              </w:rPr>
              <w:t>0,00007</w:t>
            </w:r>
          </w:p>
        </w:tc>
        <w:tc>
          <w:tcPr>
            <w:tcW w:w="13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74DBE8" w14:textId="77777777" w:rsidR="00670FD4" w:rsidRDefault="00670FD4" w:rsidP="001925BA">
            <w:pPr>
              <w:spacing w:before="0" w:after="0" w:line="240" w:lineRule="auto"/>
              <w:ind w:firstLine="60"/>
              <w:rPr>
                <w:rFonts w:eastAsia="Times New Roman" w:cs="Times New Roman"/>
                <w:sz w:val="20"/>
                <w:szCs w:val="20"/>
              </w:rPr>
            </w:pPr>
          </w:p>
        </w:tc>
        <w:tc>
          <w:tcPr>
            <w:tcW w:w="50" w:type="dxa"/>
            <w:vAlign w:val="center"/>
          </w:tcPr>
          <w:p w14:paraId="07255A02" w14:textId="77777777" w:rsidR="00670FD4" w:rsidRDefault="00670FD4" w:rsidP="001925BA">
            <w:pPr>
              <w:spacing w:before="0" w:after="0"/>
              <w:rPr>
                <w:sz w:val="20"/>
                <w:szCs w:val="20"/>
              </w:rPr>
            </w:pPr>
          </w:p>
        </w:tc>
      </w:tr>
      <w:tr w:rsidR="00670FD4" w14:paraId="52C257AA" w14:textId="77777777" w:rsidTr="001925BA">
        <w:trPr>
          <w:trHeight w:val="263"/>
          <w:jc w:val="center"/>
        </w:trPr>
        <w:tc>
          <w:tcPr>
            <w:tcW w:w="98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3D6177" w14:textId="77777777" w:rsidR="00670FD4" w:rsidRDefault="00670FD4" w:rsidP="001925BA">
            <w:pPr>
              <w:widowControl w:val="0"/>
              <w:pBdr>
                <w:top w:val="nil"/>
                <w:left w:val="nil"/>
                <w:bottom w:val="nil"/>
                <w:right w:val="nil"/>
                <w:between w:val="nil"/>
              </w:pBdr>
              <w:spacing w:before="0" w:after="0"/>
              <w:ind w:firstLine="32"/>
              <w:rPr>
                <w:sz w:val="20"/>
                <w:szCs w:val="20"/>
              </w:rPr>
            </w:pP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D0D272" w14:textId="77777777" w:rsidR="00670FD4" w:rsidRDefault="00670FD4" w:rsidP="001925BA">
            <w:pPr>
              <w:spacing w:before="0" w:after="0" w:line="240" w:lineRule="auto"/>
              <w:ind w:firstLine="64"/>
              <w:rPr>
                <w:rFonts w:eastAsia="Times New Roman" w:cs="Times New Roman"/>
                <w:sz w:val="20"/>
                <w:szCs w:val="20"/>
              </w:rPr>
            </w:pPr>
            <w:r>
              <w:rPr>
                <w:rFonts w:eastAsia="Times New Roman" w:cs="Times New Roman"/>
                <w:color w:val="000000"/>
                <w:sz w:val="20"/>
                <w:szCs w:val="20"/>
              </w:rPr>
              <w:t>Jurilovca</w:t>
            </w:r>
          </w:p>
        </w:tc>
        <w:tc>
          <w:tcPr>
            <w:tcW w:w="19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262C72" w14:textId="77777777" w:rsidR="00670FD4" w:rsidRDefault="00670FD4" w:rsidP="001925BA">
            <w:pPr>
              <w:spacing w:before="0" w:after="0" w:line="240" w:lineRule="auto"/>
              <w:ind w:firstLine="0"/>
              <w:rPr>
                <w:rFonts w:eastAsia="Times New Roman" w:cs="Times New Roman"/>
                <w:sz w:val="20"/>
                <w:szCs w:val="20"/>
              </w:rPr>
            </w:pPr>
          </w:p>
        </w:tc>
        <w:tc>
          <w:tcPr>
            <w:tcW w:w="1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83BA66" w14:textId="77777777" w:rsidR="00670FD4" w:rsidRDefault="00670FD4" w:rsidP="001925BA">
            <w:pPr>
              <w:spacing w:before="0" w:after="0" w:line="240" w:lineRule="auto"/>
              <w:ind w:hanging="4"/>
              <w:rPr>
                <w:rFonts w:eastAsia="Times New Roman" w:cs="Times New Roman"/>
                <w:sz w:val="20"/>
                <w:szCs w:val="20"/>
              </w:rPr>
            </w:pPr>
          </w:p>
        </w:tc>
        <w:tc>
          <w:tcPr>
            <w:tcW w:w="13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92C29B" w14:textId="77777777" w:rsidR="00670FD4" w:rsidRDefault="00670FD4" w:rsidP="001925BA">
            <w:pPr>
              <w:spacing w:before="0" w:after="0" w:line="240" w:lineRule="auto"/>
              <w:ind w:firstLine="60"/>
              <w:rPr>
                <w:rFonts w:eastAsia="Times New Roman" w:cs="Times New Roman"/>
                <w:sz w:val="20"/>
                <w:szCs w:val="20"/>
              </w:rPr>
            </w:pPr>
          </w:p>
        </w:tc>
        <w:tc>
          <w:tcPr>
            <w:tcW w:w="50" w:type="dxa"/>
            <w:vAlign w:val="center"/>
          </w:tcPr>
          <w:p w14:paraId="07408F33" w14:textId="77777777" w:rsidR="00670FD4" w:rsidRDefault="00670FD4" w:rsidP="001925BA">
            <w:pPr>
              <w:spacing w:before="0" w:after="0"/>
              <w:rPr>
                <w:sz w:val="20"/>
                <w:szCs w:val="20"/>
              </w:rPr>
            </w:pPr>
          </w:p>
        </w:tc>
      </w:tr>
      <w:tr w:rsidR="00670FD4" w14:paraId="4FDECB7E" w14:textId="77777777" w:rsidTr="001925BA">
        <w:trPr>
          <w:trHeight w:val="356"/>
          <w:jc w:val="center"/>
        </w:trPr>
        <w:tc>
          <w:tcPr>
            <w:tcW w:w="98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AA012F" w14:textId="77777777" w:rsidR="00670FD4" w:rsidRDefault="00670FD4" w:rsidP="001925BA">
            <w:pPr>
              <w:spacing w:before="0" w:after="0" w:line="240" w:lineRule="auto"/>
              <w:ind w:firstLine="32"/>
              <w:rPr>
                <w:rFonts w:eastAsia="Times New Roman" w:cs="Times New Roman"/>
                <w:sz w:val="20"/>
                <w:szCs w:val="20"/>
              </w:rPr>
            </w:pPr>
            <w:r>
              <w:rPr>
                <w:rFonts w:eastAsia="Times New Roman" w:cs="Times New Roman"/>
                <w:color w:val="000000"/>
                <w:sz w:val="20"/>
                <w:szCs w:val="20"/>
              </w:rPr>
              <w:t>2019</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FC152F" w14:textId="77777777" w:rsidR="00670FD4" w:rsidRDefault="00670FD4" w:rsidP="001925BA">
            <w:pPr>
              <w:spacing w:before="0" w:after="0" w:line="240" w:lineRule="auto"/>
              <w:ind w:firstLine="64"/>
              <w:rPr>
                <w:rFonts w:eastAsia="Times New Roman" w:cs="Times New Roman"/>
                <w:sz w:val="20"/>
                <w:szCs w:val="20"/>
              </w:rPr>
            </w:pPr>
            <w:r>
              <w:rPr>
                <w:rFonts w:eastAsia="Times New Roman" w:cs="Times New Roman"/>
                <w:color w:val="000000"/>
                <w:sz w:val="20"/>
                <w:szCs w:val="20"/>
              </w:rPr>
              <w:t>Sulina</w:t>
            </w:r>
          </w:p>
        </w:tc>
        <w:tc>
          <w:tcPr>
            <w:tcW w:w="19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C56CE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0,000009</w:t>
            </w:r>
          </w:p>
        </w:tc>
        <w:tc>
          <w:tcPr>
            <w:tcW w:w="1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EF1EE0" w14:textId="77777777" w:rsidR="00670FD4" w:rsidRDefault="00670FD4" w:rsidP="001925BA">
            <w:pPr>
              <w:spacing w:before="0" w:after="0" w:line="240" w:lineRule="auto"/>
              <w:ind w:hanging="4"/>
              <w:rPr>
                <w:rFonts w:eastAsia="Times New Roman" w:cs="Times New Roman"/>
                <w:sz w:val="20"/>
                <w:szCs w:val="20"/>
              </w:rPr>
            </w:pPr>
            <w:r>
              <w:rPr>
                <w:rFonts w:eastAsia="Times New Roman" w:cs="Times New Roman"/>
                <w:color w:val="000000"/>
                <w:sz w:val="20"/>
                <w:szCs w:val="20"/>
              </w:rPr>
              <w:t>0,00003</w:t>
            </w:r>
          </w:p>
        </w:tc>
        <w:tc>
          <w:tcPr>
            <w:tcW w:w="13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804C1F" w14:textId="77777777" w:rsidR="00670FD4" w:rsidRDefault="00670FD4" w:rsidP="001925BA">
            <w:pPr>
              <w:spacing w:before="0" w:after="0" w:line="240" w:lineRule="auto"/>
              <w:ind w:firstLine="60"/>
              <w:rPr>
                <w:rFonts w:eastAsia="Times New Roman" w:cs="Times New Roman"/>
                <w:sz w:val="20"/>
                <w:szCs w:val="20"/>
              </w:rPr>
            </w:pPr>
          </w:p>
        </w:tc>
        <w:tc>
          <w:tcPr>
            <w:tcW w:w="50" w:type="dxa"/>
            <w:vAlign w:val="center"/>
          </w:tcPr>
          <w:p w14:paraId="21F50573" w14:textId="77777777" w:rsidR="00670FD4" w:rsidRDefault="00670FD4" w:rsidP="001925BA">
            <w:pPr>
              <w:spacing w:before="0" w:after="0"/>
              <w:rPr>
                <w:sz w:val="20"/>
                <w:szCs w:val="20"/>
              </w:rPr>
            </w:pPr>
          </w:p>
        </w:tc>
      </w:tr>
      <w:tr w:rsidR="00670FD4" w14:paraId="29395448" w14:textId="77777777" w:rsidTr="001925BA">
        <w:trPr>
          <w:trHeight w:val="351"/>
          <w:jc w:val="center"/>
        </w:trPr>
        <w:tc>
          <w:tcPr>
            <w:tcW w:w="98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317BE3" w14:textId="77777777" w:rsidR="00670FD4" w:rsidRDefault="00670FD4" w:rsidP="001925BA">
            <w:pPr>
              <w:widowControl w:val="0"/>
              <w:pBdr>
                <w:top w:val="nil"/>
                <w:left w:val="nil"/>
                <w:bottom w:val="nil"/>
                <w:right w:val="nil"/>
                <w:between w:val="nil"/>
              </w:pBdr>
              <w:spacing w:before="0" w:after="0"/>
              <w:ind w:firstLine="32"/>
              <w:rPr>
                <w:sz w:val="20"/>
                <w:szCs w:val="20"/>
              </w:rPr>
            </w:pP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6A8882" w14:textId="77777777" w:rsidR="00670FD4" w:rsidRDefault="00670FD4" w:rsidP="001925BA">
            <w:pPr>
              <w:spacing w:before="0" w:after="0" w:line="240" w:lineRule="auto"/>
              <w:ind w:firstLine="64"/>
              <w:rPr>
                <w:rFonts w:eastAsia="Times New Roman" w:cs="Times New Roman"/>
                <w:sz w:val="20"/>
                <w:szCs w:val="20"/>
              </w:rPr>
            </w:pPr>
            <w:r>
              <w:rPr>
                <w:rFonts w:eastAsia="Times New Roman" w:cs="Times New Roman"/>
                <w:color w:val="000000"/>
                <w:sz w:val="20"/>
                <w:szCs w:val="20"/>
              </w:rPr>
              <w:t>Jurilovca</w:t>
            </w:r>
          </w:p>
        </w:tc>
        <w:tc>
          <w:tcPr>
            <w:tcW w:w="19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03C349" w14:textId="77777777" w:rsidR="00670FD4" w:rsidRDefault="00670FD4" w:rsidP="001925BA">
            <w:pPr>
              <w:spacing w:before="0" w:after="0" w:line="240" w:lineRule="auto"/>
              <w:ind w:firstLine="0"/>
              <w:rPr>
                <w:rFonts w:eastAsia="Times New Roman" w:cs="Times New Roman"/>
                <w:sz w:val="20"/>
                <w:szCs w:val="20"/>
              </w:rPr>
            </w:pPr>
          </w:p>
        </w:tc>
        <w:tc>
          <w:tcPr>
            <w:tcW w:w="1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679C1E" w14:textId="77777777" w:rsidR="00670FD4" w:rsidRDefault="00670FD4" w:rsidP="001925BA">
            <w:pPr>
              <w:spacing w:before="0" w:after="0" w:line="240" w:lineRule="auto"/>
              <w:ind w:hanging="4"/>
              <w:rPr>
                <w:rFonts w:eastAsia="Times New Roman" w:cs="Times New Roman"/>
                <w:sz w:val="20"/>
                <w:szCs w:val="20"/>
              </w:rPr>
            </w:pPr>
            <w:r>
              <w:rPr>
                <w:rFonts w:eastAsia="Times New Roman" w:cs="Times New Roman"/>
                <w:color w:val="000000"/>
                <w:sz w:val="20"/>
                <w:szCs w:val="20"/>
              </w:rPr>
              <w:t>0,0003</w:t>
            </w:r>
          </w:p>
        </w:tc>
        <w:tc>
          <w:tcPr>
            <w:tcW w:w="13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DCE125" w14:textId="77777777" w:rsidR="00670FD4" w:rsidRDefault="00670FD4" w:rsidP="001925BA">
            <w:pPr>
              <w:spacing w:before="0" w:after="0" w:line="240" w:lineRule="auto"/>
              <w:ind w:firstLine="60"/>
              <w:rPr>
                <w:rFonts w:eastAsia="Times New Roman" w:cs="Times New Roman"/>
                <w:sz w:val="20"/>
                <w:szCs w:val="20"/>
              </w:rPr>
            </w:pPr>
            <w:r>
              <w:rPr>
                <w:rFonts w:eastAsia="Times New Roman" w:cs="Times New Roman"/>
                <w:color w:val="000000"/>
                <w:sz w:val="20"/>
                <w:szCs w:val="20"/>
              </w:rPr>
              <w:t xml:space="preserve"> 0,000006</w:t>
            </w:r>
          </w:p>
        </w:tc>
        <w:tc>
          <w:tcPr>
            <w:tcW w:w="50" w:type="dxa"/>
            <w:vAlign w:val="center"/>
          </w:tcPr>
          <w:p w14:paraId="40B635C3" w14:textId="77777777" w:rsidR="00670FD4" w:rsidRDefault="00670FD4" w:rsidP="001925BA">
            <w:pPr>
              <w:spacing w:before="0" w:after="0"/>
              <w:rPr>
                <w:sz w:val="20"/>
                <w:szCs w:val="20"/>
              </w:rPr>
            </w:pPr>
          </w:p>
        </w:tc>
      </w:tr>
      <w:tr w:rsidR="00670FD4" w14:paraId="79F42423" w14:textId="77777777" w:rsidTr="001925BA">
        <w:trPr>
          <w:trHeight w:val="306"/>
          <w:jc w:val="center"/>
        </w:trPr>
        <w:tc>
          <w:tcPr>
            <w:tcW w:w="98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630ADA" w14:textId="77777777" w:rsidR="00670FD4" w:rsidRDefault="00670FD4" w:rsidP="001925BA">
            <w:pPr>
              <w:spacing w:before="0" w:after="0" w:line="240" w:lineRule="auto"/>
              <w:ind w:firstLine="32"/>
              <w:rPr>
                <w:rFonts w:eastAsia="Times New Roman" w:cs="Times New Roman"/>
                <w:sz w:val="20"/>
                <w:szCs w:val="20"/>
              </w:rPr>
            </w:pPr>
            <w:r>
              <w:rPr>
                <w:rFonts w:eastAsia="Times New Roman" w:cs="Times New Roman"/>
                <w:color w:val="000000"/>
                <w:sz w:val="20"/>
                <w:szCs w:val="20"/>
              </w:rPr>
              <w:t>2020</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A4059E" w14:textId="77777777" w:rsidR="00670FD4" w:rsidRDefault="00670FD4" w:rsidP="001925BA">
            <w:pPr>
              <w:spacing w:before="0" w:after="0" w:line="240" w:lineRule="auto"/>
              <w:ind w:firstLine="64"/>
              <w:rPr>
                <w:rFonts w:eastAsia="Times New Roman" w:cs="Times New Roman"/>
                <w:sz w:val="20"/>
                <w:szCs w:val="20"/>
              </w:rPr>
            </w:pPr>
            <w:r>
              <w:rPr>
                <w:rFonts w:eastAsia="Times New Roman" w:cs="Times New Roman"/>
                <w:color w:val="000000"/>
                <w:sz w:val="20"/>
                <w:szCs w:val="20"/>
              </w:rPr>
              <w:t>Sulina</w:t>
            </w:r>
          </w:p>
        </w:tc>
        <w:tc>
          <w:tcPr>
            <w:tcW w:w="19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784F9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0,00004</w:t>
            </w:r>
          </w:p>
        </w:tc>
        <w:tc>
          <w:tcPr>
            <w:tcW w:w="1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935CB5" w14:textId="77777777" w:rsidR="00670FD4" w:rsidRDefault="00670FD4" w:rsidP="001925BA">
            <w:pPr>
              <w:spacing w:before="0" w:after="0" w:line="240" w:lineRule="auto"/>
              <w:ind w:hanging="4"/>
              <w:rPr>
                <w:rFonts w:eastAsia="Times New Roman" w:cs="Times New Roman"/>
                <w:sz w:val="20"/>
                <w:szCs w:val="20"/>
              </w:rPr>
            </w:pPr>
            <w:r>
              <w:rPr>
                <w:rFonts w:eastAsia="Times New Roman" w:cs="Times New Roman"/>
                <w:color w:val="000000"/>
                <w:sz w:val="20"/>
                <w:szCs w:val="20"/>
              </w:rPr>
              <w:t>0,0004</w:t>
            </w:r>
          </w:p>
        </w:tc>
        <w:tc>
          <w:tcPr>
            <w:tcW w:w="13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584C57" w14:textId="77777777" w:rsidR="00670FD4" w:rsidRDefault="00670FD4" w:rsidP="001925BA">
            <w:pPr>
              <w:spacing w:before="0" w:after="0" w:line="240" w:lineRule="auto"/>
              <w:ind w:firstLine="60"/>
              <w:rPr>
                <w:rFonts w:eastAsia="Times New Roman" w:cs="Times New Roman"/>
                <w:sz w:val="20"/>
                <w:szCs w:val="20"/>
              </w:rPr>
            </w:pPr>
          </w:p>
        </w:tc>
        <w:tc>
          <w:tcPr>
            <w:tcW w:w="50" w:type="dxa"/>
            <w:vAlign w:val="center"/>
          </w:tcPr>
          <w:p w14:paraId="40759579" w14:textId="77777777" w:rsidR="00670FD4" w:rsidRDefault="00670FD4" w:rsidP="001925BA">
            <w:pPr>
              <w:spacing w:before="0" w:after="0"/>
              <w:rPr>
                <w:sz w:val="20"/>
                <w:szCs w:val="20"/>
              </w:rPr>
            </w:pPr>
          </w:p>
        </w:tc>
      </w:tr>
      <w:tr w:rsidR="00670FD4" w14:paraId="72B8BAE6" w14:textId="77777777" w:rsidTr="001925BA">
        <w:trPr>
          <w:trHeight w:val="253"/>
          <w:jc w:val="center"/>
        </w:trPr>
        <w:tc>
          <w:tcPr>
            <w:tcW w:w="98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1B431C" w14:textId="77777777" w:rsidR="00670FD4" w:rsidRDefault="00670FD4" w:rsidP="001925BA">
            <w:pPr>
              <w:widowControl w:val="0"/>
              <w:pBdr>
                <w:top w:val="nil"/>
                <w:left w:val="nil"/>
                <w:bottom w:val="nil"/>
                <w:right w:val="nil"/>
                <w:between w:val="nil"/>
              </w:pBdr>
              <w:spacing w:before="0" w:after="0"/>
              <w:ind w:firstLine="32"/>
              <w:rPr>
                <w:sz w:val="20"/>
                <w:szCs w:val="20"/>
              </w:rPr>
            </w:pP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EA4E54" w14:textId="77777777" w:rsidR="00670FD4" w:rsidRDefault="00670FD4" w:rsidP="001925BA">
            <w:pPr>
              <w:spacing w:before="0" w:after="0" w:line="240" w:lineRule="auto"/>
              <w:ind w:firstLine="64"/>
              <w:rPr>
                <w:rFonts w:eastAsia="Times New Roman" w:cs="Times New Roman"/>
                <w:sz w:val="20"/>
                <w:szCs w:val="20"/>
              </w:rPr>
            </w:pPr>
            <w:r>
              <w:rPr>
                <w:rFonts w:eastAsia="Times New Roman" w:cs="Times New Roman"/>
                <w:color w:val="000000"/>
                <w:sz w:val="20"/>
                <w:szCs w:val="20"/>
              </w:rPr>
              <w:t>Jurilovca</w:t>
            </w:r>
          </w:p>
        </w:tc>
        <w:tc>
          <w:tcPr>
            <w:tcW w:w="19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CBDF74" w14:textId="77777777" w:rsidR="00670FD4" w:rsidRDefault="00670FD4" w:rsidP="001925BA">
            <w:pPr>
              <w:spacing w:before="0" w:after="0" w:line="240" w:lineRule="auto"/>
              <w:ind w:firstLine="0"/>
              <w:rPr>
                <w:rFonts w:eastAsia="Times New Roman" w:cs="Times New Roman"/>
                <w:sz w:val="20"/>
                <w:szCs w:val="20"/>
              </w:rPr>
            </w:pPr>
          </w:p>
        </w:tc>
        <w:tc>
          <w:tcPr>
            <w:tcW w:w="1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48578F" w14:textId="77777777" w:rsidR="00670FD4" w:rsidRDefault="00670FD4" w:rsidP="001925BA">
            <w:pPr>
              <w:spacing w:before="0" w:after="0" w:line="240" w:lineRule="auto"/>
              <w:ind w:hanging="4"/>
              <w:rPr>
                <w:rFonts w:eastAsia="Times New Roman" w:cs="Times New Roman"/>
                <w:sz w:val="20"/>
                <w:szCs w:val="20"/>
              </w:rPr>
            </w:pPr>
            <w:r>
              <w:rPr>
                <w:rFonts w:eastAsia="Times New Roman" w:cs="Times New Roman"/>
                <w:color w:val="000000"/>
                <w:sz w:val="20"/>
                <w:szCs w:val="20"/>
              </w:rPr>
              <w:t>0,00002</w:t>
            </w:r>
          </w:p>
        </w:tc>
        <w:tc>
          <w:tcPr>
            <w:tcW w:w="13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53CA84" w14:textId="77777777" w:rsidR="00670FD4" w:rsidRDefault="00670FD4" w:rsidP="001925BA">
            <w:pPr>
              <w:spacing w:before="0" w:after="0" w:line="240" w:lineRule="auto"/>
              <w:ind w:firstLine="60"/>
              <w:rPr>
                <w:rFonts w:eastAsia="Times New Roman" w:cs="Times New Roman"/>
                <w:sz w:val="20"/>
                <w:szCs w:val="20"/>
              </w:rPr>
            </w:pPr>
          </w:p>
        </w:tc>
        <w:tc>
          <w:tcPr>
            <w:tcW w:w="50" w:type="dxa"/>
            <w:vAlign w:val="center"/>
          </w:tcPr>
          <w:p w14:paraId="6C8CDAF4" w14:textId="77777777" w:rsidR="00670FD4" w:rsidRDefault="00670FD4" w:rsidP="001925BA">
            <w:pPr>
              <w:spacing w:before="0" w:after="0"/>
              <w:rPr>
                <w:sz w:val="20"/>
                <w:szCs w:val="20"/>
              </w:rPr>
            </w:pPr>
          </w:p>
        </w:tc>
      </w:tr>
      <w:tr w:rsidR="00670FD4" w14:paraId="7A363A55" w14:textId="77777777" w:rsidTr="001925BA">
        <w:trPr>
          <w:trHeight w:val="350"/>
          <w:jc w:val="center"/>
        </w:trPr>
        <w:tc>
          <w:tcPr>
            <w:tcW w:w="98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E6F7ED" w14:textId="77777777" w:rsidR="00670FD4" w:rsidRDefault="00670FD4" w:rsidP="001925BA">
            <w:pPr>
              <w:spacing w:before="0" w:after="0" w:line="240" w:lineRule="auto"/>
              <w:ind w:firstLine="32"/>
              <w:rPr>
                <w:rFonts w:eastAsia="Times New Roman" w:cs="Times New Roman"/>
                <w:sz w:val="20"/>
                <w:szCs w:val="20"/>
              </w:rPr>
            </w:pPr>
            <w:r>
              <w:rPr>
                <w:rFonts w:eastAsia="Times New Roman" w:cs="Times New Roman"/>
                <w:color w:val="000000"/>
                <w:sz w:val="20"/>
                <w:szCs w:val="20"/>
              </w:rPr>
              <w:t>2021</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C20801" w14:textId="77777777" w:rsidR="00670FD4" w:rsidRDefault="00670FD4" w:rsidP="001925BA">
            <w:pPr>
              <w:spacing w:before="0" w:after="0" w:line="240" w:lineRule="auto"/>
              <w:ind w:firstLine="64"/>
              <w:rPr>
                <w:rFonts w:eastAsia="Times New Roman" w:cs="Times New Roman"/>
                <w:sz w:val="20"/>
                <w:szCs w:val="20"/>
              </w:rPr>
            </w:pPr>
            <w:r>
              <w:rPr>
                <w:rFonts w:eastAsia="Times New Roman" w:cs="Times New Roman"/>
                <w:color w:val="000000"/>
                <w:sz w:val="20"/>
                <w:szCs w:val="20"/>
              </w:rPr>
              <w:t>Sulina</w:t>
            </w:r>
          </w:p>
        </w:tc>
        <w:tc>
          <w:tcPr>
            <w:tcW w:w="19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B9DE1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0,0007</w:t>
            </w:r>
          </w:p>
        </w:tc>
        <w:tc>
          <w:tcPr>
            <w:tcW w:w="1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89D605" w14:textId="77777777" w:rsidR="00670FD4" w:rsidRDefault="00670FD4" w:rsidP="001925BA">
            <w:pPr>
              <w:spacing w:before="0" w:after="0" w:line="240" w:lineRule="auto"/>
              <w:ind w:hanging="4"/>
              <w:rPr>
                <w:rFonts w:eastAsia="Times New Roman" w:cs="Times New Roman"/>
                <w:sz w:val="20"/>
                <w:szCs w:val="20"/>
              </w:rPr>
            </w:pPr>
            <w:r>
              <w:rPr>
                <w:rFonts w:eastAsia="Times New Roman" w:cs="Times New Roman"/>
                <w:color w:val="000000"/>
                <w:sz w:val="20"/>
                <w:szCs w:val="20"/>
              </w:rPr>
              <w:t>0,0008</w:t>
            </w:r>
          </w:p>
        </w:tc>
        <w:tc>
          <w:tcPr>
            <w:tcW w:w="13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E46A77" w14:textId="77777777" w:rsidR="00670FD4" w:rsidRDefault="00670FD4" w:rsidP="001925BA">
            <w:pPr>
              <w:spacing w:before="0" w:after="0" w:line="240" w:lineRule="auto"/>
              <w:ind w:firstLine="60"/>
              <w:rPr>
                <w:rFonts w:eastAsia="Times New Roman" w:cs="Times New Roman"/>
                <w:sz w:val="20"/>
                <w:szCs w:val="20"/>
              </w:rPr>
            </w:pPr>
          </w:p>
        </w:tc>
        <w:tc>
          <w:tcPr>
            <w:tcW w:w="50" w:type="dxa"/>
            <w:vAlign w:val="center"/>
          </w:tcPr>
          <w:p w14:paraId="30D5193E" w14:textId="77777777" w:rsidR="00670FD4" w:rsidRDefault="00670FD4" w:rsidP="001925BA">
            <w:pPr>
              <w:spacing w:before="0" w:after="0"/>
              <w:rPr>
                <w:sz w:val="20"/>
                <w:szCs w:val="20"/>
              </w:rPr>
            </w:pPr>
          </w:p>
        </w:tc>
      </w:tr>
      <w:tr w:rsidR="00670FD4" w14:paraId="47C89FF1" w14:textId="77777777" w:rsidTr="001925BA">
        <w:trPr>
          <w:trHeight w:val="201"/>
          <w:jc w:val="center"/>
        </w:trPr>
        <w:tc>
          <w:tcPr>
            <w:tcW w:w="98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68D4C7" w14:textId="77777777" w:rsidR="00670FD4" w:rsidRDefault="00670FD4" w:rsidP="001925BA">
            <w:pPr>
              <w:widowControl w:val="0"/>
              <w:pBdr>
                <w:top w:val="nil"/>
                <w:left w:val="nil"/>
                <w:bottom w:val="nil"/>
                <w:right w:val="nil"/>
                <w:between w:val="nil"/>
              </w:pBdr>
              <w:spacing w:before="0" w:after="0"/>
              <w:rPr>
                <w:sz w:val="20"/>
                <w:szCs w:val="20"/>
              </w:rPr>
            </w:pP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B7A08D" w14:textId="77777777" w:rsidR="00670FD4" w:rsidRDefault="00670FD4" w:rsidP="001925BA">
            <w:pPr>
              <w:spacing w:before="0" w:after="0" w:line="240" w:lineRule="auto"/>
              <w:ind w:firstLine="64"/>
              <w:rPr>
                <w:rFonts w:eastAsia="Times New Roman" w:cs="Times New Roman"/>
                <w:sz w:val="20"/>
                <w:szCs w:val="20"/>
              </w:rPr>
            </w:pPr>
            <w:r>
              <w:rPr>
                <w:rFonts w:eastAsia="Times New Roman" w:cs="Times New Roman"/>
                <w:color w:val="000000"/>
                <w:sz w:val="20"/>
                <w:szCs w:val="20"/>
              </w:rPr>
              <w:t>Jurilovca</w:t>
            </w:r>
          </w:p>
        </w:tc>
        <w:tc>
          <w:tcPr>
            <w:tcW w:w="19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96F4EC" w14:textId="77777777" w:rsidR="00670FD4" w:rsidRDefault="00670FD4" w:rsidP="001925BA">
            <w:pPr>
              <w:spacing w:before="0" w:after="0" w:line="240" w:lineRule="auto"/>
              <w:ind w:firstLine="0"/>
              <w:rPr>
                <w:rFonts w:eastAsia="Times New Roman" w:cs="Times New Roman"/>
                <w:sz w:val="20"/>
                <w:szCs w:val="20"/>
              </w:rPr>
            </w:pPr>
          </w:p>
        </w:tc>
        <w:tc>
          <w:tcPr>
            <w:tcW w:w="1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3EE851" w14:textId="77777777" w:rsidR="00670FD4" w:rsidRDefault="00670FD4" w:rsidP="001925BA">
            <w:pPr>
              <w:spacing w:before="0" w:after="0" w:line="240" w:lineRule="auto"/>
              <w:ind w:hanging="4"/>
              <w:rPr>
                <w:rFonts w:eastAsia="Times New Roman" w:cs="Times New Roman"/>
                <w:sz w:val="20"/>
                <w:szCs w:val="20"/>
              </w:rPr>
            </w:pPr>
            <w:r>
              <w:rPr>
                <w:rFonts w:eastAsia="Times New Roman" w:cs="Times New Roman"/>
                <w:color w:val="000000"/>
                <w:sz w:val="20"/>
                <w:szCs w:val="20"/>
              </w:rPr>
              <w:t>0,0001</w:t>
            </w:r>
          </w:p>
        </w:tc>
        <w:tc>
          <w:tcPr>
            <w:tcW w:w="13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631217" w14:textId="77777777" w:rsidR="00670FD4" w:rsidRDefault="00670FD4" w:rsidP="001925BA">
            <w:pPr>
              <w:spacing w:before="0" w:after="0" w:line="240" w:lineRule="auto"/>
              <w:ind w:firstLine="60"/>
              <w:rPr>
                <w:rFonts w:eastAsia="Times New Roman" w:cs="Times New Roman"/>
                <w:sz w:val="20"/>
                <w:szCs w:val="20"/>
              </w:rPr>
            </w:pPr>
          </w:p>
        </w:tc>
        <w:tc>
          <w:tcPr>
            <w:tcW w:w="50" w:type="dxa"/>
            <w:vAlign w:val="center"/>
          </w:tcPr>
          <w:p w14:paraId="59B9CBB4" w14:textId="77777777" w:rsidR="00670FD4" w:rsidRDefault="00670FD4" w:rsidP="001925BA">
            <w:pPr>
              <w:spacing w:before="0" w:after="0"/>
              <w:rPr>
                <w:sz w:val="20"/>
                <w:szCs w:val="20"/>
              </w:rPr>
            </w:pPr>
          </w:p>
        </w:tc>
      </w:tr>
    </w:tbl>
    <w:p w14:paraId="76ACBB70" w14:textId="77777777" w:rsidR="00670FD4" w:rsidRDefault="00670FD4" w:rsidP="00670FD4">
      <w:pPr>
        <w:spacing w:after="0"/>
      </w:pPr>
    </w:p>
    <w:p w14:paraId="5B9F9E30" w14:textId="77777777" w:rsidR="00670FD4" w:rsidRDefault="00670FD4" w:rsidP="00670FD4">
      <w:pPr>
        <w:spacing w:before="0"/>
        <w:ind w:firstLine="567"/>
        <w:rPr>
          <w:rFonts w:eastAsia="Times New Roman" w:cs="Times New Roman"/>
        </w:rPr>
      </w:pPr>
      <w:r>
        <w:rPr>
          <w:rFonts w:eastAsia="Times New Roman" w:cs="Times New Roman"/>
          <w:color w:val="000000"/>
        </w:rPr>
        <w:t>În partea de sud a zonei costiere, poluarea lacurilor litorale cu substanțe sintetice și nesintetice este generată de activitățile agricole (în proximitatea lacurilor Techirghiol, Tașaul, Corbu, Siutghiol, Mangalia, etc.), activități industriale din vecinătate (exemplu - lacurile Tașaul și Corbu - industrie extractivă, prin depunerea de contaminanți din praful de carieră), dezvoltare urbană și turism (lacurile Siutghiol, Mangalia, Tăbăcari</w:t>
      </w:r>
      <w:r>
        <w:rPr>
          <w:rFonts w:eastAsia="Times New Roman" w:cs="Times New Roman"/>
        </w:rPr>
        <w:t>ei</w:t>
      </w:r>
      <w:r>
        <w:rPr>
          <w:rFonts w:eastAsia="Times New Roman" w:cs="Times New Roman"/>
          <w:color w:val="000000"/>
        </w:rPr>
        <w:t>, etc). De asemenea, apele uzate neepurate provenite de la gospodării din jurul lacurilor și deversate în lacuri constituie, precum și depozitarea deșeurilor în zone neamenajate din proximitatea lacurilor constituie surse de contaminare a acestora. </w:t>
      </w:r>
    </w:p>
    <w:p w14:paraId="158483DD" w14:textId="77777777" w:rsidR="00670FD4" w:rsidRDefault="00670FD4" w:rsidP="00670FD4">
      <w:pPr>
        <w:spacing w:before="0"/>
        <w:rPr>
          <w:rFonts w:eastAsia="Times New Roman" w:cs="Times New Roman"/>
          <w:u w:val="single"/>
        </w:rPr>
      </w:pPr>
      <w:r>
        <w:rPr>
          <w:rFonts w:eastAsia="Times New Roman" w:cs="Times New Roman"/>
          <w:color w:val="000000"/>
          <w:u w:val="single"/>
        </w:rPr>
        <w:t>Ape subterane</w:t>
      </w:r>
    </w:p>
    <w:p w14:paraId="17C36265" w14:textId="77777777" w:rsidR="00670FD4" w:rsidRDefault="00670FD4" w:rsidP="00670FD4">
      <w:pPr>
        <w:spacing w:before="0"/>
        <w:ind w:firstLine="567"/>
        <w:rPr>
          <w:rFonts w:eastAsia="Times New Roman" w:cs="Times New Roman"/>
        </w:rPr>
      </w:pPr>
      <w:r>
        <w:rPr>
          <w:rFonts w:eastAsia="Times New Roman" w:cs="Times New Roman"/>
          <w:color w:val="000000"/>
          <w:highlight w:val="white"/>
        </w:rPr>
        <w:t>Un impact calitativ semnificativ asupra apelor subterane îl pot avea următoarele tipuri de poluări determinate de:</w:t>
      </w:r>
    </w:p>
    <w:p w14:paraId="3DA27D81" w14:textId="77777777" w:rsidR="00670FD4" w:rsidRDefault="00670FD4" w:rsidP="00670FD4">
      <w:pPr>
        <w:spacing w:before="0"/>
        <w:rPr>
          <w:rFonts w:eastAsia="Times New Roman" w:cs="Times New Roman"/>
        </w:rPr>
      </w:pPr>
      <w:r>
        <w:rPr>
          <w:rFonts w:eastAsia="Times New Roman" w:cs="Times New Roman"/>
          <w:color w:val="000000"/>
          <w:highlight w:val="white"/>
        </w:rPr>
        <w:lastRenderedPageBreak/>
        <w:t>- poluarea difuză determinată de activităţile agricole (ferme agrozootehnice care nu au sisteme corespunzătoare de stocare a dejecţiilor, depozite neconforme de fertilizanţi, etc.);</w:t>
      </w:r>
    </w:p>
    <w:p w14:paraId="1DB59C46" w14:textId="77777777" w:rsidR="00670FD4" w:rsidRDefault="00670FD4" w:rsidP="00670FD4">
      <w:pPr>
        <w:spacing w:before="0"/>
        <w:rPr>
          <w:rFonts w:eastAsia="Times New Roman" w:cs="Times New Roman"/>
        </w:rPr>
      </w:pPr>
      <w:r>
        <w:rPr>
          <w:rFonts w:eastAsia="Times New Roman" w:cs="Times New Roman"/>
          <w:color w:val="000000"/>
          <w:highlight w:val="white"/>
        </w:rPr>
        <w:t>- poluarea difuză și/sau punctiformă din utilizarea necorespunzătoare a îngrășămintelor și pesticidelor;</w:t>
      </w:r>
    </w:p>
    <w:p w14:paraId="5B38FE2C" w14:textId="77777777" w:rsidR="00670FD4" w:rsidRDefault="00670FD4" w:rsidP="00670FD4">
      <w:pPr>
        <w:spacing w:before="0"/>
        <w:rPr>
          <w:rFonts w:eastAsia="Times New Roman" w:cs="Times New Roman"/>
          <w:color w:val="000000"/>
          <w:highlight w:val="white"/>
        </w:rPr>
      </w:pPr>
      <w:r>
        <w:rPr>
          <w:rFonts w:eastAsia="Times New Roman" w:cs="Times New Roman"/>
          <w:color w:val="000000"/>
          <w:highlight w:val="white"/>
        </w:rPr>
        <w:t>- poluare difuză de la aglomerări umane fără sisteme de colectare şi staţii de epurare a apelor uzate;</w:t>
      </w:r>
    </w:p>
    <w:p w14:paraId="347BC889" w14:textId="77777777" w:rsidR="00670FD4" w:rsidRDefault="00670FD4" w:rsidP="00670FD4">
      <w:pPr>
        <w:spacing w:before="0"/>
        <w:rPr>
          <w:rFonts w:eastAsia="Times New Roman" w:cs="Times New Roman"/>
        </w:rPr>
      </w:pPr>
      <w:r>
        <w:rPr>
          <w:rFonts w:eastAsia="Times New Roman" w:cs="Times New Roman"/>
          <w:color w:val="000000"/>
          <w:highlight w:val="white"/>
        </w:rPr>
        <w:t>- poluare cu hidrocarburi din conductele îngropate, uzate fizic sau distruse intenționate</w:t>
      </w:r>
    </w:p>
    <w:p w14:paraId="0BC8EE7D" w14:textId="77777777" w:rsidR="00670FD4" w:rsidRDefault="00670FD4" w:rsidP="00670FD4">
      <w:pPr>
        <w:spacing w:before="0"/>
        <w:rPr>
          <w:rFonts w:eastAsia="Times New Roman" w:cs="Times New Roman"/>
          <w:color w:val="000000"/>
          <w:highlight w:val="white"/>
        </w:rPr>
      </w:pPr>
      <w:r>
        <w:rPr>
          <w:rFonts w:eastAsia="Times New Roman" w:cs="Times New Roman"/>
          <w:color w:val="000000"/>
          <w:highlight w:val="white"/>
        </w:rPr>
        <w:t>- alte activităţi antropice potenţial poluatoare.</w:t>
      </w:r>
    </w:p>
    <w:p w14:paraId="3671E629" w14:textId="77777777" w:rsidR="00670FD4" w:rsidRDefault="00670FD4" w:rsidP="00670FD4">
      <w:pPr>
        <w:spacing w:before="0"/>
        <w:rPr>
          <w:rFonts w:eastAsia="Times New Roman" w:cs="Times New Roman"/>
        </w:rPr>
      </w:pPr>
      <w:r>
        <w:rPr>
          <w:rFonts w:eastAsia="Times New Roman" w:cs="Times New Roman"/>
        </w:rPr>
        <w:t>Având în vedere că cea mai mare parte a suprafeţelor corpurilor de apă subterană este acoperită de terenuri agricole, principala problemă referitoare la calitatea acestor ape este legată de utilizarea necorespunzătoare a îngrășămintelor și pesticidelor (folosirea în exces, depozitarea defectuoasă, neconformă), precum și lipsa unor sisteme corespunzătoare de colectare și stocare a dejecţiilor în cazul unor ferme zootehnice constituie amenințări semnificative pentru calitatea apelor subterane. La acestea se adaugă și altele, de natură antropică, depozite ilegale de deșeuri, aglomerări umane fără sisteme de colectare şi staţii de epurare a apelor uzate, ale căror efect pot fi amplificate de factori naturali, precum inundațiile, viiturile.</w:t>
      </w:r>
    </w:p>
    <w:p w14:paraId="4A9787F0" w14:textId="77777777" w:rsidR="00670FD4" w:rsidRDefault="00670FD4" w:rsidP="00670FD4">
      <w:pPr>
        <w:spacing w:before="0"/>
        <w:ind w:firstLine="567"/>
        <w:rPr>
          <w:rFonts w:eastAsia="Times New Roman" w:cs="Times New Roman"/>
        </w:rPr>
      </w:pPr>
      <w:r>
        <w:rPr>
          <w:rFonts w:eastAsia="Times New Roman" w:cs="Times New Roman"/>
          <w:color w:val="000000"/>
          <w:highlight w:val="white"/>
        </w:rPr>
        <w:t>Ținând cont cǎ reîncărcarea acviferelor se realizează prin infiltrarea apelor de suprafaţă şi meteorice, este nevoie, pentru limitarea poluării apelor subterane, de îmbunătățirea managementul activităților agricole și zootehnice, creșterea gradului de colectare și epurare a apelor uzate și meteorice și întărirea controlului și aplicarea strictă a legii privind depozitarea deșeurilor. De asemenea, trebuie avut în vedere faptul că dinamica apelor subterane este mult mai lentă decât cea a apelor de suprafață, astfel încât efectul oricăror măsuri se face resimțit după o perioadă mai lungă de timp.</w:t>
      </w:r>
    </w:p>
    <w:p w14:paraId="3246E23F" w14:textId="77777777" w:rsidR="00670FD4" w:rsidRDefault="00670FD4" w:rsidP="00670FD4">
      <w:pPr>
        <w:pStyle w:val="Heading5"/>
        <w:spacing w:before="0" w:after="120"/>
        <w:rPr>
          <w:b w:val="0"/>
          <w:i w:val="0"/>
        </w:rPr>
      </w:pPr>
      <w:r>
        <w:rPr>
          <w:b w:val="0"/>
          <w:i w:val="0"/>
          <w:highlight w:val="white"/>
        </w:rPr>
        <w:t>Soluri (poluarea solului)</w:t>
      </w:r>
    </w:p>
    <w:p w14:paraId="64625F7B" w14:textId="77777777" w:rsidR="00670FD4" w:rsidRDefault="00670FD4" w:rsidP="00670FD4">
      <w:pPr>
        <w:spacing w:before="0"/>
        <w:ind w:firstLine="567"/>
        <w:rPr>
          <w:rFonts w:eastAsia="Times New Roman" w:cs="Times New Roman"/>
        </w:rPr>
      </w:pPr>
      <w:r>
        <w:rPr>
          <w:rFonts w:eastAsia="Times New Roman" w:cs="Times New Roman"/>
          <w:color w:val="000000"/>
        </w:rPr>
        <w:t>Exceptând o serie de contaminanți care apar în mod natural în sol ca urmare a proceselor geologice și pedologice (metale grele, radionuclizi, azbest, etc.) impactul asupra solurilor din zona costieră este accentuat de multitudinea de activități desfășurate în acest areal, de la agricultură, care se desfășoară pe o suprafață considerabilă în majoritatea UAT-urilor din zona costieră, trecând prin dezvoltare urbanistică, turism și până la activități industriale.</w:t>
      </w:r>
    </w:p>
    <w:p w14:paraId="2CF5CE4C" w14:textId="77777777" w:rsidR="00670FD4" w:rsidRDefault="00670FD4" w:rsidP="00670FD4">
      <w:pPr>
        <w:spacing w:before="0"/>
        <w:ind w:firstLine="567"/>
        <w:rPr>
          <w:rFonts w:eastAsia="Times New Roman" w:cs="Times New Roman"/>
        </w:rPr>
      </w:pPr>
      <w:r>
        <w:rPr>
          <w:rFonts w:eastAsia="Times New Roman" w:cs="Times New Roman"/>
          <w:color w:val="000000"/>
        </w:rPr>
        <w:t>Terenurile agricole pot fi contaminate de poluanți caracteristici acestei activități, respectiv pesticide, îngrășăminte minerale și naturale, utilizarea apelor reziduale pentru irigații, reziduuri de materiale plastice de la activități agricole și deșeuri de la comunitățile din zona rurală. Exceptând utilizarea apelor reziduale pentru irigații, activitate care nu se desfășoară în zona evaluată, toate celelalte posibilități de contaminare pot afecta într-o oarecare măsură solurile din zona de interes. Poluarea este accentuată în cazul unui management defectuos atât în ceea ce privește utilizarea (excesivă) a pesticidelor, îngrășămintelor naturale sau minerale, etc., un management inadecvat al deșeurilor (depozitarea ilegală sau necorespunzătoare, timpul lung de eliminare, etc.).</w:t>
      </w:r>
    </w:p>
    <w:p w14:paraId="6CF80090" w14:textId="77777777" w:rsidR="00670FD4" w:rsidRDefault="00670FD4" w:rsidP="00670FD4">
      <w:pPr>
        <w:spacing w:before="0"/>
        <w:ind w:firstLine="567"/>
        <w:rPr>
          <w:rFonts w:eastAsia="Times New Roman" w:cs="Times New Roman"/>
          <w:color w:val="000000"/>
          <w:highlight w:val="white"/>
        </w:rPr>
      </w:pPr>
      <w:r>
        <w:rPr>
          <w:rFonts w:eastAsia="Times New Roman" w:cs="Times New Roman"/>
          <w:color w:val="000000"/>
          <w:highlight w:val="white"/>
        </w:rPr>
        <w:lastRenderedPageBreak/>
        <w:t xml:space="preserve">Alți potențiali contaminanți pentru sol provin din zonele urbane, sursele putând fi de natură domestică (multe din produsele utilizate în gospodarie conțin elemente chimice ce pot sa polueze solurile, dacă nu sunt eliminate corespunzător), din activități agricole/horticole urbane </w:t>
      </w:r>
      <w:sdt>
        <w:sdtPr>
          <w:tag w:val="goog_rdk_46"/>
          <w:id w:val="1308825797"/>
        </w:sdtPr>
        <w:sdtContent>
          <w:r>
            <w:rPr>
              <w:rFonts w:eastAsia="Times New Roman" w:cs="Times New Roman"/>
              <w:color w:val="000000"/>
              <w:highlight w:val="white"/>
            </w:rPr>
            <w:t>sau</w:t>
          </w:r>
        </w:sdtContent>
      </w:sdt>
      <w:r>
        <w:rPr>
          <w:rFonts w:eastAsia="Times New Roman" w:cs="Times New Roman"/>
          <w:color w:val="000000"/>
          <w:highlight w:val="white"/>
        </w:rPr>
        <w:t xml:space="preserve"> periurbane (cu substanțele potențial contaminate amintite anterior), utilizarea de pesticide în zona urbană (ex. pentru gestionarea spațiilor verzi), scurgeri accidentale de substanțe toxice, deșeuri municipale, deșeuri medicale, deșeuri de la echipamente electronice. Toți acești potențiali contaminanti sunt prezenți cu prisosință în zonele urbane din zona costieră și gestionarea defectuoasă, în special a deșeurilor de orice natură, pune o presiune și mai mare asupra solurilor. De asemenea, sunt necesare campanii permanente de creștere a conștientizării în rândul populației cu privire la importanța reducerii poluării solului din surse domestice. </w:t>
      </w:r>
    </w:p>
    <w:p w14:paraId="013A950B" w14:textId="77777777" w:rsidR="00670FD4" w:rsidRDefault="00670FD4" w:rsidP="00670FD4">
      <w:pPr>
        <w:spacing w:before="0"/>
        <w:ind w:firstLine="567"/>
        <w:rPr>
          <w:rFonts w:eastAsia="Times New Roman" w:cs="Times New Roman"/>
          <w:color w:val="000000"/>
          <w:highlight w:val="white"/>
        </w:rPr>
      </w:pPr>
      <w:r>
        <w:rPr>
          <w:rFonts w:eastAsia="Times New Roman" w:cs="Times New Roman"/>
          <w:color w:val="000000"/>
          <w:highlight w:val="white"/>
        </w:rPr>
        <w:t>Activitățile industriale și de transporturi reprezintă o altă sursă importantă de poluare a solurilor, activități ce se manifestă cu destul de multă intensitate și în zona costieră. Spre exemplu activitățile desfășurate în Combinatul Petrochimic Midia Năvodari, în porturile și șantierele navale de la Marea Neagră, precum și activități de extracție a calcarului industrial pot avea au impact foarte ridicat asupra solurilor. Este nevoie de respectarea strictă a reglementărilor privind emisiile de poluanți în atmosferă, de managementul deșeurilor industriale pentru a limita poluarea solului și efectele generate de aceasta.</w:t>
      </w:r>
    </w:p>
    <w:p w14:paraId="3F747CDF" w14:textId="77777777" w:rsidR="00670FD4" w:rsidRDefault="00670FD4" w:rsidP="00670FD4">
      <w:pPr>
        <w:spacing w:before="0"/>
        <w:rPr>
          <w:rFonts w:eastAsia="Times New Roman" w:cs="Times New Roman"/>
          <w:b/>
          <w:i/>
        </w:rPr>
      </w:pPr>
      <w:r>
        <w:rPr>
          <w:rFonts w:eastAsia="Times New Roman" w:cs="Times New Roman"/>
          <w:b/>
          <w:i/>
        </w:rPr>
        <w:t>Introducerea de materie organică și substanțe cu P și N în apă și soluri </w:t>
      </w:r>
    </w:p>
    <w:p w14:paraId="72E7417D" w14:textId="77777777" w:rsidR="00670FD4" w:rsidRDefault="00670FD4" w:rsidP="00670FD4">
      <w:pPr>
        <w:shd w:val="clear" w:color="auto" w:fill="FFFFFF"/>
        <w:spacing w:before="0"/>
        <w:ind w:firstLine="567"/>
        <w:rPr>
          <w:rFonts w:eastAsia="Times New Roman" w:cs="Times New Roman"/>
        </w:rPr>
      </w:pPr>
      <w:r>
        <w:rPr>
          <w:rFonts w:eastAsia="Times New Roman" w:cs="Times New Roman"/>
          <w:color w:val="000000"/>
        </w:rPr>
        <w:t>Introducerea de nutrienți și materie organică în mediul acvatic (atât dulcicol, cât și marin) conduce la fenomenul de eutrofizare, cu consecințe negative, uneori dramatice, asupra ecosistemelor acvatice, respectiv înfloriri algale, uneori toxice și dezoxigenare, în unele cazuri până la anoxie.</w:t>
      </w:r>
    </w:p>
    <w:p w14:paraId="2CC852D8" w14:textId="77777777" w:rsidR="00670FD4" w:rsidRDefault="00670FD4" w:rsidP="00670FD4">
      <w:pPr>
        <w:pStyle w:val="Heading5"/>
        <w:spacing w:before="0" w:after="120"/>
        <w:rPr>
          <w:b w:val="0"/>
          <w:u w:val="single"/>
        </w:rPr>
      </w:pPr>
      <w:r>
        <w:rPr>
          <w:b w:val="0"/>
          <w:u w:val="single"/>
        </w:rPr>
        <w:t>Ape costiere</w:t>
      </w:r>
    </w:p>
    <w:p w14:paraId="1C1EFAD1" w14:textId="77777777" w:rsidR="00670FD4" w:rsidRDefault="00670FD4" w:rsidP="00670FD4">
      <w:pPr>
        <w:spacing w:before="0"/>
        <w:ind w:firstLine="567"/>
        <w:rPr>
          <w:rFonts w:eastAsia="Times New Roman" w:cs="Times New Roman"/>
        </w:rPr>
      </w:pPr>
      <w:r>
        <w:rPr>
          <w:rFonts w:eastAsia="Times New Roman" w:cs="Times New Roman"/>
          <w:color w:val="000000"/>
        </w:rPr>
        <w:t>Principala sursă de poluare a mediului marin cu materie organică și compuși cu N și P o constituie fluviul Dunărea. Datele furnizate de către ANAR în 2021 referitoare la cantitățile de nutrienți în apele Dunării, măsurat în stația Reni, raportate la un descărcare de apă anuală de 191,23 km</w:t>
      </w:r>
      <w:r>
        <w:rPr>
          <w:rFonts w:eastAsia="Times New Roman" w:cs="Times New Roman"/>
          <w:color w:val="000000"/>
          <w:vertAlign w:val="superscript"/>
        </w:rPr>
        <w:t>3</w:t>
      </w:r>
      <w:r>
        <w:rPr>
          <w:rFonts w:eastAsia="Times New Roman" w:cs="Times New Roman"/>
          <w:color w:val="000000"/>
        </w:rPr>
        <w:t xml:space="preserve"> arată un aport de 284.173 tone azot total și 18.167 tone fosfor total, semnificativ mai ridicat comparativ cu 2019, când aportul de azot total și fosfor total al Dunării au fost estimate la 265.824 tone N, respectiv 15.668 tone P (raportat la o descărcare de apă anuală de 176,04 Km</w:t>
      </w:r>
      <w:r>
        <w:rPr>
          <w:rFonts w:eastAsia="Times New Roman" w:cs="Times New Roman"/>
          <w:color w:val="000000"/>
          <w:vertAlign w:val="superscript"/>
        </w:rPr>
        <w:t>3</w:t>
      </w:r>
      <w:r>
        <w:rPr>
          <w:rFonts w:eastAsia="Times New Roman" w:cs="Times New Roman"/>
          <w:color w:val="000000"/>
        </w:rPr>
        <w:t>). Aceasta se datorează debitului mai ridicat al Dunării în 2021 față de 2019 (media zilnică a debitului la Isaccea în 2021 – 6.064 m</w:t>
      </w:r>
      <w:r>
        <w:rPr>
          <w:rFonts w:eastAsia="Times New Roman" w:cs="Times New Roman"/>
          <w:color w:val="000000"/>
          <w:vertAlign w:val="superscript"/>
        </w:rPr>
        <w:t>3</w:t>
      </w:r>
      <w:r>
        <w:rPr>
          <w:rFonts w:eastAsia="Times New Roman" w:cs="Times New Roman"/>
          <w:color w:val="000000"/>
        </w:rPr>
        <w:t>/s, față de 5.582 m</w:t>
      </w:r>
      <w:r>
        <w:rPr>
          <w:rFonts w:eastAsia="Times New Roman" w:cs="Times New Roman"/>
          <w:color w:val="000000"/>
          <w:vertAlign w:val="superscript"/>
        </w:rPr>
        <w:t>3</w:t>
      </w:r>
      <w:r>
        <w:rPr>
          <w:rFonts w:eastAsia="Times New Roman" w:cs="Times New Roman"/>
          <w:color w:val="000000"/>
        </w:rPr>
        <w:t>/s în 2019, conform INHGA), concentrațiile medii anuale ale azotului și fosforului total măsurate la Renni fiind foarte apropiate (N tot - 1,49 mg/l și P tot - 0,095 mg/l în 2021, comparativ cu N tot - 1,51 mg/l și P tot - 0,089 mg/l în 2019), conform ANAR. </w:t>
      </w:r>
    </w:p>
    <w:p w14:paraId="6B88EF4D" w14:textId="77777777" w:rsidR="00670FD4" w:rsidRDefault="00670FD4" w:rsidP="00670FD4">
      <w:pPr>
        <w:spacing w:before="0"/>
        <w:ind w:firstLine="567"/>
        <w:rPr>
          <w:rFonts w:eastAsia="Times New Roman" w:cs="Times New Roman"/>
        </w:rPr>
      </w:pPr>
      <w:r>
        <w:rPr>
          <w:rFonts w:eastAsia="Times New Roman" w:cs="Times New Roman"/>
          <w:color w:val="000000"/>
        </w:rPr>
        <w:t xml:space="preserve">Alte surse de poluare difuză a apelor costiere sunt, în special, depunerile atmosferice de azot și, într-o măsură mai mică apele uzate din unități agricole unde nu există sisteme de canalizare (Boicenco și colab., 2019). În lipsa unei infrastructuri de monitorizare, estimarea acestor presiuni este dificil de realizat și se bazează pe modele matematice (exemplu - MONERIS, ANAR). Media anuală a depunerilor de azot anorganic prin precipitații este estimată, la nivelul Mării Negre, la 3-39 % din aportul total de azot anorganic al fluviilor (Varenik și colab., 2015), deci un aport semnificativ. Acest aport atmosferic variază atât spațial, </w:t>
      </w:r>
      <w:r>
        <w:rPr>
          <w:rFonts w:eastAsia="Times New Roman" w:cs="Times New Roman"/>
          <w:color w:val="000000"/>
        </w:rPr>
        <w:lastRenderedPageBreak/>
        <w:t>cât și temporal, importanța relativă a inputului atmosferic crescând de la coastă către larg și din iarnă către vară (Varenik și colab., 2015). </w:t>
      </w:r>
    </w:p>
    <w:p w14:paraId="7F5152D5" w14:textId="77777777" w:rsidR="00670FD4" w:rsidRDefault="00670FD4" w:rsidP="00670FD4">
      <w:pPr>
        <w:spacing w:before="0"/>
        <w:ind w:firstLine="567"/>
        <w:rPr>
          <w:rFonts w:eastAsia="Times New Roman" w:cs="Times New Roman"/>
        </w:rPr>
      </w:pPr>
      <w:r>
        <w:rPr>
          <w:rFonts w:eastAsia="Times New Roman" w:cs="Times New Roman"/>
          <w:color w:val="000000"/>
        </w:rPr>
        <w:t xml:space="preserve">Referitor la sursele punctiforme, cele mai importante sunt stațiile de epurare care deversează apă epurată în mare. Emisiile de compuși cu azot și fosfor din stațiile de epurare Petromidia, </w:t>
      </w:r>
      <w:sdt>
        <w:sdtPr>
          <w:tag w:val="goog_rdk_47"/>
          <w:id w:val="-1907140748"/>
        </w:sdtPr>
        <w:sdtContent>
          <w:r>
            <w:rPr>
              <w:rFonts w:eastAsia="Times New Roman" w:cs="Times New Roman"/>
              <w:color w:val="000000"/>
            </w:rPr>
            <w:t>Constanța</w:t>
          </w:r>
        </w:sdtContent>
      </w:sdt>
      <w:r>
        <w:rPr>
          <w:rFonts w:eastAsia="Times New Roman" w:cs="Times New Roman"/>
          <w:color w:val="000000"/>
        </w:rPr>
        <w:t xml:space="preserve"> Nord, Constanța Sud, Eforie Sud și Mangalia sunt redate în Tabelele 2.5.2.8 – 2.5.2.12.</w:t>
      </w:r>
    </w:p>
    <w:p w14:paraId="6DE3AAF0" w14:textId="77777777" w:rsidR="00670FD4" w:rsidRDefault="00670FD4" w:rsidP="00670FD4">
      <w:bookmarkStart w:id="130" w:name="_heading=h.2zbgiuw" w:colFirst="0" w:colLast="0"/>
      <w:bookmarkEnd w:id="130"/>
    </w:p>
    <w:p w14:paraId="5221B93D" w14:textId="77777777" w:rsidR="00670FD4" w:rsidRDefault="00670FD4" w:rsidP="00670FD4">
      <w:pPr>
        <w:spacing w:after="0"/>
        <w:jc w:val="center"/>
        <w:rPr>
          <w:rFonts w:eastAsia="Times New Roman" w:cs="Times New Roman"/>
        </w:rPr>
      </w:pPr>
      <w:r>
        <w:rPr>
          <w:rFonts w:eastAsia="Times New Roman" w:cs="Times New Roman"/>
          <w:b/>
          <w:color w:val="000000"/>
        </w:rPr>
        <w:t>Tabel 2.5.2.8 Emisii de compuși cu N și P (tone/an) din stația de epurare Petromidia (</w:t>
      </w:r>
      <w:r>
        <w:rPr>
          <w:rFonts w:eastAsia="Times New Roman" w:cs="Times New Roman"/>
          <w:b/>
          <w:i/>
          <w:color w:val="000000"/>
        </w:rPr>
        <w:t>sursa: Administrația Națională Apele Române, 2023</w:t>
      </w:r>
      <w:r>
        <w:rPr>
          <w:rFonts w:eastAsia="Times New Roman" w:cs="Times New Roman"/>
          <w:b/>
          <w:color w:val="000000"/>
        </w:rPr>
        <w:t>)</w:t>
      </w:r>
    </w:p>
    <w:tbl>
      <w:tblPr>
        <w:tblW w:w="6039" w:type="dxa"/>
        <w:jc w:val="center"/>
        <w:tblLayout w:type="fixed"/>
        <w:tblLook w:val="0400" w:firstRow="0" w:lastRow="0" w:firstColumn="0" w:lastColumn="0" w:noHBand="0" w:noVBand="1"/>
      </w:tblPr>
      <w:tblGrid>
        <w:gridCol w:w="881"/>
        <w:gridCol w:w="1674"/>
        <w:gridCol w:w="1755"/>
        <w:gridCol w:w="1493"/>
        <w:gridCol w:w="236"/>
      </w:tblGrid>
      <w:tr w:rsidR="00670FD4" w14:paraId="06865825" w14:textId="77777777" w:rsidTr="001925BA">
        <w:trPr>
          <w:gridAfter w:val="1"/>
          <w:wAfter w:w="36" w:type="dxa"/>
          <w:trHeight w:val="557"/>
          <w:jc w:val="center"/>
        </w:trPr>
        <w:tc>
          <w:tcPr>
            <w:tcW w:w="908"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CC4355" w14:textId="77777777" w:rsidR="00670FD4" w:rsidRDefault="00670FD4" w:rsidP="001925BA">
            <w:pPr>
              <w:spacing w:before="0" w:after="0" w:line="240" w:lineRule="auto"/>
              <w:ind w:firstLine="32"/>
              <w:rPr>
                <w:rFonts w:eastAsia="Times New Roman" w:cs="Times New Roman"/>
                <w:sz w:val="20"/>
                <w:szCs w:val="20"/>
              </w:rPr>
            </w:pPr>
            <w:r>
              <w:rPr>
                <w:rFonts w:eastAsia="Times New Roman" w:cs="Times New Roman"/>
                <w:color w:val="000000"/>
                <w:sz w:val="20"/>
                <w:szCs w:val="20"/>
              </w:rPr>
              <w:t>An</w:t>
            </w:r>
          </w:p>
        </w:tc>
        <w:tc>
          <w:tcPr>
            <w:tcW w:w="173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3FFC7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Azot total, tone/an </w:t>
            </w:r>
          </w:p>
        </w:tc>
        <w:tc>
          <w:tcPr>
            <w:tcW w:w="181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C5C40A" w14:textId="77777777" w:rsidR="00670FD4" w:rsidRDefault="00670FD4" w:rsidP="001925BA">
            <w:pPr>
              <w:spacing w:before="0" w:after="0" w:line="240" w:lineRule="auto"/>
              <w:ind w:firstLine="29"/>
              <w:rPr>
                <w:rFonts w:eastAsia="Times New Roman" w:cs="Times New Roman"/>
                <w:sz w:val="20"/>
                <w:szCs w:val="20"/>
              </w:rPr>
            </w:pPr>
            <w:r>
              <w:rPr>
                <w:rFonts w:eastAsia="Times New Roman" w:cs="Times New Roman"/>
                <w:color w:val="000000"/>
                <w:sz w:val="20"/>
                <w:szCs w:val="20"/>
              </w:rPr>
              <w:t>Fosfor total, tone/an</w:t>
            </w:r>
          </w:p>
        </w:tc>
        <w:tc>
          <w:tcPr>
            <w:tcW w:w="1545"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FE86CD"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Amoniu, tone/an</w:t>
            </w:r>
          </w:p>
        </w:tc>
      </w:tr>
      <w:tr w:rsidR="00670FD4" w14:paraId="38ED4415" w14:textId="77777777" w:rsidTr="001925BA">
        <w:trPr>
          <w:trHeight w:val="33"/>
          <w:jc w:val="center"/>
        </w:trPr>
        <w:tc>
          <w:tcPr>
            <w:tcW w:w="908"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F025AE" w14:textId="77777777" w:rsidR="00670FD4" w:rsidRDefault="00670FD4" w:rsidP="001925BA">
            <w:pPr>
              <w:widowControl w:val="0"/>
              <w:pBdr>
                <w:top w:val="nil"/>
                <w:left w:val="nil"/>
                <w:bottom w:val="nil"/>
                <w:right w:val="nil"/>
                <w:between w:val="nil"/>
              </w:pBdr>
              <w:spacing w:before="0" w:after="0"/>
              <w:ind w:firstLine="32"/>
              <w:rPr>
                <w:rFonts w:eastAsia="Times New Roman" w:cs="Times New Roman"/>
                <w:sz w:val="20"/>
                <w:szCs w:val="20"/>
              </w:rPr>
            </w:pPr>
          </w:p>
        </w:tc>
        <w:tc>
          <w:tcPr>
            <w:tcW w:w="173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E284CA" w14:textId="77777777" w:rsidR="00670FD4" w:rsidRDefault="00670FD4" w:rsidP="001925BA">
            <w:pPr>
              <w:widowControl w:val="0"/>
              <w:pBdr>
                <w:top w:val="nil"/>
                <w:left w:val="nil"/>
                <w:bottom w:val="nil"/>
                <w:right w:val="nil"/>
                <w:between w:val="nil"/>
              </w:pBdr>
              <w:spacing w:before="0" w:after="0"/>
              <w:ind w:firstLine="0"/>
              <w:rPr>
                <w:rFonts w:eastAsia="Times New Roman" w:cs="Times New Roman"/>
                <w:sz w:val="20"/>
                <w:szCs w:val="20"/>
              </w:rPr>
            </w:pPr>
          </w:p>
        </w:tc>
        <w:tc>
          <w:tcPr>
            <w:tcW w:w="181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0D0789" w14:textId="77777777" w:rsidR="00670FD4" w:rsidRDefault="00670FD4" w:rsidP="001925BA">
            <w:pPr>
              <w:widowControl w:val="0"/>
              <w:pBdr>
                <w:top w:val="nil"/>
                <w:left w:val="nil"/>
                <w:bottom w:val="nil"/>
                <w:right w:val="nil"/>
                <w:between w:val="nil"/>
              </w:pBdr>
              <w:spacing w:before="0" w:after="0"/>
              <w:ind w:firstLine="29"/>
              <w:rPr>
                <w:rFonts w:eastAsia="Times New Roman" w:cs="Times New Roman"/>
                <w:sz w:val="20"/>
                <w:szCs w:val="20"/>
              </w:rPr>
            </w:pPr>
          </w:p>
        </w:tc>
        <w:tc>
          <w:tcPr>
            <w:tcW w:w="154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E6D78D" w14:textId="77777777" w:rsidR="00670FD4" w:rsidRDefault="00670FD4" w:rsidP="001925BA">
            <w:pPr>
              <w:widowControl w:val="0"/>
              <w:pBdr>
                <w:top w:val="nil"/>
                <w:left w:val="nil"/>
                <w:bottom w:val="nil"/>
                <w:right w:val="nil"/>
                <w:between w:val="nil"/>
              </w:pBdr>
              <w:spacing w:before="0" w:after="0"/>
              <w:ind w:firstLine="0"/>
              <w:rPr>
                <w:rFonts w:eastAsia="Times New Roman" w:cs="Times New Roman"/>
                <w:sz w:val="20"/>
                <w:szCs w:val="20"/>
              </w:rPr>
            </w:pPr>
          </w:p>
        </w:tc>
        <w:tc>
          <w:tcPr>
            <w:tcW w:w="36" w:type="dxa"/>
            <w:vAlign w:val="center"/>
          </w:tcPr>
          <w:p w14:paraId="7AE832AE" w14:textId="77777777" w:rsidR="00670FD4" w:rsidRDefault="00670FD4" w:rsidP="001925BA">
            <w:pPr>
              <w:spacing w:before="0" w:after="0"/>
            </w:pPr>
          </w:p>
        </w:tc>
      </w:tr>
      <w:tr w:rsidR="00670FD4" w14:paraId="0F423E9E" w14:textId="77777777" w:rsidTr="001925BA">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59B1AC" w14:textId="77777777" w:rsidR="00670FD4" w:rsidRDefault="00670FD4" w:rsidP="001925BA">
            <w:pPr>
              <w:spacing w:before="0" w:after="0" w:line="240" w:lineRule="auto"/>
              <w:ind w:firstLine="32"/>
              <w:rPr>
                <w:rFonts w:eastAsia="Times New Roman" w:cs="Times New Roman"/>
                <w:sz w:val="20"/>
                <w:szCs w:val="20"/>
              </w:rPr>
            </w:pPr>
            <w:r>
              <w:rPr>
                <w:rFonts w:eastAsia="Times New Roman" w:cs="Times New Roman"/>
                <w:color w:val="000000"/>
                <w:sz w:val="20"/>
                <w:szCs w:val="20"/>
              </w:rPr>
              <w:t>2015</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01D75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0,012</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B020B9" w14:textId="77777777" w:rsidR="00670FD4" w:rsidRDefault="00670FD4" w:rsidP="001925BA">
            <w:pPr>
              <w:spacing w:before="0" w:after="0" w:line="240" w:lineRule="auto"/>
              <w:ind w:firstLine="29"/>
              <w:rPr>
                <w:rFonts w:eastAsia="Times New Roman" w:cs="Times New Roman"/>
                <w:sz w:val="20"/>
                <w:szCs w:val="20"/>
              </w:rPr>
            </w:pPr>
            <w:r>
              <w:rPr>
                <w:rFonts w:eastAsia="Times New Roman" w:cs="Times New Roman"/>
                <w:color w:val="000000"/>
                <w:sz w:val="20"/>
                <w:szCs w:val="20"/>
              </w:rPr>
              <w:t>0,0048</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E4038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0,0013</w:t>
            </w:r>
          </w:p>
        </w:tc>
        <w:tc>
          <w:tcPr>
            <w:tcW w:w="36" w:type="dxa"/>
            <w:vAlign w:val="center"/>
          </w:tcPr>
          <w:p w14:paraId="1F68B707" w14:textId="77777777" w:rsidR="00670FD4" w:rsidRDefault="00670FD4" w:rsidP="001925BA">
            <w:pPr>
              <w:spacing w:before="0" w:after="0"/>
              <w:rPr>
                <w:sz w:val="20"/>
                <w:szCs w:val="20"/>
              </w:rPr>
            </w:pPr>
          </w:p>
        </w:tc>
      </w:tr>
      <w:tr w:rsidR="00670FD4" w14:paraId="3608335A" w14:textId="77777777" w:rsidTr="001925BA">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68FA47" w14:textId="77777777" w:rsidR="00670FD4" w:rsidRDefault="00670FD4" w:rsidP="001925BA">
            <w:pPr>
              <w:spacing w:before="0" w:after="0" w:line="240" w:lineRule="auto"/>
              <w:ind w:firstLine="32"/>
              <w:rPr>
                <w:rFonts w:eastAsia="Times New Roman" w:cs="Times New Roman"/>
                <w:sz w:val="20"/>
                <w:szCs w:val="20"/>
              </w:rPr>
            </w:pPr>
            <w:r>
              <w:rPr>
                <w:rFonts w:eastAsia="Times New Roman" w:cs="Times New Roman"/>
                <w:color w:val="000000"/>
                <w:sz w:val="20"/>
                <w:szCs w:val="20"/>
              </w:rPr>
              <w:t>2016</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566F8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0,021</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025481" w14:textId="77777777" w:rsidR="00670FD4" w:rsidRDefault="00670FD4" w:rsidP="001925BA">
            <w:pPr>
              <w:spacing w:before="0" w:after="0" w:line="240" w:lineRule="auto"/>
              <w:ind w:firstLine="29"/>
              <w:rPr>
                <w:rFonts w:eastAsia="Times New Roman" w:cs="Times New Roman"/>
                <w:sz w:val="20"/>
                <w:szCs w:val="20"/>
              </w:rPr>
            </w:pPr>
            <w:r>
              <w:rPr>
                <w:rFonts w:eastAsia="Times New Roman" w:cs="Times New Roman"/>
                <w:color w:val="000000"/>
                <w:sz w:val="20"/>
                <w:szCs w:val="20"/>
              </w:rPr>
              <w:t>0,0037</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70C25D"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0,014</w:t>
            </w:r>
          </w:p>
        </w:tc>
        <w:tc>
          <w:tcPr>
            <w:tcW w:w="36" w:type="dxa"/>
            <w:vAlign w:val="center"/>
          </w:tcPr>
          <w:p w14:paraId="04DD3A0A" w14:textId="77777777" w:rsidR="00670FD4" w:rsidRDefault="00670FD4" w:rsidP="001925BA">
            <w:pPr>
              <w:spacing w:before="0" w:after="0"/>
              <w:rPr>
                <w:sz w:val="20"/>
                <w:szCs w:val="20"/>
              </w:rPr>
            </w:pPr>
          </w:p>
        </w:tc>
      </w:tr>
      <w:tr w:rsidR="00670FD4" w14:paraId="701EA35F" w14:textId="77777777" w:rsidTr="001925BA">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A6D37E" w14:textId="77777777" w:rsidR="00670FD4" w:rsidRDefault="00670FD4" w:rsidP="001925BA">
            <w:pPr>
              <w:spacing w:before="0" w:after="0" w:line="240" w:lineRule="auto"/>
              <w:ind w:firstLine="32"/>
              <w:rPr>
                <w:rFonts w:eastAsia="Times New Roman" w:cs="Times New Roman"/>
                <w:sz w:val="20"/>
                <w:szCs w:val="20"/>
              </w:rPr>
            </w:pPr>
            <w:r>
              <w:rPr>
                <w:rFonts w:eastAsia="Times New Roman" w:cs="Times New Roman"/>
                <w:color w:val="000000"/>
                <w:sz w:val="20"/>
                <w:szCs w:val="20"/>
              </w:rPr>
              <w:t>2017</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0C73C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0,020</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C23518" w14:textId="77777777" w:rsidR="00670FD4" w:rsidRDefault="00670FD4" w:rsidP="001925BA">
            <w:pPr>
              <w:spacing w:before="0" w:after="0" w:line="240" w:lineRule="auto"/>
              <w:ind w:firstLine="29"/>
              <w:rPr>
                <w:rFonts w:eastAsia="Times New Roman" w:cs="Times New Roman"/>
                <w:sz w:val="20"/>
                <w:szCs w:val="20"/>
              </w:rPr>
            </w:pPr>
            <w:r>
              <w:rPr>
                <w:rFonts w:eastAsia="Times New Roman" w:cs="Times New Roman"/>
                <w:color w:val="000000"/>
                <w:sz w:val="20"/>
                <w:szCs w:val="20"/>
              </w:rPr>
              <w:t>0,0048</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7B9C1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0,0065</w:t>
            </w:r>
          </w:p>
        </w:tc>
        <w:tc>
          <w:tcPr>
            <w:tcW w:w="36" w:type="dxa"/>
            <w:vAlign w:val="center"/>
          </w:tcPr>
          <w:p w14:paraId="04208F1B" w14:textId="77777777" w:rsidR="00670FD4" w:rsidRDefault="00670FD4" w:rsidP="001925BA">
            <w:pPr>
              <w:spacing w:before="0" w:after="0"/>
              <w:rPr>
                <w:sz w:val="20"/>
                <w:szCs w:val="20"/>
              </w:rPr>
            </w:pPr>
          </w:p>
        </w:tc>
      </w:tr>
      <w:tr w:rsidR="00670FD4" w14:paraId="351A3A02" w14:textId="77777777" w:rsidTr="001925BA">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6E65ED" w14:textId="77777777" w:rsidR="00670FD4" w:rsidRDefault="00670FD4" w:rsidP="001925BA">
            <w:pPr>
              <w:spacing w:before="0" w:after="0" w:line="240" w:lineRule="auto"/>
              <w:ind w:firstLine="32"/>
              <w:rPr>
                <w:rFonts w:eastAsia="Times New Roman" w:cs="Times New Roman"/>
                <w:sz w:val="20"/>
                <w:szCs w:val="20"/>
              </w:rPr>
            </w:pPr>
            <w:r>
              <w:rPr>
                <w:rFonts w:eastAsia="Times New Roman" w:cs="Times New Roman"/>
                <w:color w:val="000000"/>
                <w:sz w:val="20"/>
                <w:szCs w:val="20"/>
              </w:rPr>
              <w:t>2018</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491D0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0,017</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EB468C" w14:textId="77777777" w:rsidR="00670FD4" w:rsidRDefault="00670FD4" w:rsidP="001925BA">
            <w:pPr>
              <w:spacing w:before="0" w:after="0" w:line="240" w:lineRule="auto"/>
              <w:ind w:firstLine="29"/>
              <w:rPr>
                <w:rFonts w:eastAsia="Times New Roman" w:cs="Times New Roman"/>
                <w:sz w:val="20"/>
                <w:szCs w:val="20"/>
              </w:rPr>
            </w:pPr>
            <w:r>
              <w:rPr>
                <w:rFonts w:eastAsia="Times New Roman" w:cs="Times New Roman"/>
                <w:color w:val="000000"/>
                <w:sz w:val="20"/>
                <w:szCs w:val="20"/>
              </w:rPr>
              <w:t>0,0077</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FE3AC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0,0041</w:t>
            </w:r>
          </w:p>
        </w:tc>
        <w:tc>
          <w:tcPr>
            <w:tcW w:w="36" w:type="dxa"/>
            <w:vAlign w:val="center"/>
          </w:tcPr>
          <w:p w14:paraId="2720EC69" w14:textId="77777777" w:rsidR="00670FD4" w:rsidRDefault="00670FD4" w:rsidP="001925BA">
            <w:pPr>
              <w:spacing w:before="0" w:after="0"/>
              <w:rPr>
                <w:sz w:val="20"/>
                <w:szCs w:val="20"/>
              </w:rPr>
            </w:pPr>
          </w:p>
        </w:tc>
      </w:tr>
      <w:tr w:rsidR="00670FD4" w14:paraId="4BFD986E" w14:textId="77777777" w:rsidTr="001925BA">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302B9A" w14:textId="77777777" w:rsidR="00670FD4" w:rsidRDefault="00670FD4" w:rsidP="001925BA">
            <w:pPr>
              <w:spacing w:before="0" w:after="0" w:line="240" w:lineRule="auto"/>
              <w:ind w:firstLine="32"/>
              <w:rPr>
                <w:rFonts w:eastAsia="Times New Roman" w:cs="Times New Roman"/>
                <w:sz w:val="20"/>
                <w:szCs w:val="20"/>
              </w:rPr>
            </w:pPr>
            <w:r>
              <w:rPr>
                <w:rFonts w:eastAsia="Times New Roman" w:cs="Times New Roman"/>
                <w:color w:val="000000"/>
                <w:sz w:val="20"/>
                <w:szCs w:val="20"/>
              </w:rPr>
              <w:t>2019</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059AB9"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0,016</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0D74A3" w14:textId="77777777" w:rsidR="00670FD4" w:rsidRDefault="00670FD4" w:rsidP="001925BA">
            <w:pPr>
              <w:spacing w:before="0" w:after="0" w:line="240" w:lineRule="auto"/>
              <w:ind w:firstLine="29"/>
              <w:rPr>
                <w:rFonts w:eastAsia="Times New Roman" w:cs="Times New Roman"/>
                <w:sz w:val="20"/>
                <w:szCs w:val="20"/>
              </w:rPr>
            </w:pPr>
            <w:r>
              <w:rPr>
                <w:rFonts w:eastAsia="Times New Roman" w:cs="Times New Roman"/>
                <w:color w:val="000000"/>
                <w:sz w:val="20"/>
                <w:szCs w:val="20"/>
              </w:rPr>
              <w:t>0,0031</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406B5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0,0027</w:t>
            </w:r>
          </w:p>
        </w:tc>
        <w:tc>
          <w:tcPr>
            <w:tcW w:w="36" w:type="dxa"/>
            <w:vAlign w:val="center"/>
          </w:tcPr>
          <w:p w14:paraId="1063493E" w14:textId="77777777" w:rsidR="00670FD4" w:rsidRDefault="00670FD4" w:rsidP="001925BA">
            <w:pPr>
              <w:spacing w:before="0" w:after="0"/>
              <w:rPr>
                <w:sz w:val="20"/>
                <w:szCs w:val="20"/>
              </w:rPr>
            </w:pPr>
          </w:p>
        </w:tc>
      </w:tr>
      <w:tr w:rsidR="00670FD4" w14:paraId="22337F6C" w14:textId="77777777" w:rsidTr="001925BA">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CD83AF" w14:textId="77777777" w:rsidR="00670FD4" w:rsidRDefault="00670FD4" w:rsidP="001925BA">
            <w:pPr>
              <w:spacing w:before="0" w:after="0" w:line="240" w:lineRule="auto"/>
              <w:ind w:firstLine="32"/>
              <w:rPr>
                <w:rFonts w:eastAsia="Times New Roman" w:cs="Times New Roman"/>
                <w:sz w:val="20"/>
                <w:szCs w:val="20"/>
              </w:rPr>
            </w:pPr>
            <w:r>
              <w:rPr>
                <w:rFonts w:eastAsia="Times New Roman" w:cs="Times New Roman"/>
                <w:color w:val="000000"/>
                <w:sz w:val="20"/>
                <w:szCs w:val="20"/>
              </w:rPr>
              <w:t>2020</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41B49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0,024</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BA6498" w14:textId="77777777" w:rsidR="00670FD4" w:rsidRDefault="00670FD4" w:rsidP="001925BA">
            <w:pPr>
              <w:spacing w:before="0" w:after="0" w:line="240" w:lineRule="auto"/>
              <w:ind w:firstLine="29"/>
              <w:rPr>
                <w:rFonts w:eastAsia="Times New Roman" w:cs="Times New Roman"/>
                <w:sz w:val="20"/>
                <w:szCs w:val="20"/>
              </w:rPr>
            </w:pPr>
            <w:r>
              <w:rPr>
                <w:rFonts w:eastAsia="Times New Roman" w:cs="Times New Roman"/>
                <w:color w:val="000000"/>
                <w:sz w:val="20"/>
                <w:szCs w:val="20"/>
              </w:rPr>
              <w:t>0,0060</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B1DD3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0,0026</w:t>
            </w:r>
          </w:p>
        </w:tc>
        <w:tc>
          <w:tcPr>
            <w:tcW w:w="36" w:type="dxa"/>
            <w:vAlign w:val="center"/>
          </w:tcPr>
          <w:p w14:paraId="4F80FB3F" w14:textId="77777777" w:rsidR="00670FD4" w:rsidRDefault="00670FD4" w:rsidP="001925BA">
            <w:pPr>
              <w:spacing w:before="0" w:after="0"/>
              <w:rPr>
                <w:sz w:val="20"/>
                <w:szCs w:val="20"/>
              </w:rPr>
            </w:pPr>
          </w:p>
        </w:tc>
      </w:tr>
      <w:tr w:rsidR="00670FD4" w14:paraId="558C1726" w14:textId="77777777" w:rsidTr="001925BA">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AC1C6A" w14:textId="77777777" w:rsidR="00670FD4" w:rsidRDefault="00670FD4" w:rsidP="001925BA">
            <w:pPr>
              <w:spacing w:before="0" w:after="0" w:line="240" w:lineRule="auto"/>
              <w:ind w:firstLine="32"/>
              <w:rPr>
                <w:rFonts w:eastAsia="Times New Roman" w:cs="Times New Roman"/>
                <w:sz w:val="20"/>
                <w:szCs w:val="20"/>
              </w:rPr>
            </w:pPr>
            <w:r>
              <w:rPr>
                <w:rFonts w:eastAsia="Times New Roman" w:cs="Times New Roman"/>
                <w:color w:val="000000"/>
                <w:sz w:val="20"/>
                <w:szCs w:val="20"/>
              </w:rPr>
              <w:t>2021</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CAE19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0,030</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3DBBA5" w14:textId="77777777" w:rsidR="00670FD4" w:rsidRDefault="00670FD4" w:rsidP="001925BA">
            <w:pPr>
              <w:spacing w:before="0" w:after="0" w:line="240" w:lineRule="auto"/>
              <w:ind w:firstLine="29"/>
              <w:rPr>
                <w:rFonts w:eastAsia="Times New Roman" w:cs="Times New Roman"/>
                <w:sz w:val="20"/>
                <w:szCs w:val="20"/>
              </w:rPr>
            </w:pPr>
            <w:r>
              <w:rPr>
                <w:rFonts w:eastAsia="Times New Roman" w:cs="Times New Roman"/>
                <w:color w:val="000000"/>
                <w:sz w:val="20"/>
                <w:szCs w:val="20"/>
              </w:rPr>
              <w:t>0,0062</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547598"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0,0030</w:t>
            </w:r>
          </w:p>
        </w:tc>
        <w:tc>
          <w:tcPr>
            <w:tcW w:w="36" w:type="dxa"/>
            <w:vAlign w:val="center"/>
          </w:tcPr>
          <w:p w14:paraId="49301B17" w14:textId="77777777" w:rsidR="00670FD4" w:rsidRDefault="00670FD4" w:rsidP="001925BA">
            <w:pPr>
              <w:spacing w:before="0" w:after="0"/>
              <w:rPr>
                <w:sz w:val="20"/>
                <w:szCs w:val="20"/>
              </w:rPr>
            </w:pPr>
          </w:p>
        </w:tc>
      </w:tr>
    </w:tbl>
    <w:p w14:paraId="7A60E5D1" w14:textId="77777777" w:rsidR="00670FD4" w:rsidRDefault="00670FD4" w:rsidP="00670FD4">
      <w:pPr>
        <w:spacing w:after="0" w:line="257" w:lineRule="auto"/>
        <w:ind w:firstLine="0"/>
        <w:rPr>
          <w:rFonts w:eastAsia="Times New Roman" w:cs="Times New Roman"/>
          <w:b/>
          <w:color w:val="000000"/>
        </w:rPr>
      </w:pPr>
      <w:bookmarkStart w:id="131" w:name="_heading=h.1egqt2p" w:colFirst="0" w:colLast="0"/>
      <w:bookmarkEnd w:id="131"/>
    </w:p>
    <w:p w14:paraId="725D7B08" w14:textId="77777777" w:rsidR="00670FD4" w:rsidRDefault="00670FD4" w:rsidP="00670FD4">
      <w:pPr>
        <w:spacing w:after="0"/>
        <w:jc w:val="center"/>
        <w:rPr>
          <w:rFonts w:eastAsia="Times New Roman" w:cs="Times New Roman"/>
        </w:rPr>
      </w:pPr>
      <w:r>
        <w:rPr>
          <w:rFonts w:eastAsia="Times New Roman" w:cs="Times New Roman"/>
          <w:b/>
          <w:color w:val="000000"/>
        </w:rPr>
        <w:t>Tabel 2.5.2.9 Emisii de compuși cu N și P (tone/an) din stația de epurare Constanța Sud (</w:t>
      </w:r>
      <w:r>
        <w:rPr>
          <w:rFonts w:eastAsia="Times New Roman" w:cs="Times New Roman"/>
          <w:b/>
          <w:i/>
          <w:color w:val="000000"/>
        </w:rPr>
        <w:t>sursa: Administrația Națională Apele Române, 2023</w:t>
      </w:r>
      <w:r>
        <w:rPr>
          <w:rFonts w:eastAsia="Times New Roman" w:cs="Times New Roman"/>
          <w:b/>
          <w:color w:val="000000"/>
        </w:rPr>
        <w:t>)</w:t>
      </w:r>
    </w:p>
    <w:tbl>
      <w:tblPr>
        <w:tblW w:w="6039" w:type="dxa"/>
        <w:jc w:val="center"/>
        <w:tblLayout w:type="fixed"/>
        <w:tblLook w:val="0400" w:firstRow="0" w:lastRow="0" w:firstColumn="0" w:lastColumn="0" w:noHBand="0" w:noVBand="1"/>
      </w:tblPr>
      <w:tblGrid>
        <w:gridCol w:w="881"/>
        <w:gridCol w:w="1674"/>
        <w:gridCol w:w="1755"/>
        <w:gridCol w:w="1493"/>
        <w:gridCol w:w="236"/>
      </w:tblGrid>
      <w:tr w:rsidR="00670FD4" w14:paraId="6A71843B" w14:textId="77777777" w:rsidTr="001925BA">
        <w:trPr>
          <w:gridAfter w:val="1"/>
          <w:wAfter w:w="36" w:type="dxa"/>
          <w:trHeight w:val="557"/>
          <w:jc w:val="center"/>
        </w:trPr>
        <w:tc>
          <w:tcPr>
            <w:tcW w:w="908"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45E8B5" w14:textId="77777777" w:rsidR="00670FD4" w:rsidRDefault="00670FD4" w:rsidP="001925BA">
            <w:pPr>
              <w:spacing w:before="0" w:after="0" w:line="240" w:lineRule="auto"/>
              <w:ind w:firstLine="32"/>
              <w:rPr>
                <w:rFonts w:eastAsia="Times New Roman" w:cs="Times New Roman"/>
                <w:sz w:val="20"/>
                <w:szCs w:val="20"/>
              </w:rPr>
            </w:pPr>
            <w:r>
              <w:rPr>
                <w:rFonts w:eastAsia="Times New Roman" w:cs="Times New Roman"/>
                <w:color w:val="000000"/>
                <w:sz w:val="20"/>
                <w:szCs w:val="20"/>
              </w:rPr>
              <w:t>An</w:t>
            </w:r>
          </w:p>
        </w:tc>
        <w:tc>
          <w:tcPr>
            <w:tcW w:w="173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FD128A" w14:textId="77777777" w:rsidR="00670FD4" w:rsidRDefault="00670FD4" w:rsidP="001925BA">
            <w:pPr>
              <w:spacing w:before="0" w:after="0" w:line="240" w:lineRule="auto"/>
              <w:ind w:firstLine="2"/>
              <w:rPr>
                <w:rFonts w:eastAsia="Times New Roman" w:cs="Times New Roman"/>
                <w:sz w:val="20"/>
                <w:szCs w:val="20"/>
              </w:rPr>
            </w:pPr>
            <w:r>
              <w:rPr>
                <w:rFonts w:eastAsia="Times New Roman" w:cs="Times New Roman"/>
                <w:color w:val="000000"/>
                <w:sz w:val="20"/>
                <w:szCs w:val="20"/>
              </w:rPr>
              <w:t>Azot total, tone/an </w:t>
            </w:r>
          </w:p>
        </w:tc>
        <w:tc>
          <w:tcPr>
            <w:tcW w:w="181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BD071B" w14:textId="77777777" w:rsidR="00670FD4" w:rsidRDefault="00670FD4" w:rsidP="001925BA">
            <w:pPr>
              <w:spacing w:before="0" w:after="0" w:line="240" w:lineRule="auto"/>
              <w:ind w:firstLine="29"/>
              <w:rPr>
                <w:rFonts w:eastAsia="Times New Roman" w:cs="Times New Roman"/>
                <w:sz w:val="20"/>
                <w:szCs w:val="20"/>
              </w:rPr>
            </w:pPr>
            <w:r>
              <w:rPr>
                <w:rFonts w:eastAsia="Times New Roman" w:cs="Times New Roman"/>
                <w:color w:val="000000"/>
                <w:sz w:val="20"/>
                <w:szCs w:val="20"/>
              </w:rPr>
              <w:t>Fosfor total, tone/an</w:t>
            </w:r>
          </w:p>
        </w:tc>
        <w:tc>
          <w:tcPr>
            <w:tcW w:w="1545"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C681E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Amoniu, tone/an</w:t>
            </w:r>
          </w:p>
        </w:tc>
      </w:tr>
      <w:tr w:rsidR="00670FD4" w14:paraId="10100157" w14:textId="77777777" w:rsidTr="001925BA">
        <w:trPr>
          <w:trHeight w:val="71"/>
          <w:jc w:val="center"/>
        </w:trPr>
        <w:tc>
          <w:tcPr>
            <w:tcW w:w="908"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EAB011" w14:textId="77777777" w:rsidR="00670FD4" w:rsidRDefault="00670FD4" w:rsidP="001925BA">
            <w:pPr>
              <w:widowControl w:val="0"/>
              <w:pBdr>
                <w:top w:val="nil"/>
                <w:left w:val="nil"/>
                <w:bottom w:val="nil"/>
                <w:right w:val="nil"/>
                <w:between w:val="nil"/>
              </w:pBdr>
              <w:spacing w:before="0" w:after="0"/>
              <w:ind w:firstLine="32"/>
              <w:rPr>
                <w:rFonts w:eastAsia="Times New Roman" w:cs="Times New Roman"/>
                <w:sz w:val="20"/>
                <w:szCs w:val="20"/>
              </w:rPr>
            </w:pPr>
          </w:p>
        </w:tc>
        <w:tc>
          <w:tcPr>
            <w:tcW w:w="173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712D7B" w14:textId="77777777" w:rsidR="00670FD4" w:rsidRDefault="00670FD4" w:rsidP="001925BA">
            <w:pPr>
              <w:widowControl w:val="0"/>
              <w:pBdr>
                <w:top w:val="nil"/>
                <w:left w:val="nil"/>
                <w:bottom w:val="nil"/>
                <w:right w:val="nil"/>
                <w:between w:val="nil"/>
              </w:pBdr>
              <w:spacing w:before="0" w:after="0"/>
              <w:ind w:firstLine="2"/>
              <w:rPr>
                <w:rFonts w:eastAsia="Times New Roman" w:cs="Times New Roman"/>
                <w:sz w:val="20"/>
                <w:szCs w:val="20"/>
              </w:rPr>
            </w:pPr>
          </w:p>
        </w:tc>
        <w:tc>
          <w:tcPr>
            <w:tcW w:w="181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EA8F17" w14:textId="77777777" w:rsidR="00670FD4" w:rsidRDefault="00670FD4" w:rsidP="001925BA">
            <w:pPr>
              <w:widowControl w:val="0"/>
              <w:pBdr>
                <w:top w:val="nil"/>
                <w:left w:val="nil"/>
                <w:bottom w:val="nil"/>
                <w:right w:val="nil"/>
                <w:between w:val="nil"/>
              </w:pBdr>
              <w:spacing w:before="0" w:after="0"/>
              <w:ind w:firstLine="29"/>
              <w:rPr>
                <w:rFonts w:eastAsia="Times New Roman" w:cs="Times New Roman"/>
                <w:sz w:val="20"/>
                <w:szCs w:val="20"/>
              </w:rPr>
            </w:pPr>
          </w:p>
        </w:tc>
        <w:tc>
          <w:tcPr>
            <w:tcW w:w="154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80432B" w14:textId="77777777" w:rsidR="00670FD4" w:rsidRDefault="00670FD4" w:rsidP="001925BA">
            <w:pPr>
              <w:widowControl w:val="0"/>
              <w:pBdr>
                <w:top w:val="nil"/>
                <w:left w:val="nil"/>
                <w:bottom w:val="nil"/>
                <w:right w:val="nil"/>
                <w:between w:val="nil"/>
              </w:pBdr>
              <w:spacing w:before="0" w:after="0"/>
              <w:ind w:firstLine="0"/>
              <w:rPr>
                <w:rFonts w:eastAsia="Times New Roman" w:cs="Times New Roman"/>
                <w:sz w:val="20"/>
                <w:szCs w:val="20"/>
              </w:rPr>
            </w:pPr>
          </w:p>
        </w:tc>
        <w:tc>
          <w:tcPr>
            <w:tcW w:w="36" w:type="dxa"/>
            <w:vAlign w:val="center"/>
          </w:tcPr>
          <w:p w14:paraId="2D9D8BFC" w14:textId="77777777" w:rsidR="00670FD4" w:rsidRDefault="00670FD4" w:rsidP="001925BA">
            <w:pPr>
              <w:spacing w:before="0" w:after="0" w:line="240" w:lineRule="auto"/>
              <w:rPr>
                <w:rFonts w:eastAsia="Times New Roman" w:cs="Times New Roman"/>
                <w:sz w:val="20"/>
                <w:szCs w:val="20"/>
              </w:rPr>
            </w:pPr>
          </w:p>
        </w:tc>
      </w:tr>
      <w:tr w:rsidR="00670FD4" w14:paraId="55E8B00B" w14:textId="77777777" w:rsidTr="001925BA">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102253" w14:textId="77777777" w:rsidR="00670FD4" w:rsidRDefault="00670FD4" w:rsidP="001925BA">
            <w:pPr>
              <w:spacing w:before="0" w:after="0" w:line="240" w:lineRule="auto"/>
              <w:ind w:firstLine="32"/>
              <w:rPr>
                <w:rFonts w:eastAsia="Times New Roman" w:cs="Times New Roman"/>
                <w:sz w:val="20"/>
                <w:szCs w:val="20"/>
              </w:rPr>
            </w:pPr>
            <w:r>
              <w:rPr>
                <w:rFonts w:eastAsia="Times New Roman" w:cs="Times New Roman"/>
                <w:color w:val="000000"/>
                <w:sz w:val="20"/>
                <w:szCs w:val="20"/>
              </w:rPr>
              <w:t>2015</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019B12" w14:textId="77777777" w:rsidR="00670FD4" w:rsidRDefault="00670FD4" w:rsidP="001925BA">
            <w:pPr>
              <w:spacing w:before="0" w:after="0" w:line="240" w:lineRule="auto"/>
              <w:ind w:firstLine="2"/>
              <w:rPr>
                <w:rFonts w:eastAsia="Times New Roman" w:cs="Times New Roman"/>
                <w:sz w:val="20"/>
                <w:szCs w:val="20"/>
              </w:rPr>
            </w:pPr>
            <w:r>
              <w:rPr>
                <w:rFonts w:eastAsia="Times New Roman" w:cs="Times New Roman"/>
                <w:color w:val="000000"/>
                <w:sz w:val="20"/>
                <w:szCs w:val="20"/>
              </w:rPr>
              <w:t>0,65</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A70856" w14:textId="77777777" w:rsidR="00670FD4" w:rsidRDefault="00670FD4" w:rsidP="001925BA">
            <w:pPr>
              <w:spacing w:before="0" w:after="0" w:line="240" w:lineRule="auto"/>
              <w:ind w:firstLine="29"/>
              <w:rPr>
                <w:rFonts w:eastAsia="Times New Roman" w:cs="Times New Roman"/>
                <w:sz w:val="20"/>
                <w:szCs w:val="20"/>
              </w:rPr>
            </w:pPr>
            <w:r>
              <w:rPr>
                <w:rFonts w:eastAsia="Times New Roman" w:cs="Times New Roman"/>
                <w:color w:val="000000"/>
                <w:sz w:val="20"/>
                <w:szCs w:val="20"/>
              </w:rPr>
              <w:t>0,026</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F79C6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0,0013</w:t>
            </w:r>
          </w:p>
        </w:tc>
        <w:tc>
          <w:tcPr>
            <w:tcW w:w="36" w:type="dxa"/>
            <w:vAlign w:val="center"/>
          </w:tcPr>
          <w:p w14:paraId="6737774D" w14:textId="77777777" w:rsidR="00670FD4" w:rsidRDefault="00670FD4" w:rsidP="001925BA">
            <w:pPr>
              <w:spacing w:before="0" w:after="0" w:line="240" w:lineRule="auto"/>
              <w:rPr>
                <w:rFonts w:eastAsia="Times New Roman" w:cs="Times New Roman"/>
                <w:sz w:val="20"/>
                <w:szCs w:val="20"/>
              </w:rPr>
            </w:pPr>
          </w:p>
        </w:tc>
      </w:tr>
      <w:tr w:rsidR="00670FD4" w14:paraId="67482E15" w14:textId="77777777" w:rsidTr="001925BA">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B6857D" w14:textId="77777777" w:rsidR="00670FD4" w:rsidRDefault="00670FD4" w:rsidP="001925BA">
            <w:pPr>
              <w:spacing w:before="0" w:after="0" w:line="240" w:lineRule="auto"/>
              <w:ind w:firstLine="32"/>
              <w:rPr>
                <w:rFonts w:eastAsia="Times New Roman" w:cs="Times New Roman"/>
                <w:sz w:val="20"/>
                <w:szCs w:val="20"/>
              </w:rPr>
            </w:pPr>
            <w:r>
              <w:rPr>
                <w:rFonts w:eastAsia="Times New Roman" w:cs="Times New Roman"/>
                <w:color w:val="000000"/>
                <w:sz w:val="20"/>
                <w:szCs w:val="20"/>
              </w:rPr>
              <w:t>2016</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2BF10A" w14:textId="77777777" w:rsidR="00670FD4" w:rsidRDefault="00670FD4" w:rsidP="001925BA">
            <w:pPr>
              <w:spacing w:before="0" w:after="0" w:line="240" w:lineRule="auto"/>
              <w:ind w:firstLine="2"/>
              <w:rPr>
                <w:rFonts w:eastAsia="Times New Roman" w:cs="Times New Roman"/>
                <w:sz w:val="20"/>
                <w:szCs w:val="20"/>
              </w:rPr>
            </w:pPr>
            <w:r>
              <w:rPr>
                <w:rFonts w:eastAsia="Times New Roman" w:cs="Times New Roman"/>
                <w:color w:val="000000"/>
                <w:sz w:val="20"/>
                <w:szCs w:val="20"/>
              </w:rPr>
              <w:t>0,31</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CAE44C" w14:textId="77777777" w:rsidR="00670FD4" w:rsidRDefault="00670FD4" w:rsidP="001925BA">
            <w:pPr>
              <w:spacing w:before="0" w:after="0" w:line="240" w:lineRule="auto"/>
              <w:ind w:firstLine="29"/>
              <w:rPr>
                <w:rFonts w:eastAsia="Times New Roman" w:cs="Times New Roman"/>
                <w:sz w:val="20"/>
                <w:szCs w:val="20"/>
              </w:rPr>
            </w:pPr>
            <w:r>
              <w:rPr>
                <w:rFonts w:eastAsia="Times New Roman" w:cs="Times New Roman"/>
                <w:color w:val="000000"/>
                <w:sz w:val="20"/>
                <w:szCs w:val="20"/>
              </w:rPr>
              <w:t>0,022</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A5256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0,235</w:t>
            </w:r>
          </w:p>
        </w:tc>
        <w:tc>
          <w:tcPr>
            <w:tcW w:w="36" w:type="dxa"/>
            <w:vAlign w:val="center"/>
          </w:tcPr>
          <w:p w14:paraId="0797D80D" w14:textId="77777777" w:rsidR="00670FD4" w:rsidRDefault="00670FD4" w:rsidP="001925BA">
            <w:pPr>
              <w:spacing w:before="0" w:after="0" w:line="240" w:lineRule="auto"/>
              <w:rPr>
                <w:rFonts w:eastAsia="Times New Roman" w:cs="Times New Roman"/>
                <w:sz w:val="20"/>
                <w:szCs w:val="20"/>
              </w:rPr>
            </w:pPr>
          </w:p>
        </w:tc>
      </w:tr>
      <w:tr w:rsidR="00670FD4" w14:paraId="1C158BF9" w14:textId="77777777" w:rsidTr="001925BA">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1CC0C8" w14:textId="77777777" w:rsidR="00670FD4" w:rsidRDefault="00670FD4" w:rsidP="001925BA">
            <w:pPr>
              <w:spacing w:before="0" w:after="0" w:line="240" w:lineRule="auto"/>
              <w:ind w:firstLine="32"/>
              <w:rPr>
                <w:rFonts w:eastAsia="Times New Roman" w:cs="Times New Roman"/>
                <w:sz w:val="20"/>
                <w:szCs w:val="20"/>
              </w:rPr>
            </w:pPr>
            <w:r>
              <w:rPr>
                <w:rFonts w:eastAsia="Times New Roman" w:cs="Times New Roman"/>
                <w:color w:val="000000"/>
                <w:sz w:val="20"/>
                <w:szCs w:val="20"/>
              </w:rPr>
              <w:t>2017</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1C9ABE" w14:textId="77777777" w:rsidR="00670FD4" w:rsidRDefault="00670FD4" w:rsidP="001925BA">
            <w:pPr>
              <w:spacing w:before="0" w:after="0" w:line="240" w:lineRule="auto"/>
              <w:ind w:firstLine="2"/>
              <w:rPr>
                <w:rFonts w:eastAsia="Times New Roman" w:cs="Times New Roman"/>
                <w:sz w:val="20"/>
                <w:szCs w:val="20"/>
              </w:rPr>
            </w:pPr>
            <w:r>
              <w:rPr>
                <w:rFonts w:eastAsia="Times New Roman" w:cs="Times New Roman"/>
                <w:color w:val="000000"/>
                <w:sz w:val="20"/>
                <w:szCs w:val="20"/>
              </w:rPr>
              <w:t>0,36</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691595" w14:textId="77777777" w:rsidR="00670FD4" w:rsidRDefault="00670FD4" w:rsidP="001925BA">
            <w:pPr>
              <w:spacing w:before="0" w:after="0" w:line="240" w:lineRule="auto"/>
              <w:ind w:firstLine="29"/>
              <w:rPr>
                <w:rFonts w:eastAsia="Times New Roman" w:cs="Times New Roman"/>
                <w:sz w:val="20"/>
                <w:szCs w:val="20"/>
              </w:rPr>
            </w:pPr>
            <w:r>
              <w:rPr>
                <w:rFonts w:eastAsia="Times New Roman" w:cs="Times New Roman"/>
                <w:color w:val="000000"/>
                <w:sz w:val="20"/>
                <w:szCs w:val="20"/>
              </w:rPr>
              <w:t>0,023</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6DD59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0,27</w:t>
            </w:r>
          </w:p>
        </w:tc>
        <w:tc>
          <w:tcPr>
            <w:tcW w:w="36" w:type="dxa"/>
            <w:vAlign w:val="center"/>
          </w:tcPr>
          <w:p w14:paraId="5FA6C662" w14:textId="77777777" w:rsidR="00670FD4" w:rsidRDefault="00670FD4" w:rsidP="001925BA">
            <w:pPr>
              <w:spacing w:before="0" w:after="0" w:line="240" w:lineRule="auto"/>
              <w:rPr>
                <w:rFonts w:eastAsia="Times New Roman" w:cs="Times New Roman"/>
                <w:sz w:val="20"/>
                <w:szCs w:val="20"/>
              </w:rPr>
            </w:pPr>
          </w:p>
        </w:tc>
      </w:tr>
      <w:tr w:rsidR="00670FD4" w14:paraId="501EFAA0" w14:textId="77777777" w:rsidTr="001925BA">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A7984B" w14:textId="77777777" w:rsidR="00670FD4" w:rsidRDefault="00670FD4" w:rsidP="001925BA">
            <w:pPr>
              <w:spacing w:before="0" w:after="0" w:line="240" w:lineRule="auto"/>
              <w:ind w:firstLine="32"/>
              <w:rPr>
                <w:rFonts w:eastAsia="Times New Roman" w:cs="Times New Roman"/>
                <w:sz w:val="20"/>
                <w:szCs w:val="20"/>
              </w:rPr>
            </w:pPr>
            <w:r>
              <w:rPr>
                <w:rFonts w:eastAsia="Times New Roman" w:cs="Times New Roman"/>
                <w:color w:val="000000"/>
                <w:sz w:val="20"/>
                <w:szCs w:val="20"/>
              </w:rPr>
              <w:t>2018</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8A17A4" w14:textId="77777777" w:rsidR="00670FD4" w:rsidRDefault="00670FD4" w:rsidP="001925BA">
            <w:pPr>
              <w:spacing w:before="0" w:after="0" w:line="240" w:lineRule="auto"/>
              <w:ind w:firstLine="2"/>
              <w:rPr>
                <w:rFonts w:eastAsia="Times New Roman" w:cs="Times New Roman"/>
                <w:sz w:val="20"/>
                <w:szCs w:val="20"/>
              </w:rPr>
            </w:pPr>
            <w:r>
              <w:rPr>
                <w:rFonts w:eastAsia="Times New Roman" w:cs="Times New Roman"/>
                <w:color w:val="000000"/>
                <w:sz w:val="20"/>
                <w:szCs w:val="20"/>
              </w:rPr>
              <w:t>0,22</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B9B05D" w14:textId="77777777" w:rsidR="00670FD4" w:rsidRDefault="00670FD4" w:rsidP="001925BA">
            <w:pPr>
              <w:spacing w:before="0" w:after="0" w:line="240" w:lineRule="auto"/>
              <w:ind w:firstLine="29"/>
              <w:rPr>
                <w:rFonts w:eastAsia="Times New Roman" w:cs="Times New Roman"/>
                <w:sz w:val="20"/>
                <w:szCs w:val="20"/>
              </w:rPr>
            </w:pPr>
            <w:r>
              <w:rPr>
                <w:rFonts w:eastAsia="Times New Roman" w:cs="Times New Roman"/>
                <w:color w:val="000000"/>
                <w:sz w:val="20"/>
                <w:szCs w:val="20"/>
              </w:rPr>
              <w:t>0,015</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AFD79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0,053</w:t>
            </w:r>
          </w:p>
        </w:tc>
        <w:tc>
          <w:tcPr>
            <w:tcW w:w="36" w:type="dxa"/>
            <w:vAlign w:val="center"/>
          </w:tcPr>
          <w:p w14:paraId="7FED5D3D" w14:textId="77777777" w:rsidR="00670FD4" w:rsidRDefault="00670FD4" w:rsidP="001925BA">
            <w:pPr>
              <w:spacing w:before="0" w:after="0" w:line="240" w:lineRule="auto"/>
              <w:rPr>
                <w:rFonts w:eastAsia="Times New Roman" w:cs="Times New Roman"/>
                <w:sz w:val="20"/>
                <w:szCs w:val="20"/>
              </w:rPr>
            </w:pPr>
          </w:p>
        </w:tc>
      </w:tr>
      <w:tr w:rsidR="00670FD4" w14:paraId="265DA1AB" w14:textId="77777777" w:rsidTr="001925BA">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81A391" w14:textId="77777777" w:rsidR="00670FD4" w:rsidRDefault="00670FD4" w:rsidP="001925BA">
            <w:pPr>
              <w:spacing w:before="0" w:after="0" w:line="240" w:lineRule="auto"/>
              <w:ind w:firstLine="32"/>
              <w:rPr>
                <w:rFonts w:eastAsia="Times New Roman" w:cs="Times New Roman"/>
                <w:sz w:val="20"/>
                <w:szCs w:val="20"/>
              </w:rPr>
            </w:pPr>
            <w:r>
              <w:rPr>
                <w:rFonts w:eastAsia="Times New Roman" w:cs="Times New Roman"/>
                <w:color w:val="000000"/>
                <w:sz w:val="20"/>
                <w:szCs w:val="20"/>
              </w:rPr>
              <w:t>2019</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6CCA8B" w14:textId="77777777" w:rsidR="00670FD4" w:rsidRDefault="00670FD4" w:rsidP="001925BA">
            <w:pPr>
              <w:spacing w:before="0" w:after="0" w:line="240" w:lineRule="auto"/>
              <w:ind w:firstLine="2"/>
              <w:rPr>
                <w:rFonts w:eastAsia="Times New Roman" w:cs="Times New Roman"/>
                <w:sz w:val="20"/>
                <w:szCs w:val="20"/>
              </w:rPr>
            </w:pPr>
            <w:r>
              <w:rPr>
                <w:rFonts w:eastAsia="Times New Roman" w:cs="Times New Roman"/>
                <w:color w:val="000000"/>
                <w:sz w:val="20"/>
                <w:szCs w:val="20"/>
              </w:rPr>
              <w:t>0,29</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A2FA4E" w14:textId="77777777" w:rsidR="00670FD4" w:rsidRDefault="00670FD4" w:rsidP="001925BA">
            <w:pPr>
              <w:spacing w:before="0" w:after="0" w:line="240" w:lineRule="auto"/>
              <w:ind w:firstLine="29"/>
              <w:rPr>
                <w:rFonts w:eastAsia="Times New Roman" w:cs="Times New Roman"/>
                <w:sz w:val="20"/>
                <w:szCs w:val="20"/>
              </w:rPr>
            </w:pPr>
            <w:r>
              <w:rPr>
                <w:rFonts w:eastAsia="Times New Roman" w:cs="Times New Roman"/>
                <w:color w:val="000000"/>
                <w:sz w:val="20"/>
                <w:szCs w:val="20"/>
              </w:rPr>
              <w:t>0,011</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696AF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0,049</w:t>
            </w:r>
          </w:p>
        </w:tc>
        <w:tc>
          <w:tcPr>
            <w:tcW w:w="36" w:type="dxa"/>
            <w:vAlign w:val="center"/>
          </w:tcPr>
          <w:p w14:paraId="4138428B" w14:textId="77777777" w:rsidR="00670FD4" w:rsidRDefault="00670FD4" w:rsidP="001925BA">
            <w:pPr>
              <w:spacing w:before="0" w:after="0" w:line="240" w:lineRule="auto"/>
              <w:rPr>
                <w:rFonts w:eastAsia="Times New Roman" w:cs="Times New Roman"/>
                <w:sz w:val="20"/>
                <w:szCs w:val="20"/>
              </w:rPr>
            </w:pPr>
          </w:p>
        </w:tc>
      </w:tr>
      <w:tr w:rsidR="00670FD4" w14:paraId="36358AE6" w14:textId="77777777" w:rsidTr="001925BA">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0FE86C" w14:textId="77777777" w:rsidR="00670FD4" w:rsidRDefault="00670FD4" w:rsidP="001925BA">
            <w:pPr>
              <w:spacing w:before="0" w:after="0" w:line="240" w:lineRule="auto"/>
              <w:ind w:firstLine="32"/>
              <w:rPr>
                <w:rFonts w:eastAsia="Times New Roman" w:cs="Times New Roman"/>
                <w:sz w:val="20"/>
                <w:szCs w:val="20"/>
              </w:rPr>
            </w:pPr>
            <w:r>
              <w:rPr>
                <w:rFonts w:eastAsia="Times New Roman" w:cs="Times New Roman"/>
                <w:color w:val="000000"/>
                <w:sz w:val="20"/>
                <w:szCs w:val="20"/>
              </w:rPr>
              <w:t>2020</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546622" w14:textId="77777777" w:rsidR="00670FD4" w:rsidRDefault="00670FD4" w:rsidP="001925BA">
            <w:pPr>
              <w:spacing w:before="0" w:after="0" w:line="240" w:lineRule="auto"/>
              <w:ind w:firstLine="2"/>
              <w:rPr>
                <w:rFonts w:eastAsia="Times New Roman" w:cs="Times New Roman"/>
                <w:sz w:val="20"/>
                <w:szCs w:val="20"/>
              </w:rPr>
            </w:pPr>
            <w:r>
              <w:rPr>
                <w:rFonts w:eastAsia="Times New Roman" w:cs="Times New Roman"/>
                <w:color w:val="000000"/>
                <w:sz w:val="20"/>
                <w:szCs w:val="20"/>
              </w:rPr>
              <w:t>0,18</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DED33B" w14:textId="77777777" w:rsidR="00670FD4" w:rsidRDefault="00670FD4" w:rsidP="001925BA">
            <w:pPr>
              <w:spacing w:before="0" w:after="0" w:line="240" w:lineRule="auto"/>
              <w:ind w:firstLine="29"/>
              <w:rPr>
                <w:rFonts w:eastAsia="Times New Roman" w:cs="Times New Roman"/>
                <w:sz w:val="20"/>
                <w:szCs w:val="20"/>
              </w:rPr>
            </w:pPr>
            <w:r>
              <w:rPr>
                <w:rFonts w:eastAsia="Times New Roman" w:cs="Times New Roman"/>
                <w:color w:val="000000"/>
                <w:sz w:val="20"/>
                <w:szCs w:val="20"/>
              </w:rPr>
              <w:t>0,018</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5A771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0,16</w:t>
            </w:r>
          </w:p>
        </w:tc>
        <w:tc>
          <w:tcPr>
            <w:tcW w:w="36" w:type="dxa"/>
            <w:vAlign w:val="center"/>
          </w:tcPr>
          <w:p w14:paraId="3E96B1F3" w14:textId="77777777" w:rsidR="00670FD4" w:rsidRDefault="00670FD4" w:rsidP="001925BA">
            <w:pPr>
              <w:spacing w:before="0" w:after="0" w:line="240" w:lineRule="auto"/>
              <w:rPr>
                <w:rFonts w:eastAsia="Times New Roman" w:cs="Times New Roman"/>
                <w:sz w:val="20"/>
                <w:szCs w:val="20"/>
              </w:rPr>
            </w:pPr>
          </w:p>
        </w:tc>
      </w:tr>
      <w:tr w:rsidR="00670FD4" w14:paraId="61D2475B" w14:textId="77777777" w:rsidTr="001925BA">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1E684E" w14:textId="77777777" w:rsidR="00670FD4" w:rsidRDefault="00670FD4" w:rsidP="001925BA">
            <w:pPr>
              <w:spacing w:before="0" w:after="0" w:line="240" w:lineRule="auto"/>
              <w:ind w:firstLine="32"/>
              <w:rPr>
                <w:rFonts w:eastAsia="Times New Roman" w:cs="Times New Roman"/>
                <w:sz w:val="20"/>
                <w:szCs w:val="20"/>
              </w:rPr>
            </w:pPr>
            <w:r>
              <w:rPr>
                <w:rFonts w:eastAsia="Times New Roman" w:cs="Times New Roman"/>
                <w:color w:val="000000"/>
                <w:sz w:val="20"/>
                <w:szCs w:val="20"/>
              </w:rPr>
              <w:t>2021</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944E82" w14:textId="77777777" w:rsidR="00670FD4" w:rsidRDefault="00670FD4" w:rsidP="001925BA">
            <w:pPr>
              <w:spacing w:before="0" w:after="0" w:line="240" w:lineRule="auto"/>
              <w:ind w:firstLine="2"/>
              <w:rPr>
                <w:rFonts w:eastAsia="Times New Roman" w:cs="Times New Roman"/>
                <w:sz w:val="20"/>
                <w:szCs w:val="20"/>
              </w:rPr>
            </w:pPr>
            <w:r>
              <w:rPr>
                <w:rFonts w:eastAsia="Times New Roman" w:cs="Times New Roman"/>
                <w:color w:val="000000"/>
                <w:sz w:val="20"/>
                <w:szCs w:val="20"/>
              </w:rPr>
              <w:t>0,20</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94805C" w14:textId="77777777" w:rsidR="00670FD4" w:rsidRDefault="00670FD4" w:rsidP="001925BA">
            <w:pPr>
              <w:spacing w:before="0" w:after="0" w:line="240" w:lineRule="auto"/>
              <w:ind w:firstLine="29"/>
              <w:rPr>
                <w:rFonts w:eastAsia="Times New Roman" w:cs="Times New Roman"/>
                <w:sz w:val="20"/>
                <w:szCs w:val="20"/>
              </w:rPr>
            </w:pPr>
            <w:r>
              <w:rPr>
                <w:rFonts w:eastAsia="Times New Roman" w:cs="Times New Roman"/>
                <w:color w:val="000000"/>
                <w:sz w:val="20"/>
                <w:szCs w:val="20"/>
              </w:rPr>
              <w:t>0,011</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0D069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0,060</w:t>
            </w:r>
          </w:p>
        </w:tc>
        <w:tc>
          <w:tcPr>
            <w:tcW w:w="36" w:type="dxa"/>
            <w:vAlign w:val="center"/>
          </w:tcPr>
          <w:p w14:paraId="2AC1A48C" w14:textId="77777777" w:rsidR="00670FD4" w:rsidRDefault="00670FD4" w:rsidP="001925BA">
            <w:pPr>
              <w:spacing w:before="0" w:after="0" w:line="240" w:lineRule="auto"/>
              <w:rPr>
                <w:rFonts w:eastAsia="Times New Roman" w:cs="Times New Roman"/>
                <w:sz w:val="20"/>
                <w:szCs w:val="20"/>
              </w:rPr>
            </w:pPr>
          </w:p>
        </w:tc>
      </w:tr>
    </w:tbl>
    <w:p w14:paraId="5B08463F" w14:textId="77777777" w:rsidR="00670FD4" w:rsidRDefault="00670FD4" w:rsidP="00670FD4">
      <w:pPr>
        <w:rPr>
          <w:color w:val="000000"/>
        </w:rPr>
      </w:pPr>
    </w:p>
    <w:p w14:paraId="677BD712" w14:textId="77777777" w:rsidR="00670FD4" w:rsidRDefault="00670FD4" w:rsidP="00670FD4">
      <w:pPr>
        <w:ind w:firstLine="567"/>
        <w:rPr>
          <w:rFonts w:eastAsia="Times New Roman" w:cs="Times New Roman"/>
        </w:rPr>
      </w:pPr>
      <w:r>
        <w:rPr>
          <w:rFonts w:eastAsia="Times New Roman" w:cs="Times New Roman"/>
          <w:color w:val="000000"/>
        </w:rPr>
        <w:lastRenderedPageBreak/>
        <w:t xml:space="preserve">Cantitățile de compuși cu azot și fosfor (monitorizați) care se deversează în mare din stația de epurare urbană Constanța Sud, care deservește și Portul Constanța, arată o scădere începând cu 2017, până atunci apele uzate deversate au fost insuficient epurate, conform Administrația Națională Apele Române. Similar, stația de epurare Mangalia arată un trend clar descrescător începând cu 2018. </w:t>
      </w:r>
    </w:p>
    <w:p w14:paraId="14F6B4DE" w14:textId="77777777" w:rsidR="00670FD4" w:rsidRDefault="00670FD4" w:rsidP="00670FD4">
      <w:pPr>
        <w:jc w:val="center"/>
        <w:rPr>
          <w:b/>
          <w:color w:val="000000"/>
          <w:sz w:val="20"/>
          <w:szCs w:val="20"/>
        </w:rPr>
      </w:pPr>
      <w:bookmarkStart w:id="132" w:name="_heading=h.3ygebqi" w:colFirst="0" w:colLast="0"/>
      <w:bookmarkEnd w:id="132"/>
    </w:p>
    <w:p w14:paraId="57856EA1" w14:textId="77777777" w:rsidR="00670FD4" w:rsidRDefault="00670FD4" w:rsidP="00670FD4">
      <w:pPr>
        <w:spacing w:after="0"/>
        <w:jc w:val="center"/>
        <w:rPr>
          <w:rFonts w:eastAsia="Times New Roman" w:cs="Times New Roman"/>
        </w:rPr>
      </w:pPr>
      <w:r>
        <w:rPr>
          <w:rFonts w:eastAsia="Times New Roman" w:cs="Times New Roman"/>
          <w:b/>
          <w:color w:val="000000"/>
        </w:rPr>
        <w:t xml:space="preserve">Tabel 2.5.2.10 Emisii de compuși cu N și P (tone/an) din stația de epurare </w:t>
      </w:r>
      <w:sdt>
        <w:sdtPr>
          <w:tag w:val="goog_rdk_48"/>
          <w:id w:val="1090433904"/>
        </w:sdtPr>
        <w:sdtContent>
          <w:r>
            <w:rPr>
              <w:rFonts w:eastAsia="Times New Roman" w:cs="Times New Roman"/>
              <w:b/>
              <w:color w:val="000000"/>
            </w:rPr>
            <w:t>Constanța</w:t>
          </w:r>
        </w:sdtContent>
      </w:sdt>
      <w:r>
        <w:rPr>
          <w:rFonts w:eastAsia="Times New Roman" w:cs="Times New Roman"/>
          <w:b/>
          <w:color w:val="000000"/>
        </w:rPr>
        <w:t xml:space="preserve"> Nord (sursa: Administrația Națională Apele Române, 2023)</w:t>
      </w:r>
    </w:p>
    <w:tbl>
      <w:tblPr>
        <w:tblW w:w="5897" w:type="dxa"/>
        <w:jc w:val="center"/>
        <w:tblLayout w:type="fixed"/>
        <w:tblLook w:val="0400" w:firstRow="0" w:lastRow="0" w:firstColumn="0" w:lastColumn="0" w:noHBand="0" w:noVBand="1"/>
      </w:tblPr>
      <w:tblGrid>
        <w:gridCol w:w="744"/>
        <w:gridCol w:w="1672"/>
        <w:gridCol w:w="1753"/>
        <w:gridCol w:w="1492"/>
        <w:gridCol w:w="236"/>
      </w:tblGrid>
      <w:tr w:rsidR="00670FD4" w14:paraId="6BE44C85" w14:textId="77777777" w:rsidTr="001925BA">
        <w:trPr>
          <w:gridAfter w:val="1"/>
          <w:wAfter w:w="36" w:type="dxa"/>
          <w:trHeight w:val="557"/>
          <w:jc w:val="center"/>
        </w:trPr>
        <w:tc>
          <w:tcPr>
            <w:tcW w:w="766"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F2095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An</w:t>
            </w:r>
          </w:p>
        </w:tc>
        <w:tc>
          <w:tcPr>
            <w:tcW w:w="173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5DACF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Azot total, tone/an </w:t>
            </w:r>
          </w:p>
        </w:tc>
        <w:tc>
          <w:tcPr>
            <w:tcW w:w="181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C26A4F"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Fosfor total, tone/an</w:t>
            </w:r>
          </w:p>
        </w:tc>
        <w:tc>
          <w:tcPr>
            <w:tcW w:w="1545"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7530F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Amoniu, tone/an</w:t>
            </w:r>
          </w:p>
        </w:tc>
      </w:tr>
      <w:tr w:rsidR="00670FD4" w14:paraId="1DDCB958" w14:textId="77777777" w:rsidTr="001925BA">
        <w:trPr>
          <w:trHeight w:val="25"/>
          <w:jc w:val="center"/>
        </w:trPr>
        <w:tc>
          <w:tcPr>
            <w:tcW w:w="766"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586D86"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173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6E7409"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181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666C9C"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154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6199BA"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36" w:type="dxa"/>
            <w:vAlign w:val="center"/>
          </w:tcPr>
          <w:p w14:paraId="3E53547B" w14:textId="77777777" w:rsidR="00670FD4" w:rsidRDefault="00670FD4" w:rsidP="001925BA">
            <w:pPr>
              <w:spacing w:before="0" w:after="0" w:line="240" w:lineRule="auto"/>
              <w:rPr>
                <w:rFonts w:eastAsia="Times New Roman" w:cs="Times New Roman"/>
                <w:sz w:val="20"/>
                <w:szCs w:val="20"/>
              </w:rPr>
            </w:pPr>
          </w:p>
        </w:tc>
      </w:tr>
      <w:tr w:rsidR="00670FD4" w14:paraId="717099A9" w14:textId="77777777" w:rsidTr="001925BA">
        <w:trPr>
          <w:jc w:val="center"/>
        </w:trPr>
        <w:tc>
          <w:tcPr>
            <w:tcW w:w="7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BF237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2015</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C02C13"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0,08</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67B64E"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0,0075</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C9D3A3"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0,0023</w:t>
            </w:r>
          </w:p>
        </w:tc>
        <w:tc>
          <w:tcPr>
            <w:tcW w:w="36" w:type="dxa"/>
            <w:vAlign w:val="center"/>
          </w:tcPr>
          <w:p w14:paraId="4BC8CD16" w14:textId="77777777" w:rsidR="00670FD4" w:rsidRDefault="00670FD4" w:rsidP="001925BA">
            <w:pPr>
              <w:spacing w:before="0" w:after="0" w:line="240" w:lineRule="auto"/>
              <w:rPr>
                <w:rFonts w:eastAsia="Times New Roman" w:cs="Times New Roman"/>
                <w:sz w:val="20"/>
                <w:szCs w:val="20"/>
              </w:rPr>
            </w:pPr>
          </w:p>
        </w:tc>
      </w:tr>
      <w:tr w:rsidR="00670FD4" w14:paraId="5B91A7E8" w14:textId="77777777" w:rsidTr="001925BA">
        <w:trPr>
          <w:jc w:val="center"/>
        </w:trPr>
        <w:tc>
          <w:tcPr>
            <w:tcW w:w="7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C3CBF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2016</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74F8BA"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0,066</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76FFA5"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0,0094</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3A0B05"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0,0040</w:t>
            </w:r>
          </w:p>
        </w:tc>
        <w:tc>
          <w:tcPr>
            <w:tcW w:w="36" w:type="dxa"/>
            <w:vAlign w:val="center"/>
          </w:tcPr>
          <w:p w14:paraId="20C5B3DB" w14:textId="77777777" w:rsidR="00670FD4" w:rsidRDefault="00670FD4" w:rsidP="001925BA">
            <w:pPr>
              <w:spacing w:before="0" w:after="0" w:line="240" w:lineRule="auto"/>
              <w:rPr>
                <w:rFonts w:eastAsia="Times New Roman" w:cs="Times New Roman"/>
                <w:sz w:val="20"/>
                <w:szCs w:val="20"/>
              </w:rPr>
            </w:pPr>
          </w:p>
        </w:tc>
      </w:tr>
      <w:tr w:rsidR="00670FD4" w14:paraId="28F18EDD" w14:textId="77777777" w:rsidTr="001925BA">
        <w:trPr>
          <w:jc w:val="center"/>
        </w:trPr>
        <w:tc>
          <w:tcPr>
            <w:tcW w:w="7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E356D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2017</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870445"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0,081</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BB8B47"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0,0124</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DB162E"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0,0012</w:t>
            </w:r>
          </w:p>
        </w:tc>
        <w:tc>
          <w:tcPr>
            <w:tcW w:w="36" w:type="dxa"/>
            <w:vAlign w:val="center"/>
          </w:tcPr>
          <w:p w14:paraId="1FEED86D" w14:textId="77777777" w:rsidR="00670FD4" w:rsidRDefault="00670FD4" w:rsidP="001925BA">
            <w:pPr>
              <w:spacing w:before="0" w:after="0" w:line="240" w:lineRule="auto"/>
              <w:rPr>
                <w:rFonts w:eastAsia="Times New Roman" w:cs="Times New Roman"/>
                <w:sz w:val="20"/>
                <w:szCs w:val="20"/>
              </w:rPr>
            </w:pPr>
          </w:p>
        </w:tc>
      </w:tr>
      <w:tr w:rsidR="00670FD4" w14:paraId="0E140F78" w14:textId="77777777" w:rsidTr="001925BA">
        <w:trPr>
          <w:jc w:val="center"/>
        </w:trPr>
        <w:tc>
          <w:tcPr>
            <w:tcW w:w="7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026FC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2018</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8707AD"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0,091</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3E3E47"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0,0133</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E8201A"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0,0060</w:t>
            </w:r>
          </w:p>
        </w:tc>
        <w:tc>
          <w:tcPr>
            <w:tcW w:w="36" w:type="dxa"/>
            <w:vAlign w:val="center"/>
          </w:tcPr>
          <w:p w14:paraId="37247E75" w14:textId="77777777" w:rsidR="00670FD4" w:rsidRDefault="00670FD4" w:rsidP="001925BA">
            <w:pPr>
              <w:spacing w:before="0" w:after="0" w:line="240" w:lineRule="auto"/>
              <w:rPr>
                <w:rFonts w:eastAsia="Times New Roman" w:cs="Times New Roman"/>
                <w:sz w:val="20"/>
                <w:szCs w:val="20"/>
              </w:rPr>
            </w:pPr>
          </w:p>
        </w:tc>
      </w:tr>
      <w:tr w:rsidR="00670FD4" w14:paraId="6364256E" w14:textId="77777777" w:rsidTr="001925BA">
        <w:trPr>
          <w:jc w:val="center"/>
        </w:trPr>
        <w:tc>
          <w:tcPr>
            <w:tcW w:w="7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A2349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2019</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C7DE45"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0,087</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A6C1FF"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0,0130</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6D580A"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0,0020</w:t>
            </w:r>
          </w:p>
        </w:tc>
        <w:tc>
          <w:tcPr>
            <w:tcW w:w="36" w:type="dxa"/>
            <w:vAlign w:val="center"/>
          </w:tcPr>
          <w:p w14:paraId="12D7299D" w14:textId="77777777" w:rsidR="00670FD4" w:rsidRDefault="00670FD4" w:rsidP="001925BA">
            <w:pPr>
              <w:spacing w:before="0" w:after="0" w:line="240" w:lineRule="auto"/>
              <w:rPr>
                <w:rFonts w:eastAsia="Times New Roman" w:cs="Times New Roman"/>
                <w:sz w:val="20"/>
                <w:szCs w:val="20"/>
              </w:rPr>
            </w:pPr>
          </w:p>
        </w:tc>
      </w:tr>
      <w:tr w:rsidR="00670FD4" w14:paraId="78AAD83D" w14:textId="77777777" w:rsidTr="001925BA">
        <w:trPr>
          <w:jc w:val="center"/>
        </w:trPr>
        <w:tc>
          <w:tcPr>
            <w:tcW w:w="7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FCCC0C"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2020</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2CAF17"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0,067</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45F12E"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0,0127</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4233CD"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0,0016</w:t>
            </w:r>
          </w:p>
        </w:tc>
        <w:tc>
          <w:tcPr>
            <w:tcW w:w="36" w:type="dxa"/>
            <w:vAlign w:val="center"/>
          </w:tcPr>
          <w:p w14:paraId="6DC9FAE3" w14:textId="77777777" w:rsidR="00670FD4" w:rsidRDefault="00670FD4" w:rsidP="001925BA">
            <w:pPr>
              <w:spacing w:before="0" w:after="0" w:line="240" w:lineRule="auto"/>
              <w:rPr>
                <w:rFonts w:eastAsia="Times New Roman" w:cs="Times New Roman"/>
                <w:sz w:val="20"/>
                <w:szCs w:val="20"/>
              </w:rPr>
            </w:pPr>
          </w:p>
        </w:tc>
      </w:tr>
      <w:tr w:rsidR="00670FD4" w14:paraId="2D18898F" w14:textId="77777777" w:rsidTr="001925BA">
        <w:trPr>
          <w:jc w:val="center"/>
        </w:trPr>
        <w:tc>
          <w:tcPr>
            <w:tcW w:w="7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368D1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2021</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CF07EA"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0,080</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6F7911"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0,0152</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8471F2"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0,0019</w:t>
            </w:r>
          </w:p>
        </w:tc>
        <w:tc>
          <w:tcPr>
            <w:tcW w:w="36" w:type="dxa"/>
            <w:vAlign w:val="center"/>
          </w:tcPr>
          <w:p w14:paraId="5014128D" w14:textId="77777777" w:rsidR="00670FD4" w:rsidRDefault="00670FD4" w:rsidP="001925BA">
            <w:pPr>
              <w:spacing w:before="0" w:after="0" w:line="240" w:lineRule="auto"/>
              <w:rPr>
                <w:rFonts w:eastAsia="Times New Roman" w:cs="Times New Roman"/>
                <w:sz w:val="20"/>
                <w:szCs w:val="20"/>
              </w:rPr>
            </w:pPr>
          </w:p>
        </w:tc>
      </w:tr>
    </w:tbl>
    <w:p w14:paraId="216200BA" w14:textId="77777777" w:rsidR="00670FD4" w:rsidRDefault="00670FD4" w:rsidP="00670FD4">
      <w:pPr>
        <w:rPr>
          <w:b/>
          <w:color w:val="000000"/>
        </w:rPr>
      </w:pPr>
    </w:p>
    <w:p w14:paraId="47C2A7E0" w14:textId="77777777" w:rsidR="00670FD4" w:rsidRDefault="00670FD4" w:rsidP="00670FD4">
      <w:pPr>
        <w:spacing w:after="0"/>
        <w:jc w:val="center"/>
        <w:rPr>
          <w:rFonts w:eastAsia="Times New Roman" w:cs="Times New Roman"/>
        </w:rPr>
      </w:pPr>
      <w:bookmarkStart w:id="133" w:name="_heading=h.2dlolyb" w:colFirst="0" w:colLast="0"/>
      <w:bookmarkEnd w:id="133"/>
      <w:r>
        <w:rPr>
          <w:rFonts w:eastAsia="Times New Roman" w:cs="Times New Roman"/>
          <w:b/>
          <w:color w:val="000000"/>
        </w:rPr>
        <w:t>Tabel 2.5.2.11 Emisii de compuși cu N și P (tone/an) din stația de epurare Eforie Sud (</w:t>
      </w:r>
      <w:r>
        <w:rPr>
          <w:rFonts w:eastAsia="Times New Roman" w:cs="Times New Roman"/>
          <w:b/>
          <w:i/>
          <w:color w:val="000000"/>
        </w:rPr>
        <w:t>sursa: Administrația Națională Apele Române, 2023</w:t>
      </w:r>
      <w:r>
        <w:rPr>
          <w:rFonts w:eastAsia="Times New Roman" w:cs="Times New Roman"/>
          <w:b/>
          <w:color w:val="000000"/>
        </w:rPr>
        <w:t>)</w:t>
      </w:r>
    </w:p>
    <w:tbl>
      <w:tblPr>
        <w:tblW w:w="6039" w:type="dxa"/>
        <w:jc w:val="center"/>
        <w:tblLayout w:type="fixed"/>
        <w:tblLook w:val="0400" w:firstRow="0" w:lastRow="0" w:firstColumn="0" w:lastColumn="0" w:noHBand="0" w:noVBand="1"/>
      </w:tblPr>
      <w:tblGrid>
        <w:gridCol w:w="881"/>
        <w:gridCol w:w="1674"/>
        <w:gridCol w:w="1755"/>
        <w:gridCol w:w="1493"/>
        <w:gridCol w:w="236"/>
      </w:tblGrid>
      <w:tr w:rsidR="00670FD4" w14:paraId="4DAF8F1B" w14:textId="77777777" w:rsidTr="001925BA">
        <w:trPr>
          <w:gridAfter w:val="1"/>
          <w:wAfter w:w="36" w:type="dxa"/>
          <w:trHeight w:val="557"/>
          <w:jc w:val="center"/>
        </w:trPr>
        <w:tc>
          <w:tcPr>
            <w:tcW w:w="908"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AF211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An</w:t>
            </w:r>
          </w:p>
        </w:tc>
        <w:tc>
          <w:tcPr>
            <w:tcW w:w="173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94DAE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Azot total, tone/an </w:t>
            </w:r>
          </w:p>
        </w:tc>
        <w:tc>
          <w:tcPr>
            <w:tcW w:w="181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9E9335"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Fosfor total, tone/an</w:t>
            </w:r>
          </w:p>
        </w:tc>
        <w:tc>
          <w:tcPr>
            <w:tcW w:w="1545"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82101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Amoniu, tone/an</w:t>
            </w:r>
          </w:p>
        </w:tc>
      </w:tr>
      <w:tr w:rsidR="00670FD4" w14:paraId="0547065D" w14:textId="77777777" w:rsidTr="001925BA">
        <w:trPr>
          <w:trHeight w:val="25"/>
          <w:jc w:val="center"/>
        </w:trPr>
        <w:tc>
          <w:tcPr>
            <w:tcW w:w="908"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11CF5B"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173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4CBA03"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181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88EAC5"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154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A34DB2"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36" w:type="dxa"/>
            <w:vAlign w:val="center"/>
          </w:tcPr>
          <w:p w14:paraId="71E8A677" w14:textId="77777777" w:rsidR="00670FD4" w:rsidRDefault="00670FD4" w:rsidP="001925BA">
            <w:pPr>
              <w:spacing w:before="0" w:after="0" w:line="240" w:lineRule="auto"/>
              <w:rPr>
                <w:rFonts w:eastAsia="Times New Roman" w:cs="Times New Roman"/>
                <w:sz w:val="20"/>
                <w:szCs w:val="20"/>
              </w:rPr>
            </w:pPr>
          </w:p>
        </w:tc>
      </w:tr>
      <w:tr w:rsidR="00670FD4" w14:paraId="04741EF5" w14:textId="77777777" w:rsidTr="001925BA">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CBDD4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2015</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F3B451"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0,015</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597FFC"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0,0026</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8FCA6E"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0,0031</w:t>
            </w:r>
          </w:p>
        </w:tc>
        <w:tc>
          <w:tcPr>
            <w:tcW w:w="36" w:type="dxa"/>
            <w:vAlign w:val="center"/>
          </w:tcPr>
          <w:p w14:paraId="0E55964F" w14:textId="77777777" w:rsidR="00670FD4" w:rsidRDefault="00670FD4" w:rsidP="001925BA">
            <w:pPr>
              <w:spacing w:before="0" w:after="0" w:line="240" w:lineRule="auto"/>
              <w:rPr>
                <w:rFonts w:eastAsia="Times New Roman" w:cs="Times New Roman"/>
                <w:sz w:val="20"/>
                <w:szCs w:val="20"/>
              </w:rPr>
            </w:pPr>
          </w:p>
        </w:tc>
      </w:tr>
      <w:tr w:rsidR="00670FD4" w14:paraId="17644DB1" w14:textId="77777777" w:rsidTr="001925BA">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D450B4"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2016</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28EFF7"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0,014</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8ACA32"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0,0032</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7BB68F"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0,0041</w:t>
            </w:r>
          </w:p>
        </w:tc>
        <w:tc>
          <w:tcPr>
            <w:tcW w:w="36" w:type="dxa"/>
            <w:vAlign w:val="center"/>
          </w:tcPr>
          <w:p w14:paraId="16174FFD" w14:textId="77777777" w:rsidR="00670FD4" w:rsidRDefault="00670FD4" w:rsidP="001925BA">
            <w:pPr>
              <w:spacing w:before="0" w:after="0" w:line="240" w:lineRule="auto"/>
              <w:rPr>
                <w:rFonts w:eastAsia="Times New Roman" w:cs="Times New Roman"/>
                <w:sz w:val="20"/>
                <w:szCs w:val="20"/>
              </w:rPr>
            </w:pPr>
          </w:p>
        </w:tc>
      </w:tr>
      <w:tr w:rsidR="00670FD4" w14:paraId="51BF9C8E" w14:textId="77777777" w:rsidTr="001925BA">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053C4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2017</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E6DD8B"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0,013</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CDDE50"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0,0028</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D65B1C"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0,0007</w:t>
            </w:r>
          </w:p>
        </w:tc>
        <w:tc>
          <w:tcPr>
            <w:tcW w:w="36" w:type="dxa"/>
            <w:vAlign w:val="center"/>
          </w:tcPr>
          <w:p w14:paraId="367215EB" w14:textId="77777777" w:rsidR="00670FD4" w:rsidRDefault="00670FD4" w:rsidP="001925BA">
            <w:pPr>
              <w:spacing w:before="0" w:after="0" w:line="240" w:lineRule="auto"/>
              <w:rPr>
                <w:rFonts w:eastAsia="Times New Roman" w:cs="Times New Roman"/>
                <w:sz w:val="20"/>
                <w:szCs w:val="20"/>
              </w:rPr>
            </w:pPr>
          </w:p>
        </w:tc>
      </w:tr>
      <w:tr w:rsidR="00670FD4" w14:paraId="13F862F5" w14:textId="77777777" w:rsidTr="001925BA">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E5D8A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2018</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B5CCE0"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0,035</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815C0E"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0,0032</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B56524"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0,0018</w:t>
            </w:r>
          </w:p>
        </w:tc>
        <w:tc>
          <w:tcPr>
            <w:tcW w:w="36" w:type="dxa"/>
            <w:vAlign w:val="center"/>
          </w:tcPr>
          <w:p w14:paraId="6DF61108" w14:textId="77777777" w:rsidR="00670FD4" w:rsidRDefault="00670FD4" w:rsidP="001925BA">
            <w:pPr>
              <w:spacing w:before="0" w:after="0" w:line="240" w:lineRule="auto"/>
              <w:rPr>
                <w:rFonts w:eastAsia="Times New Roman" w:cs="Times New Roman"/>
                <w:sz w:val="20"/>
                <w:szCs w:val="20"/>
              </w:rPr>
            </w:pPr>
          </w:p>
        </w:tc>
      </w:tr>
      <w:tr w:rsidR="00670FD4" w14:paraId="3CA46C0E" w14:textId="77777777" w:rsidTr="001925BA">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F91F0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2019</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274694"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0,015</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CB4DBE"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0,0088</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7251CA"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0,0017</w:t>
            </w:r>
          </w:p>
        </w:tc>
        <w:tc>
          <w:tcPr>
            <w:tcW w:w="36" w:type="dxa"/>
            <w:vAlign w:val="center"/>
          </w:tcPr>
          <w:p w14:paraId="75B85BBE" w14:textId="77777777" w:rsidR="00670FD4" w:rsidRDefault="00670FD4" w:rsidP="001925BA">
            <w:pPr>
              <w:spacing w:before="0" w:after="0" w:line="240" w:lineRule="auto"/>
              <w:rPr>
                <w:rFonts w:eastAsia="Times New Roman" w:cs="Times New Roman"/>
                <w:sz w:val="20"/>
                <w:szCs w:val="20"/>
              </w:rPr>
            </w:pPr>
          </w:p>
        </w:tc>
      </w:tr>
      <w:tr w:rsidR="00670FD4" w14:paraId="46A17EBD" w14:textId="77777777" w:rsidTr="001925BA">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D21B7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2020</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73AD65"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0,014</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CFD263"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0,0034</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C6D983"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0,0025</w:t>
            </w:r>
          </w:p>
        </w:tc>
        <w:tc>
          <w:tcPr>
            <w:tcW w:w="36" w:type="dxa"/>
            <w:vAlign w:val="center"/>
          </w:tcPr>
          <w:p w14:paraId="57933D3F" w14:textId="77777777" w:rsidR="00670FD4" w:rsidRDefault="00670FD4" w:rsidP="001925BA">
            <w:pPr>
              <w:spacing w:before="0" w:after="0" w:line="240" w:lineRule="auto"/>
              <w:rPr>
                <w:rFonts w:eastAsia="Times New Roman" w:cs="Times New Roman"/>
                <w:sz w:val="20"/>
                <w:szCs w:val="20"/>
              </w:rPr>
            </w:pPr>
          </w:p>
        </w:tc>
      </w:tr>
      <w:tr w:rsidR="00670FD4" w14:paraId="442ACC1D" w14:textId="77777777" w:rsidTr="001925BA">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88053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2021</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3D89D7"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0,019</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DDDC0A"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0,0036</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4F4ACA"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0,0069</w:t>
            </w:r>
          </w:p>
        </w:tc>
        <w:tc>
          <w:tcPr>
            <w:tcW w:w="36" w:type="dxa"/>
            <w:vAlign w:val="center"/>
          </w:tcPr>
          <w:p w14:paraId="46F51B72" w14:textId="77777777" w:rsidR="00670FD4" w:rsidRDefault="00670FD4" w:rsidP="001925BA">
            <w:pPr>
              <w:spacing w:before="0" w:after="0" w:line="240" w:lineRule="auto"/>
              <w:rPr>
                <w:rFonts w:eastAsia="Times New Roman" w:cs="Times New Roman"/>
                <w:sz w:val="20"/>
                <w:szCs w:val="20"/>
              </w:rPr>
            </w:pPr>
          </w:p>
        </w:tc>
      </w:tr>
    </w:tbl>
    <w:p w14:paraId="38E55D5C" w14:textId="77777777" w:rsidR="00670FD4" w:rsidRDefault="00670FD4" w:rsidP="00670FD4"/>
    <w:p w14:paraId="523B70AE" w14:textId="77777777" w:rsidR="00670FD4" w:rsidRDefault="00670FD4" w:rsidP="00670FD4">
      <w:pPr>
        <w:spacing w:after="0"/>
        <w:jc w:val="center"/>
        <w:rPr>
          <w:rFonts w:eastAsia="Times New Roman" w:cs="Times New Roman"/>
        </w:rPr>
      </w:pPr>
      <w:bookmarkStart w:id="134" w:name="_heading=h.sqyw64" w:colFirst="0" w:colLast="0"/>
      <w:bookmarkEnd w:id="134"/>
      <w:r>
        <w:rPr>
          <w:rFonts w:eastAsia="Times New Roman" w:cs="Times New Roman"/>
          <w:b/>
          <w:color w:val="000000"/>
        </w:rPr>
        <w:t>Tabel 2.5.2.12 Emisii de compuși cu N și P (tone/an) din stația de epurare Mangalia (</w:t>
      </w:r>
      <w:r>
        <w:rPr>
          <w:rFonts w:eastAsia="Times New Roman" w:cs="Times New Roman"/>
          <w:b/>
          <w:i/>
          <w:color w:val="000000"/>
        </w:rPr>
        <w:t>sursa: Administrația Națională Apele Române, 2023)</w:t>
      </w:r>
    </w:p>
    <w:tbl>
      <w:tblPr>
        <w:tblW w:w="6039" w:type="dxa"/>
        <w:jc w:val="center"/>
        <w:tblLayout w:type="fixed"/>
        <w:tblLook w:val="0400" w:firstRow="0" w:lastRow="0" w:firstColumn="0" w:lastColumn="0" w:noHBand="0" w:noVBand="1"/>
      </w:tblPr>
      <w:tblGrid>
        <w:gridCol w:w="881"/>
        <w:gridCol w:w="1674"/>
        <w:gridCol w:w="1755"/>
        <w:gridCol w:w="1493"/>
        <w:gridCol w:w="236"/>
      </w:tblGrid>
      <w:tr w:rsidR="00670FD4" w14:paraId="69FBCEA9" w14:textId="77777777" w:rsidTr="001925BA">
        <w:trPr>
          <w:gridAfter w:val="1"/>
          <w:wAfter w:w="36" w:type="dxa"/>
          <w:trHeight w:val="557"/>
          <w:jc w:val="center"/>
        </w:trPr>
        <w:tc>
          <w:tcPr>
            <w:tcW w:w="908"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5EB06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lastRenderedPageBreak/>
              <w:t>An</w:t>
            </w:r>
          </w:p>
        </w:tc>
        <w:tc>
          <w:tcPr>
            <w:tcW w:w="173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A16C0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Azot total, tone/an </w:t>
            </w:r>
          </w:p>
        </w:tc>
        <w:tc>
          <w:tcPr>
            <w:tcW w:w="181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BA2CD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Fosfor total, tone/an</w:t>
            </w:r>
          </w:p>
        </w:tc>
        <w:tc>
          <w:tcPr>
            <w:tcW w:w="1545"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58492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Amoniu, tone/an</w:t>
            </w:r>
          </w:p>
        </w:tc>
      </w:tr>
      <w:tr w:rsidR="00670FD4" w14:paraId="5BB8FA27" w14:textId="77777777" w:rsidTr="001925BA">
        <w:trPr>
          <w:trHeight w:val="25"/>
          <w:jc w:val="center"/>
        </w:trPr>
        <w:tc>
          <w:tcPr>
            <w:tcW w:w="908"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3413A4"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173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E26A25"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181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0EF91D"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154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77A820"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36" w:type="dxa"/>
            <w:vAlign w:val="center"/>
          </w:tcPr>
          <w:p w14:paraId="33799E41" w14:textId="77777777" w:rsidR="00670FD4" w:rsidRDefault="00670FD4" w:rsidP="001925BA">
            <w:pPr>
              <w:spacing w:before="0" w:after="0" w:line="240" w:lineRule="auto"/>
              <w:rPr>
                <w:rFonts w:eastAsia="Times New Roman" w:cs="Times New Roman"/>
                <w:sz w:val="20"/>
                <w:szCs w:val="20"/>
              </w:rPr>
            </w:pPr>
          </w:p>
        </w:tc>
      </w:tr>
      <w:tr w:rsidR="00670FD4" w14:paraId="6487E1A5" w14:textId="77777777" w:rsidTr="001925BA">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61A28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2015</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A3FDC3"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0,089</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4B05F1"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0,0067</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2FE22B"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0,046</w:t>
            </w:r>
          </w:p>
        </w:tc>
        <w:tc>
          <w:tcPr>
            <w:tcW w:w="36" w:type="dxa"/>
            <w:vAlign w:val="center"/>
          </w:tcPr>
          <w:p w14:paraId="69044996" w14:textId="77777777" w:rsidR="00670FD4" w:rsidRDefault="00670FD4" w:rsidP="001925BA">
            <w:pPr>
              <w:spacing w:before="0" w:after="0" w:line="240" w:lineRule="auto"/>
              <w:rPr>
                <w:rFonts w:eastAsia="Times New Roman" w:cs="Times New Roman"/>
                <w:sz w:val="20"/>
                <w:szCs w:val="20"/>
              </w:rPr>
            </w:pPr>
          </w:p>
        </w:tc>
      </w:tr>
      <w:tr w:rsidR="00670FD4" w14:paraId="60DA626E" w14:textId="77777777" w:rsidTr="001925BA">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E8753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2016</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E4DB7A"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0,072</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C4A8C4"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0,0061</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8B520E"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0,035</w:t>
            </w:r>
          </w:p>
        </w:tc>
        <w:tc>
          <w:tcPr>
            <w:tcW w:w="36" w:type="dxa"/>
            <w:vAlign w:val="center"/>
          </w:tcPr>
          <w:p w14:paraId="63D79775" w14:textId="77777777" w:rsidR="00670FD4" w:rsidRDefault="00670FD4" w:rsidP="001925BA">
            <w:pPr>
              <w:spacing w:before="0" w:after="0" w:line="240" w:lineRule="auto"/>
              <w:rPr>
                <w:rFonts w:eastAsia="Times New Roman" w:cs="Times New Roman"/>
                <w:sz w:val="20"/>
                <w:szCs w:val="20"/>
              </w:rPr>
            </w:pPr>
          </w:p>
        </w:tc>
      </w:tr>
      <w:tr w:rsidR="00670FD4" w14:paraId="6ED2124B" w14:textId="77777777" w:rsidTr="001925BA">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FF0AA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2017</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476ED9"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0,058</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7442B0"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0,0078</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2F3B31"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0,043</w:t>
            </w:r>
          </w:p>
        </w:tc>
        <w:tc>
          <w:tcPr>
            <w:tcW w:w="36" w:type="dxa"/>
            <w:vAlign w:val="center"/>
          </w:tcPr>
          <w:p w14:paraId="53FEBE29" w14:textId="77777777" w:rsidR="00670FD4" w:rsidRDefault="00670FD4" w:rsidP="001925BA">
            <w:pPr>
              <w:spacing w:before="0" w:after="0" w:line="240" w:lineRule="auto"/>
              <w:rPr>
                <w:rFonts w:eastAsia="Times New Roman" w:cs="Times New Roman"/>
                <w:sz w:val="20"/>
                <w:szCs w:val="20"/>
              </w:rPr>
            </w:pPr>
          </w:p>
        </w:tc>
      </w:tr>
      <w:tr w:rsidR="00670FD4" w14:paraId="7426F1EE" w14:textId="77777777" w:rsidTr="001925BA">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14BA90"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2018</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45EEC5"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0,104</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E5C7D8"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0,0086</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307FDC"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0,089</w:t>
            </w:r>
          </w:p>
        </w:tc>
        <w:tc>
          <w:tcPr>
            <w:tcW w:w="36" w:type="dxa"/>
            <w:vAlign w:val="center"/>
          </w:tcPr>
          <w:p w14:paraId="58A60552" w14:textId="77777777" w:rsidR="00670FD4" w:rsidRDefault="00670FD4" w:rsidP="001925BA">
            <w:pPr>
              <w:spacing w:before="0" w:after="0" w:line="240" w:lineRule="auto"/>
              <w:rPr>
                <w:rFonts w:eastAsia="Times New Roman" w:cs="Times New Roman"/>
                <w:sz w:val="20"/>
                <w:szCs w:val="20"/>
              </w:rPr>
            </w:pPr>
          </w:p>
        </w:tc>
      </w:tr>
      <w:tr w:rsidR="00670FD4" w14:paraId="28EC38EE" w14:textId="77777777" w:rsidTr="001925BA">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1C1AD2"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2019</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3D985E"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0,0091</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0B4330"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0,0077</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1D57CA"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0,069</w:t>
            </w:r>
          </w:p>
        </w:tc>
        <w:tc>
          <w:tcPr>
            <w:tcW w:w="36" w:type="dxa"/>
            <w:vAlign w:val="center"/>
          </w:tcPr>
          <w:p w14:paraId="7FBDA191" w14:textId="77777777" w:rsidR="00670FD4" w:rsidRDefault="00670FD4" w:rsidP="001925BA">
            <w:pPr>
              <w:spacing w:before="0" w:after="0" w:line="240" w:lineRule="auto"/>
              <w:rPr>
                <w:rFonts w:eastAsia="Times New Roman" w:cs="Times New Roman"/>
                <w:sz w:val="20"/>
                <w:szCs w:val="20"/>
              </w:rPr>
            </w:pPr>
          </w:p>
        </w:tc>
      </w:tr>
      <w:tr w:rsidR="00670FD4" w14:paraId="5DFF7C53" w14:textId="77777777" w:rsidTr="001925BA">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50C2A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2020</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4933DF"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0,0059</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57E7B9"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0,0072</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618BD4"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0,015</w:t>
            </w:r>
          </w:p>
        </w:tc>
        <w:tc>
          <w:tcPr>
            <w:tcW w:w="36" w:type="dxa"/>
            <w:vAlign w:val="center"/>
          </w:tcPr>
          <w:p w14:paraId="513E4C3C" w14:textId="77777777" w:rsidR="00670FD4" w:rsidRDefault="00670FD4" w:rsidP="001925BA">
            <w:pPr>
              <w:spacing w:before="0" w:after="0" w:line="240" w:lineRule="auto"/>
              <w:rPr>
                <w:rFonts w:eastAsia="Times New Roman" w:cs="Times New Roman"/>
                <w:sz w:val="20"/>
                <w:szCs w:val="20"/>
              </w:rPr>
            </w:pPr>
          </w:p>
        </w:tc>
      </w:tr>
      <w:tr w:rsidR="00670FD4" w14:paraId="24CFD515" w14:textId="77777777" w:rsidTr="001925BA">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5176E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2021</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4AAA2C"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0,0065</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6F2D4E"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0,0066</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29E294" w14:textId="77777777" w:rsidR="00670FD4" w:rsidRDefault="00670FD4" w:rsidP="001925BA">
            <w:pPr>
              <w:spacing w:before="0" w:after="0" w:line="240" w:lineRule="auto"/>
              <w:rPr>
                <w:rFonts w:eastAsia="Times New Roman" w:cs="Times New Roman"/>
                <w:sz w:val="20"/>
                <w:szCs w:val="20"/>
              </w:rPr>
            </w:pPr>
            <w:r>
              <w:rPr>
                <w:rFonts w:eastAsia="Times New Roman" w:cs="Times New Roman"/>
                <w:color w:val="000000"/>
                <w:sz w:val="20"/>
                <w:szCs w:val="20"/>
              </w:rPr>
              <w:t>0,013</w:t>
            </w:r>
          </w:p>
        </w:tc>
        <w:tc>
          <w:tcPr>
            <w:tcW w:w="36" w:type="dxa"/>
            <w:vAlign w:val="center"/>
          </w:tcPr>
          <w:p w14:paraId="45E6080E" w14:textId="77777777" w:rsidR="00670FD4" w:rsidRDefault="00670FD4" w:rsidP="001925BA">
            <w:pPr>
              <w:spacing w:before="0" w:after="0" w:line="240" w:lineRule="auto"/>
              <w:rPr>
                <w:rFonts w:eastAsia="Times New Roman" w:cs="Times New Roman"/>
                <w:sz w:val="20"/>
                <w:szCs w:val="20"/>
              </w:rPr>
            </w:pPr>
          </w:p>
        </w:tc>
      </w:tr>
    </w:tbl>
    <w:p w14:paraId="542E51DB" w14:textId="77777777" w:rsidR="00670FD4" w:rsidRDefault="00670FD4" w:rsidP="00670FD4">
      <w:pPr>
        <w:spacing w:before="0"/>
      </w:pPr>
    </w:p>
    <w:p w14:paraId="1007267D" w14:textId="77777777" w:rsidR="00670FD4" w:rsidRDefault="00670FD4" w:rsidP="00670FD4">
      <w:pPr>
        <w:spacing w:before="0"/>
        <w:ind w:firstLine="567"/>
        <w:rPr>
          <w:rFonts w:eastAsia="Times New Roman" w:cs="Times New Roman"/>
        </w:rPr>
      </w:pPr>
      <w:r>
        <w:rPr>
          <w:rFonts w:eastAsia="Times New Roman" w:cs="Times New Roman"/>
          <w:color w:val="000000"/>
        </w:rPr>
        <w:t>Efectele directe ale introducerii de nutrienți șii materie organică în mediul marin includ dezvoltarea accelerată/intensă a fitoplanctonului în partea superioară a coloanei de apă determinând înfloriri algale, uneori toxice, reducerea clarității apei și a penetrării luminii; modificări ale structurii calitative a comunității fitoplanctonice cu consecințe asupra relațiilor trofice; dezvoltarea excesivă a macroalgelor perene în apele costiere puțin adânci. Efectele indirecte sunt distribuția redusă în adâncime a vegetației acvatice scufundate, modificări în structura și funcționarea comunităților de nevertebrate bentonice și epuizarea oxigenului. </w:t>
      </w:r>
    </w:p>
    <w:p w14:paraId="7D5C3A69" w14:textId="77777777" w:rsidR="00670FD4" w:rsidRDefault="00670FD4" w:rsidP="00670FD4">
      <w:pPr>
        <w:spacing w:before="0"/>
        <w:rPr>
          <w:rFonts w:eastAsia="Times New Roman" w:cs="Times New Roman"/>
          <w:u w:val="single"/>
        </w:rPr>
      </w:pPr>
      <w:r>
        <w:rPr>
          <w:rFonts w:eastAsia="Times New Roman" w:cs="Times New Roman"/>
          <w:color w:val="000000"/>
          <w:u w:val="single"/>
        </w:rPr>
        <w:t>Ape de suprafață (Dunăre, lacuri)</w:t>
      </w:r>
    </w:p>
    <w:p w14:paraId="5639C667" w14:textId="77777777" w:rsidR="00670FD4" w:rsidRDefault="00670FD4" w:rsidP="00670FD4">
      <w:pPr>
        <w:spacing w:before="0"/>
        <w:ind w:firstLine="567"/>
        <w:rPr>
          <w:rFonts w:eastAsia="Times New Roman" w:cs="Times New Roman"/>
        </w:rPr>
      </w:pPr>
      <w:r>
        <w:rPr>
          <w:rFonts w:eastAsia="Times New Roman" w:cs="Times New Roman"/>
          <w:color w:val="000000"/>
        </w:rPr>
        <w:t xml:space="preserve">Cea mai importantă sursă de introducere a materiei organice și compușilor cu N și P în partea de nord a zonei costiere, aferentă Deltei Dunării, o constituie însuși fluviul Dunărea. Dintre sursele locale, este de menționat agricultura, creșterea animalelor și, într-o oarecare măsură, acvacultura. </w:t>
      </w:r>
    </w:p>
    <w:p w14:paraId="017D4BCB" w14:textId="77777777" w:rsidR="00670FD4" w:rsidRDefault="00670FD4" w:rsidP="00670FD4">
      <w:pPr>
        <w:spacing w:before="0"/>
        <w:ind w:firstLine="567"/>
        <w:rPr>
          <w:rFonts w:eastAsia="Times New Roman" w:cs="Times New Roman"/>
        </w:rPr>
      </w:pPr>
      <w:r>
        <w:rPr>
          <w:rFonts w:eastAsia="Times New Roman" w:cs="Times New Roman"/>
          <w:color w:val="000000"/>
        </w:rPr>
        <w:t>Alte surse de poluare sunt reprezentate de stațiile de epurare care tratează doar parțial apele uzate (tratament primar și secundar), precum și lipsa colectării și epurării apelor menajere în unele localități rurale. Emisiile de poluanți din stațiile de epurare urbane Sulina și Jurilovca sunt redate în Tabelul 2.5.2.13.</w:t>
      </w:r>
    </w:p>
    <w:p w14:paraId="3ED14D37" w14:textId="77777777" w:rsidR="00670FD4" w:rsidRDefault="00670FD4" w:rsidP="00670FD4">
      <w:pPr>
        <w:ind w:firstLine="567"/>
        <w:rPr>
          <w:rFonts w:eastAsia="Times New Roman" w:cs="Times New Roman"/>
        </w:rPr>
      </w:pPr>
    </w:p>
    <w:p w14:paraId="7E8BFFBC" w14:textId="77777777" w:rsidR="00670FD4" w:rsidRDefault="00670FD4" w:rsidP="00670FD4">
      <w:pPr>
        <w:spacing w:after="0"/>
        <w:jc w:val="center"/>
        <w:rPr>
          <w:rFonts w:eastAsia="Times New Roman" w:cs="Times New Roman"/>
        </w:rPr>
      </w:pPr>
      <w:bookmarkStart w:id="135" w:name="_heading=h.3cqmetx" w:colFirst="0" w:colLast="0"/>
      <w:bookmarkEnd w:id="135"/>
      <w:r>
        <w:rPr>
          <w:rFonts w:eastAsia="Times New Roman" w:cs="Times New Roman"/>
          <w:b/>
          <w:color w:val="000000"/>
        </w:rPr>
        <w:t>Tabel 2.5.2.13 Emisii de compuși cu N și P (tone/an) din stația de epurare Sulina și Jurilovca (</w:t>
      </w:r>
      <w:r>
        <w:rPr>
          <w:rFonts w:eastAsia="Times New Roman" w:cs="Times New Roman"/>
          <w:b/>
          <w:i/>
          <w:color w:val="000000"/>
        </w:rPr>
        <w:t>sursa: Administrația Națională Apele Române</w:t>
      </w:r>
      <w:r>
        <w:rPr>
          <w:rFonts w:eastAsia="Times New Roman" w:cs="Times New Roman"/>
          <w:b/>
          <w:color w:val="000000"/>
        </w:rPr>
        <w:t xml:space="preserve">) </w:t>
      </w:r>
    </w:p>
    <w:tbl>
      <w:tblPr>
        <w:tblW w:w="6722" w:type="dxa"/>
        <w:jc w:val="center"/>
        <w:tblLayout w:type="fixed"/>
        <w:tblLook w:val="0400" w:firstRow="0" w:lastRow="0" w:firstColumn="0" w:lastColumn="0" w:noHBand="0" w:noVBand="1"/>
      </w:tblPr>
      <w:tblGrid>
        <w:gridCol w:w="683"/>
        <w:gridCol w:w="1241"/>
        <w:gridCol w:w="1514"/>
        <w:gridCol w:w="1565"/>
        <w:gridCol w:w="1483"/>
        <w:gridCol w:w="236"/>
      </w:tblGrid>
      <w:tr w:rsidR="00670FD4" w14:paraId="1788FD98" w14:textId="77777777" w:rsidTr="001925BA">
        <w:trPr>
          <w:gridAfter w:val="1"/>
          <w:wAfter w:w="50" w:type="dxa"/>
          <w:trHeight w:val="557"/>
          <w:jc w:val="center"/>
        </w:trPr>
        <w:tc>
          <w:tcPr>
            <w:tcW w:w="699"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DEC2E9" w14:textId="77777777" w:rsidR="00670FD4" w:rsidRDefault="00670FD4" w:rsidP="001925BA">
            <w:pPr>
              <w:spacing w:before="0" w:after="0" w:line="240" w:lineRule="auto"/>
              <w:ind w:firstLine="35"/>
              <w:rPr>
                <w:rFonts w:eastAsia="Times New Roman" w:cs="Times New Roman"/>
                <w:sz w:val="20"/>
                <w:szCs w:val="20"/>
              </w:rPr>
            </w:pPr>
            <w:r>
              <w:rPr>
                <w:rFonts w:eastAsia="Times New Roman" w:cs="Times New Roman"/>
                <w:color w:val="000000"/>
                <w:sz w:val="20"/>
                <w:szCs w:val="20"/>
              </w:rPr>
              <w:t>An</w:t>
            </w:r>
          </w:p>
        </w:tc>
        <w:tc>
          <w:tcPr>
            <w:tcW w:w="1276"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E848FA" w14:textId="77777777" w:rsidR="00670FD4" w:rsidRDefault="00670FD4" w:rsidP="001925BA">
            <w:pPr>
              <w:spacing w:before="0" w:after="0" w:line="240" w:lineRule="auto"/>
              <w:ind w:firstLine="35"/>
              <w:jc w:val="center"/>
              <w:rPr>
                <w:rFonts w:eastAsia="Times New Roman" w:cs="Times New Roman"/>
                <w:sz w:val="20"/>
                <w:szCs w:val="20"/>
              </w:rPr>
            </w:pPr>
            <w:r>
              <w:rPr>
                <w:rFonts w:eastAsia="Times New Roman" w:cs="Times New Roman"/>
                <w:color w:val="000000"/>
                <w:sz w:val="20"/>
                <w:szCs w:val="20"/>
              </w:rPr>
              <w:t>Stația</w:t>
            </w:r>
          </w:p>
        </w:tc>
        <w:tc>
          <w:tcPr>
            <w:tcW w:w="1559"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445A9C" w14:textId="77777777" w:rsidR="00670FD4" w:rsidRDefault="00670FD4" w:rsidP="001925BA">
            <w:pPr>
              <w:spacing w:before="0" w:after="0" w:line="240" w:lineRule="auto"/>
              <w:ind w:firstLine="35"/>
              <w:jc w:val="center"/>
              <w:rPr>
                <w:rFonts w:eastAsia="Times New Roman" w:cs="Times New Roman"/>
                <w:sz w:val="20"/>
                <w:szCs w:val="20"/>
              </w:rPr>
            </w:pPr>
            <w:r>
              <w:rPr>
                <w:rFonts w:eastAsia="Times New Roman" w:cs="Times New Roman"/>
                <w:color w:val="000000"/>
                <w:sz w:val="20"/>
                <w:szCs w:val="20"/>
              </w:rPr>
              <w:t>Azot total tone/an</w:t>
            </w:r>
          </w:p>
        </w:tc>
        <w:tc>
          <w:tcPr>
            <w:tcW w:w="1611"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5510EC" w14:textId="77777777" w:rsidR="00670FD4" w:rsidRDefault="00670FD4" w:rsidP="001925BA">
            <w:pPr>
              <w:spacing w:before="0" w:after="0" w:line="240" w:lineRule="auto"/>
              <w:ind w:firstLine="35"/>
              <w:jc w:val="center"/>
              <w:rPr>
                <w:rFonts w:eastAsia="Times New Roman" w:cs="Times New Roman"/>
                <w:sz w:val="20"/>
                <w:szCs w:val="20"/>
              </w:rPr>
            </w:pPr>
            <w:r>
              <w:rPr>
                <w:rFonts w:eastAsia="Times New Roman" w:cs="Times New Roman"/>
                <w:color w:val="000000"/>
                <w:sz w:val="20"/>
                <w:szCs w:val="20"/>
              </w:rPr>
              <w:t>Fosfor total tone/an</w:t>
            </w:r>
          </w:p>
        </w:tc>
        <w:tc>
          <w:tcPr>
            <w:tcW w:w="152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773069" w14:textId="77777777" w:rsidR="00670FD4" w:rsidRDefault="00670FD4" w:rsidP="001925BA">
            <w:pPr>
              <w:spacing w:before="0" w:after="0" w:line="240" w:lineRule="auto"/>
              <w:ind w:firstLine="35"/>
              <w:jc w:val="center"/>
              <w:rPr>
                <w:rFonts w:eastAsia="Times New Roman" w:cs="Times New Roman"/>
                <w:sz w:val="20"/>
                <w:szCs w:val="20"/>
              </w:rPr>
            </w:pPr>
            <w:r>
              <w:rPr>
                <w:rFonts w:eastAsia="Times New Roman" w:cs="Times New Roman"/>
                <w:color w:val="000000"/>
                <w:sz w:val="20"/>
                <w:szCs w:val="20"/>
              </w:rPr>
              <w:t>Amoniu tone/an</w:t>
            </w:r>
          </w:p>
        </w:tc>
      </w:tr>
      <w:tr w:rsidR="00670FD4" w14:paraId="1ACE7EEF" w14:textId="77777777" w:rsidTr="001925BA">
        <w:trPr>
          <w:trHeight w:val="20"/>
          <w:jc w:val="center"/>
        </w:trPr>
        <w:tc>
          <w:tcPr>
            <w:tcW w:w="699"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7574B3"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1276"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0AF7FB" w14:textId="77777777" w:rsidR="00670FD4" w:rsidRDefault="00670FD4" w:rsidP="001925BA">
            <w:pPr>
              <w:widowControl w:val="0"/>
              <w:pBdr>
                <w:top w:val="nil"/>
                <w:left w:val="nil"/>
                <w:bottom w:val="nil"/>
                <w:right w:val="nil"/>
                <w:between w:val="nil"/>
              </w:pBdr>
              <w:spacing w:before="0" w:after="0"/>
              <w:ind w:firstLine="35"/>
              <w:rPr>
                <w:rFonts w:eastAsia="Times New Roman" w:cs="Times New Roman"/>
                <w:sz w:val="20"/>
                <w:szCs w:val="20"/>
              </w:rPr>
            </w:pPr>
          </w:p>
        </w:tc>
        <w:tc>
          <w:tcPr>
            <w:tcW w:w="1559"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D822E4" w14:textId="77777777" w:rsidR="00670FD4" w:rsidRDefault="00670FD4" w:rsidP="001925BA">
            <w:pPr>
              <w:widowControl w:val="0"/>
              <w:pBdr>
                <w:top w:val="nil"/>
                <w:left w:val="nil"/>
                <w:bottom w:val="nil"/>
                <w:right w:val="nil"/>
                <w:between w:val="nil"/>
              </w:pBdr>
              <w:spacing w:before="0" w:after="0"/>
              <w:ind w:firstLine="35"/>
              <w:rPr>
                <w:rFonts w:eastAsia="Times New Roman" w:cs="Times New Roman"/>
                <w:sz w:val="20"/>
                <w:szCs w:val="20"/>
              </w:rPr>
            </w:pPr>
          </w:p>
        </w:tc>
        <w:tc>
          <w:tcPr>
            <w:tcW w:w="1611"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BF3BF9" w14:textId="77777777" w:rsidR="00670FD4" w:rsidRDefault="00670FD4" w:rsidP="001925BA">
            <w:pPr>
              <w:widowControl w:val="0"/>
              <w:pBdr>
                <w:top w:val="nil"/>
                <w:left w:val="nil"/>
                <w:bottom w:val="nil"/>
                <w:right w:val="nil"/>
                <w:between w:val="nil"/>
              </w:pBdr>
              <w:spacing w:before="0" w:after="0"/>
              <w:ind w:firstLine="35"/>
              <w:rPr>
                <w:rFonts w:eastAsia="Times New Roman" w:cs="Times New Roman"/>
                <w:sz w:val="20"/>
                <w:szCs w:val="20"/>
              </w:rPr>
            </w:pPr>
          </w:p>
        </w:tc>
        <w:tc>
          <w:tcPr>
            <w:tcW w:w="152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6CB3AC" w14:textId="77777777" w:rsidR="00670FD4" w:rsidRDefault="00670FD4" w:rsidP="001925BA">
            <w:pPr>
              <w:widowControl w:val="0"/>
              <w:pBdr>
                <w:top w:val="nil"/>
                <w:left w:val="nil"/>
                <w:bottom w:val="nil"/>
                <w:right w:val="nil"/>
                <w:between w:val="nil"/>
              </w:pBdr>
              <w:spacing w:before="0" w:after="0"/>
              <w:ind w:firstLine="35"/>
              <w:rPr>
                <w:rFonts w:eastAsia="Times New Roman" w:cs="Times New Roman"/>
                <w:sz w:val="20"/>
                <w:szCs w:val="20"/>
              </w:rPr>
            </w:pPr>
          </w:p>
        </w:tc>
        <w:tc>
          <w:tcPr>
            <w:tcW w:w="50" w:type="dxa"/>
            <w:vAlign w:val="center"/>
          </w:tcPr>
          <w:p w14:paraId="63359CD5" w14:textId="77777777" w:rsidR="00670FD4" w:rsidRDefault="00670FD4" w:rsidP="001925BA">
            <w:pPr>
              <w:spacing w:before="0" w:after="0" w:line="240" w:lineRule="auto"/>
              <w:rPr>
                <w:rFonts w:eastAsia="Times New Roman" w:cs="Times New Roman"/>
                <w:sz w:val="20"/>
                <w:szCs w:val="20"/>
              </w:rPr>
            </w:pPr>
          </w:p>
        </w:tc>
      </w:tr>
      <w:tr w:rsidR="00670FD4" w14:paraId="5A912FB5" w14:textId="77777777" w:rsidTr="001925BA">
        <w:trPr>
          <w:trHeight w:val="300"/>
          <w:jc w:val="center"/>
        </w:trPr>
        <w:tc>
          <w:tcPr>
            <w:tcW w:w="699"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E84B58"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2018</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9F7BD6" w14:textId="77777777" w:rsidR="00670FD4" w:rsidRDefault="00670FD4" w:rsidP="001925BA">
            <w:pPr>
              <w:spacing w:before="0" w:after="0" w:line="240" w:lineRule="auto"/>
              <w:ind w:firstLine="35"/>
              <w:rPr>
                <w:rFonts w:eastAsia="Times New Roman" w:cs="Times New Roman"/>
                <w:sz w:val="20"/>
                <w:szCs w:val="20"/>
              </w:rPr>
            </w:pPr>
            <w:r>
              <w:rPr>
                <w:rFonts w:eastAsia="Times New Roman" w:cs="Times New Roman"/>
                <w:color w:val="000000"/>
                <w:sz w:val="20"/>
                <w:szCs w:val="20"/>
              </w:rPr>
              <w:t>Sulina</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5E86CC" w14:textId="77777777" w:rsidR="00670FD4" w:rsidRDefault="00670FD4" w:rsidP="001925BA">
            <w:pPr>
              <w:spacing w:before="0" w:after="0" w:line="240" w:lineRule="auto"/>
              <w:ind w:firstLine="35"/>
              <w:rPr>
                <w:rFonts w:eastAsia="Times New Roman" w:cs="Times New Roman"/>
                <w:sz w:val="20"/>
                <w:szCs w:val="20"/>
              </w:rPr>
            </w:pPr>
          </w:p>
        </w:tc>
        <w:tc>
          <w:tcPr>
            <w:tcW w:w="16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6639F1" w14:textId="77777777" w:rsidR="00670FD4" w:rsidRDefault="00670FD4" w:rsidP="001925BA">
            <w:pPr>
              <w:spacing w:before="0" w:after="0" w:line="240" w:lineRule="auto"/>
              <w:ind w:firstLine="35"/>
              <w:rPr>
                <w:rFonts w:eastAsia="Times New Roman" w:cs="Times New Roman"/>
                <w:sz w:val="20"/>
                <w:szCs w:val="20"/>
              </w:rPr>
            </w:pPr>
          </w:p>
        </w:tc>
        <w:tc>
          <w:tcPr>
            <w:tcW w:w="15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C9B9E1" w14:textId="77777777" w:rsidR="00670FD4" w:rsidRDefault="00670FD4" w:rsidP="001925BA">
            <w:pPr>
              <w:spacing w:before="0" w:after="0" w:line="240" w:lineRule="auto"/>
              <w:ind w:firstLine="35"/>
              <w:rPr>
                <w:rFonts w:eastAsia="Times New Roman" w:cs="Times New Roman"/>
                <w:sz w:val="20"/>
                <w:szCs w:val="20"/>
              </w:rPr>
            </w:pPr>
            <w:r>
              <w:rPr>
                <w:rFonts w:eastAsia="Times New Roman" w:cs="Times New Roman"/>
                <w:color w:val="000000"/>
                <w:sz w:val="20"/>
                <w:szCs w:val="20"/>
              </w:rPr>
              <w:t>0,0004</w:t>
            </w:r>
          </w:p>
        </w:tc>
        <w:tc>
          <w:tcPr>
            <w:tcW w:w="50" w:type="dxa"/>
            <w:vAlign w:val="center"/>
          </w:tcPr>
          <w:p w14:paraId="73ECB2B8" w14:textId="77777777" w:rsidR="00670FD4" w:rsidRDefault="00670FD4" w:rsidP="001925BA">
            <w:pPr>
              <w:spacing w:before="0" w:after="0" w:line="240" w:lineRule="auto"/>
              <w:rPr>
                <w:rFonts w:eastAsia="Times New Roman" w:cs="Times New Roman"/>
                <w:sz w:val="20"/>
                <w:szCs w:val="20"/>
              </w:rPr>
            </w:pPr>
          </w:p>
        </w:tc>
      </w:tr>
      <w:tr w:rsidR="00670FD4" w14:paraId="55DF673B" w14:textId="77777777" w:rsidTr="001925BA">
        <w:trPr>
          <w:trHeight w:val="255"/>
          <w:jc w:val="center"/>
        </w:trPr>
        <w:tc>
          <w:tcPr>
            <w:tcW w:w="699"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E01E21"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F096A1" w14:textId="77777777" w:rsidR="00670FD4" w:rsidRDefault="00670FD4" w:rsidP="001925BA">
            <w:pPr>
              <w:spacing w:before="0" w:after="0" w:line="240" w:lineRule="auto"/>
              <w:ind w:firstLine="35"/>
              <w:rPr>
                <w:rFonts w:eastAsia="Times New Roman" w:cs="Times New Roman"/>
                <w:sz w:val="20"/>
                <w:szCs w:val="20"/>
              </w:rPr>
            </w:pPr>
            <w:r>
              <w:rPr>
                <w:rFonts w:eastAsia="Times New Roman" w:cs="Times New Roman"/>
                <w:color w:val="000000"/>
                <w:sz w:val="20"/>
                <w:szCs w:val="20"/>
              </w:rPr>
              <w:t>Jurilovca</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CF72A3" w14:textId="77777777" w:rsidR="00670FD4" w:rsidRDefault="00670FD4" w:rsidP="001925BA">
            <w:pPr>
              <w:spacing w:before="0" w:after="0" w:line="240" w:lineRule="auto"/>
              <w:ind w:firstLine="35"/>
              <w:rPr>
                <w:rFonts w:eastAsia="Times New Roman" w:cs="Times New Roman"/>
                <w:sz w:val="20"/>
                <w:szCs w:val="20"/>
              </w:rPr>
            </w:pPr>
          </w:p>
        </w:tc>
        <w:tc>
          <w:tcPr>
            <w:tcW w:w="16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6D8A04" w14:textId="77777777" w:rsidR="00670FD4" w:rsidRDefault="00670FD4" w:rsidP="001925BA">
            <w:pPr>
              <w:spacing w:before="0" w:after="0" w:line="240" w:lineRule="auto"/>
              <w:ind w:firstLine="35"/>
              <w:rPr>
                <w:rFonts w:eastAsia="Times New Roman" w:cs="Times New Roman"/>
                <w:sz w:val="20"/>
                <w:szCs w:val="20"/>
              </w:rPr>
            </w:pPr>
          </w:p>
        </w:tc>
        <w:tc>
          <w:tcPr>
            <w:tcW w:w="15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549B24" w14:textId="77777777" w:rsidR="00670FD4" w:rsidRDefault="00670FD4" w:rsidP="001925BA">
            <w:pPr>
              <w:spacing w:before="0" w:after="0" w:line="240" w:lineRule="auto"/>
              <w:ind w:firstLine="35"/>
              <w:rPr>
                <w:rFonts w:eastAsia="Times New Roman" w:cs="Times New Roman"/>
                <w:sz w:val="20"/>
                <w:szCs w:val="20"/>
              </w:rPr>
            </w:pPr>
          </w:p>
        </w:tc>
        <w:tc>
          <w:tcPr>
            <w:tcW w:w="50" w:type="dxa"/>
            <w:vAlign w:val="center"/>
          </w:tcPr>
          <w:p w14:paraId="00D065D6" w14:textId="77777777" w:rsidR="00670FD4" w:rsidRDefault="00670FD4" w:rsidP="001925BA">
            <w:pPr>
              <w:spacing w:before="0" w:after="0" w:line="240" w:lineRule="auto"/>
              <w:rPr>
                <w:rFonts w:eastAsia="Times New Roman" w:cs="Times New Roman"/>
                <w:sz w:val="20"/>
                <w:szCs w:val="20"/>
              </w:rPr>
            </w:pPr>
          </w:p>
        </w:tc>
      </w:tr>
      <w:tr w:rsidR="00670FD4" w14:paraId="1CE0D1CF" w14:textId="77777777" w:rsidTr="001925BA">
        <w:trPr>
          <w:trHeight w:val="300"/>
          <w:jc w:val="center"/>
        </w:trPr>
        <w:tc>
          <w:tcPr>
            <w:tcW w:w="699"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882DE1"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lastRenderedPageBreak/>
              <w:t>2019</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55082C" w14:textId="77777777" w:rsidR="00670FD4" w:rsidRDefault="00670FD4" w:rsidP="001925BA">
            <w:pPr>
              <w:spacing w:before="0" w:after="0" w:line="240" w:lineRule="auto"/>
              <w:ind w:firstLine="35"/>
              <w:rPr>
                <w:rFonts w:eastAsia="Times New Roman" w:cs="Times New Roman"/>
                <w:sz w:val="20"/>
                <w:szCs w:val="20"/>
              </w:rPr>
            </w:pPr>
            <w:r>
              <w:rPr>
                <w:rFonts w:eastAsia="Times New Roman" w:cs="Times New Roman"/>
                <w:color w:val="000000"/>
                <w:sz w:val="20"/>
                <w:szCs w:val="20"/>
              </w:rPr>
              <w:t>Sulina</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276E82" w14:textId="77777777" w:rsidR="00670FD4" w:rsidRDefault="00670FD4" w:rsidP="001925BA">
            <w:pPr>
              <w:spacing w:before="0" w:after="0" w:line="240" w:lineRule="auto"/>
              <w:ind w:firstLine="35"/>
              <w:rPr>
                <w:rFonts w:eastAsia="Times New Roman" w:cs="Times New Roman"/>
                <w:sz w:val="20"/>
                <w:szCs w:val="20"/>
              </w:rPr>
            </w:pPr>
          </w:p>
        </w:tc>
        <w:tc>
          <w:tcPr>
            <w:tcW w:w="16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C721A2" w14:textId="77777777" w:rsidR="00670FD4" w:rsidRDefault="00670FD4" w:rsidP="001925BA">
            <w:pPr>
              <w:spacing w:before="0" w:after="0" w:line="240" w:lineRule="auto"/>
              <w:ind w:firstLine="35"/>
              <w:rPr>
                <w:rFonts w:eastAsia="Times New Roman" w:cs="Times New Roman"/>
                <w:sz w:val="20"/>
                <w:szCs w:val="20"/>
              </w:rPr>
            </w:pPr>
          </w:p>
        </w:tc>
        <w:tc>
          <w:tcPr>
            <w:tcW w:w="15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62045D" w14:textId="77777777" w:rsidR="00670FD4" w:rsidRDefault="00670FD4" w:rsidP="001925BA">
            <w:pPr>
              <w:spacing w:before="0" w:after="0" w:line="240" w:lineRule="auto"/>
              <w:ind w:firstLine="35"/>
              <w:rPr>
                <w:rFonts w:eastAsia="Times New Roman" w:cs="Times New Roman"/>
                <w:sz w:val="20"/>
                <w:szCs w:val="20"/>
              </w:rPr>
            </w:pPr>
            <w:r>
              <w:rPr>
                <w:rFonts w:eastAsia="Times New Roman" w:cs="Times New Roman"/>
                <w:color w:val="000000"/>
                <w:sz w:val="20"/>
                <w:szCs w:val="20"/>
              </w:rPr>
              <w:t>0,0012</w:t>
            </w:r>
          </w:p>
        </w:tc>
        <w:tc>
          <w:tcPr>
            <w:tcW w:w="50" w:type="dxa"/>
            <w:vAlign w:val="center"/>
          </w:tcPr>
          <w:p w14:paraId="7E4E4CAF" w14:textId="77777777" w:rsidR="00670FD4" w:rsidRDefault="00670FD4" w:rsidP="001925BA">
            <w:pPr>
              <w:spacing w:before="0" w:after="0" w:line="240" w:lineRule="auto"/>
              <w:rPr>
                <w:rFonts w:eastAsia="Times New Roman" w:cs="Times New Roman"/>
                <w:sz w:val="20"/>
                <w:szCs w:val="20"/>
              </w:rPr>
            </w:pPr>
          </w:p>
        </w:tc>
      </w:tr>
      <w:tr w:rsidR="00670FD4" w14:paraId="560681DA" w14:textId="77777777" w:rsidTr="001925BA">
        <w:trPr>
          <w:trHeight w:val="420"/>
          <w:jc w:val="center"/>
        </w:trPr>
        <w:tc>
          <w:tcPr>
            <w:tcW w:w="699"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DDABF7"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1B24A9" w14:textId="77777777" w:rsidR="00670FD4" w:rsidRDefault="00670FD4" w:rsidP="001925BA">
            <w:pPr>
              <w:spacing w:before="0" w:after="0" w:line="240" w:lineRule="auto"/>
              <w:ind w:firstLine="35"/>
              <w:rPr>
                <w:rFonts w:eastAsia="Times New Roman" w:cs="Times New Roman"/>
                <w:sz w:val="20"/>
                <w:szCs w:val="20"/>
              </w:rPr>
            </w:pPr>
            <w:r>
              <w:rPr>
                <w:rFonts w:eastAsia="Times New Roman" w:cs="Times New Roman"/>
                <w:color w:val="000000"/>
                <w:sz w:val="20"/>
                <w:szCs w:val="20"/>
              </w:rPr>
              <w:t>Jurilovca</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5A19AC" w14:textId="77777777" w:rsidR="00670FD4" w:rsidRDefault="00670FD4" w:rsidP="001925BA">
            <w:pPr>
              <w:spacing w:before="0" w:after="0" w:line="240" w:lineRule="auto"/>
              <w:ind w:firstLine="35"/>
              <w:rPr>
                <w:rFonts w:eastAsia="Times New Roman" w:cs="Times New Roman"/>
                <w:sz w:val="20"/>
                <w:szCs w:val="20"/>
              </w:rPr>
            </w:pPr>
            <w:r>
              <w:rPr>
                <w:rFonts w:eastAsia="Times New Roman" w:cs="Times New Roman"/>
                <w:color w:val="000000"/>
                <w:sz w:val="20"/>
                <w:szCs w:val="20"/>
              </w:rPr>
              <w:t>0,0026</w:t>
            </w:r>
          </w:p>
        </w:tc>
        <w:tc>
          <w:tcPr>
            <w:tcW w:w="16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97B0C1" w14:textId="77777777" w:rsidR="00670FD4" w:rsidRDefault="00670FD4" w:rsidP="001925BA">
            <w:pPr>
              <w:spacing w:before="0" w:after="0" w:line="240" w:lineRule="auto"/>
              <w:ind w:firstLine="35"/>
              <w:rPr>
                <w:rFonts w:eastAsia="Times New Roman" w:cs="Times New Roman"/>
                <w:sz w:val="20"/>
                <w:szCs w:val="20"/>
              </w:rPr>
            </w:pPr>
            <w:r>
              <w:rPr>
                <w:rFonts w:eastAsia="Times New Roman" w:cs="Times New Roman"/>
                <w:color w:val="000000"/>
                <w:sz w:val="20"/>
                <w:szCs w:val="20"/>
              </w:rPr>
              <w:t>0,0002</w:t>
            </w:r>
          </w:p>
        </w:tc>
        <w:tc>
          <w:tcPr>
            <w:tcW w:w="15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64AAB6" w14:textId="77777777" w:rsidR="00670FD4" w:rsidRDefault="00670FD4" w:rsidP="001925BA">
            <w:pPr>
              <w:spacing w:before="0" w:after="0" w:line="240" w:lineRule="auto"/>
              <w:ind w:firstLine="35"/>
              <w:rPr>
                <w:rFonts w:eastAsia="Times New Roman" w:cs="Times New Roman"/>
                <w:sz w:val="20"/>
                <w:szCs w:val="20"/>
              </w:rPr>
            </w:pPr>
            <w:r>
              <w:rPr>
                <w:rFonts w:eastAsia="Times New Roman" w:cs="Times New Roman"/>
                <w:color w:val="000000"/>
                <w:sz w:val="20"/>
                <w:szCs w:val="20"/>
              </w:rPr>
              <w:t>0,0018</w:t>
            </w:r>
          </w:p>
        </w:tc>
        <w:tc>
          <w:tcPr>
            <w:tcW w:w="50" w:type="dxa"/>
            <w:vAlign w:val="center"/>
          </w:tcPr>
          <w:p w14:paraId="6BF5F6B6" w14:textId="77777777" w:rsidR="00670FD4" w:rsidRDefault="00670FD4" w:rsidP="001925BA">
            <w:pPr>
              <w:spacing w:before="0" w:after="0" w:line="240" w:lineRule="auto"/>
              <w:rPr>
                <w:rFonts w:eastAsia="Times New Roman" w:cs="Times New Roman"/>
                <w:sz w:val="20"/>
                <w:szCs w:val="20"/>
              </w:rPr>
            </w:pPr>
          </w:p>
        </w:tc>
      </w:tr>
      <w:tr w:rsidR="00670FD4" w14:paraId="5B1AFDA8" w14:textId="77777777" w:rsidTr="001925BA">
        <w:trPr>
          <w:trHeight w:val="306"/>
          <w:jc w:val="center"/>
        </w:trPr>
        <w:tc>
          <w:tcPr>
            <w:tcW w:w="699"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B06B0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2020</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06B56C" w14:textId="77777777" w:rsidR="00670FD4" w:rsidRDefault="00670FD4" w:rsidP="001925BA">
            <w:pPr>
              <w:spacing w:before="0" w:after="0" w:line="240" w:lineRule="auto"/>
              <w:ind w:firstLine="35"/>
              <w:rPr>
                <w:rFonts w:eastAsia="Times New Roman" w:cs="Times New Roman"/>
                <w:sz w:val="20"/>
                <w:szCs w:val="20"/>
              </w:rPr>
            </w:pPr>
            <w:r>
              <w:rPr>
                <w:rFonts w:eastAsia="Times New Roman" w:cs="Times New Roman"/>
                <w:color w:val="000000"/>
                <w:sz w:val="20"/>
                <w:szCs w:val="20"/>
              </w:rPr>
              <w:t>Sulina</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6ACDD1" w14:textId="77777777" w:rsidR="00670FD4" w:rsidRDefault="00670FD4" w:rsidP="001925BA">
            <w:pPr>
              <w:spacing w:before="0" w:after="0" w:line="240" w:lineRule="auto"/>
              <w:ind w:firstLine="35"/>
              <w:rPr>
                <w:rFonts w:eastAsia="Times New Roman" w:cs="Times New Roman"/>
                <w:sz w:val="20"/>
                <w:szCs w:val="20"/>
              </w:rPr>
            </w:pPr>
          </w:p>
        </w:tc>
        <w:tc>
          <w:tcPr>
            <w:tcW w:w="16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66C61D" w14:textId="77777777" w:rsidR="00670FD4" w:rsidRDefault="00670FD4" w:rsidP="001925BA">
            <w:pPr>
              <w:spacing w:before="0" w:after="0" w:line="240" w:lineRule="auto"/>
              <w:ind w:firstLine="35"/>
              <w:rPr>
                <w:rFonts w:eastAsia="Times New Roman" w:cs="Times New Roman"/>
                <w:sz w:val="20"/>
                <w:szCs w:val="20"/>
              </w:rPr>
            </w:pPr>
          </w:p>
        </w:tc>
        <w:tc>
          <w:tcPr>
            <w:tcW w:w="15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CAEB53" w14:textId="77777777" w:rsidR="00670FD4" w:rsidRDefault="00670FD4" w:rsidP="001925BA">
            <w:pPr>
              <w:spacing w:before="0" w:after="0" w:line="240" w:lineRule="auto"/>
              <w:ind w:firstLine="35"/>
              <w:rPr>
                <w:rFonts w:eastAsia="Times New Roman" w:cs="Times New Roman"/>
                <w:sz w:val="20"/>
                <w:szCs w:val="20"/>
              </w:rPr>
            </w:pPr>
            <w:r>
              <w:rPr>
                <w:rFonts w:eastAsia="Times New Roman" w:cs="Times New Roman"/>
                <w:color w:val="000000"/>
                <w:sz w:val="20"/>
                <w:szCs w:val="20"/>
              </w:rPr>
              <w:t>0,0036</w:t>
            </w:r>
          </w:p>
        </w:tc>
        <w:tc>
          <w:tcPr>
            <w:tcW w:w="50" w:type="dxa"/>
            <w:vAlign w:val="center"/>
          </w:tcPr>
          <w:p w14:paraId="4DB2B01C" w14:textId="77777777" w:rsidR="00670FD4" w:rsidRDefault="00670FD4" w:rsidP="001925BA">
            <w:pPr>
              <w:spacing w:before="0" w:after="0" w:line="240" w:lineRule="auto"/>
              <w:rPr>
                <w:rFonts w:eastAsia="Times New Roman" w:cs="Times New Roman"/>
                <w:sz w:val="20"/>
                <w:szCs w:val="20"/>
              </w:rPr>
            </w:pPr>
          </w:p>
        </w:tc>
      </w:tr>
      <w:tr w:rsidR="00670FD4" w14:paraId="16C4A2F7" w14:textId="77777777" w:rsidTr="001925BA">
        <w:trPr>
          <w:trHeight w:val="342"/>
          <w:jc w:val="center"/>
        </w:trPr>
        <w:tc>
          <w:tcPr>
            <w:tcW w:w="699"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820DEB"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5CBBD3" w14:textId="77777777" w:rsidR="00670FD4" w:rsidRDefault="00670FD4" w:rsidP="001925BA">
            <w:pPr>
              <w:spacing w:before="0" w:after="0" w:line="240" w:lineRule="auto"/>
              <w:ind w:firstLine="35"/>
              <w:rPr>
                <w:rFonts w:eastAsia="Times New Roman" w:cs="Times New Roman"/>
                <w:sz w:val="20"/>
                <w:szCs w:val="20"/>
              </w:rPr>
            </w:pPr>
            <w:r>
              <w:rPr>
                <w:rFonts w:eastAsia="Times New Roman" w:cs="Times New Roman"/>
                <w:color w:val="000000"/>
                <w:sz w:val="20"/>
                <w:szCs w:val="20"/>
              </w:rPr>
              <w:t>Jurilovca</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9E641E" w14:textId="77777777" w:rsidR="00670FD4" w:rsidRDefault="00670FD4" w:rsidP="001925BA">
            <w:pPr>
              <w:spacing w:before="0" w:after="0" w:line="240" w:lineRule="auto"/>
              <w:ind w:firstLine="35"/>
              <w:rPr>
                <w:rFonts w:eastAsia="Times New Roman" w:cs="Times New Roman"/>
                <w:sz w:val="20"/>
                <w:szCs w:val="20"/>
              </w:rPr>
            </w:pPr>
            <w:r>
              <w:rPr>
                <w:rFonts w:eastAsia="Times New Roman" w:cs="Times New Roman"/>
                <w:color w:val="000000"/>
                <w:sz w:val="20"/>
                <w:szCs w:val="20"/>
              </w:rPr>
              <w:t>0,0024</w:t>
            </w:r>
          </w:p>
        </w:tc>
        <w:tc>
          <w:tcPr>
            <w:tcW w:w="16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73C444" w14:textId="77777777" w:rsidR="00670FD4" w:rsidRDefault="00670FD4" w:rsidP="001925BA">
            <w:pPr>
              <w:spacing w:before="0" w:after="0" w:line="240" w:lineRule="auto"/>
              <w:ind w:firstLine="35"/>
              <w:rPr>
                <w:rFonts w:eastAsia="Times New Roman" w:cs="Times New Roman"/>
                <w:sz w:val="20"/>
                <w:szCs w:val="20"/>
              </w:rPr>
            </w:pPr>
            <w:r>
              <w:rPr>
                <w:rFonts w:eastAsia="Times New Roman" w:cs="Times New Roman"/>
                <w:color w:val="000000"/>
                <w:sz w:val="20"/>
                <w:szCs w:val="20"/>
              </w:rPr>
              <w:t>0,0004</w:t>
            </w:r>
          </w:p>
        </w:tc>
        <w:tc>
          <w:tcPr>
            <w:tcW w:w="15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3D37B9" w14:textId="77777777" w:rsidR="00670FD4" w:rsidRDefault="00670FD4" w:rsidP="001925BA">
            <w:pPr>
              <w:spacing w:before="0" w:after="0" w:line="240" w:lineRule="auto"/>
              <w:ind w:firstLine="35"/>
              <w:rPr>
                <w:rFonts w:eastAsia="Times New Roman" w:cs="Times New Roman"/>
                <w:sz w:val="20"/>
                <w:szCs w:val="20"/>
              </w:rPr>
            </w:pPr>
            <w:r>
              <w:rPr>
                <w:rFonts w:eastAsia="Times New Roman" w:cs="Times New Roman"/>
                <w:color w:val="000000"/>
                <w:sz w:val="20"/>
                <w:szCs w:val="20"/>
              </w:rPr>
              <w:t>0,0028</w:t>
            </w:r>
          </w:p>
        </w:tc>
        <w:tc>
          <w:tcPr>
            <w:tcW w:w="50" w:type="dxa"/>
            <w:vAlign w:val="center"/>
          </w:tcPr>
          <w:p w14:paraId="638F97EF" w14:textId="77777777" w:rsidR="00670FD4" w:rsidRDefault="00670FD4" w:rsidP="001925BA">
            <w:pPr>
              <w:spacing w:before="0" w:after="0" w:line="240" w:lineRule="auto"/>
              <w:rPr>
                <w:rFonts w:eastAsia="Times New Roman" w:cs="Times New Roman"/>
                <w:sz w:val="20"/>
                <w:szCs w:val="20"/>
              </w:rPr>
            </w:pPr>
          </w:p>
        </w:tc>
      </w:tr>
      <w:tr w:rsidR="00670FD4" w14:paraId="6DCC8B10" w14:textId="77777777" w:rsidTr="001925BA">
        <w:trPr>
          <w:trHeight w:val="208"/>
          <w:jc w:val="center"/>
        </w:trPr>
        <w:tc>
          <w:tcPr>
            <w:tcW w:w="699"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AC89DE"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2021</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31BC9A" w14:textId="77777777" w:rsidR="00670FD4" w:rsidRDefault="00670FD4" w:rsidP="001925BA">
            <w:pPr>
              <w:spacing w:before="0" w:after="0" w:line="240" w:lineRule="auto"/>
              <w:ind w:firstLine="35"/>
              <w:rPr>
                <w:rFonts w:eastAsia="Times New Roman" w:cs="Times New Roman"/>
                <w:sz w:val="20"/>
                <w:szCs w:val="20"/>
              </w:rPr>
            </w:pPr>
            <w:r>
              <w:rPr>
                <w:rFonts w:eastAsia="Times New Roman" w:cs="Times New Roman"/>
                <w:color w:val="000000"/>
                <w:sz w:val="20"/>
                <w:szCs w:val="20"/>
              </w:rPr>
              <w:t>Sulina</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1D2733" w14:textId="77777777" w:rsidR="00670FD4" w:rsidRDefault="00670FD4" w:rsidP="001925BA">
            <w:pPr>
              <w:spacing w:before="0" w:after="0" w:line="240" w:lineRule="auto"/>
              <w:ind w:firstLine="35"/>
              <w:rPr>
                <w:rFonts w:eastAsia="Times New Roman" w:cs="Times New Roman"/>
                <w:sz w:val="20"/>
                <w:szCs w:val="20"/>
              </w:rPr>
            </w:pPr>
          </w:p>
        </w:tc>
        <w:tc>
          <w:tcPr>
            <w:tcW w:w="16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75C5C3" w14:textId="77777777" w:rsidR="00670FD4" w:rsidRDefault="00670FD4" w:rsidP="001925BA">
            <w:pPr>
              <w:spacing w:before="0" w:after="0" w:line="240" w:lineRule="auto"/>
              <w:ind w:firstLine="35"/>
              <w:rPr>
                <w:rFonts w:eastAsia="Times New Roman" w:cs="Times New Roman"/>
                <w:sz w:val="20"/>
                <w:szCs w:val="20"/>
              </w:rPr>
            </w:pPr>
          </w:p>
        </w:tc>
        <w:tc>
          <w:tcPr>
            <w:tcW w:w="15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30BBF4" w14:textId="77777777" w:rsidR="00670FD4" w:rsidRDefault="00670FD4" w:rsidP="001925BA">
            <w:pPr>
              <w:spacing w:before="0" w:after="0" w:line="240" w:lineRule="auto"/>
              <w:ind w:firstLine="35"/>
              <w:rPr>
                <w:rFonts w:eastAsia="Times New Roman" w:cs="Times New Roman"/>
                <w:sz w:val="20"/>
                <w:szCs w:val="20"/>
              </w:rPr>
            </w:pPr>
            <w:r>
              <w:rPr>
                <w:rFonts w:eastAsia="Times New Roman" w:cs="Times New Roman"/>
                <w:color w:val="000000"/>
                <w:sz w:val="20"/>
                <w:szCs w:val="20"/>
              </w:rPr>
              <w:t>0,0093</w:t>
            </w:r>
          </w:p>
        </w:tc>
        <w:tc>
          <w:tcPr>
            <w:tcW w:w="50" w:type="dxa"/>
            <w:vAlign w:val="center"/>
          </w:tcPr>
          <w:p w14:paraId="77A771FA" w14:textId="77777777" w:rsidR="00670FD4" w:rsidRDefault="00670FD4" w:rsidP="001925BA">
            <w:pPr>
              <w:spacing w:before="0" w:after="0" w:line="240" w:lineRule="auto"/>
              <w:rPr>
                <w:rFonts w:eastAsia="Times New Roman" w:cs="Times New Roman"/>
                <w:sz w:val="20"/>
                <w:szCs w:val="20"/>
              </w:rPr>
            </w:pPr>
          </w:p>
        </w:tc>
      </w:tr>
      <w:tr w:rsidR="00670FD4" w14:paraId="32F7DEA0" w14:textId="77777777" w:rsidTr="001925BA">
        <w:trPr>
          <w:trHeight w:val="327"/>
          <w:jc w:val="center"/>
        </w:trPr>
        <w:tc>
          <w:tcPr>
            <w:tcW w:w="699"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FFDFC5" w14:textId="77777777" w:rsidR="00670FD4" w:rsidRDefault="00670FD4" w:rsidP="001925BA">
            <w:pPr>
              <w:widowControl w:val="0"/>
              <w:pBdr>
                <w:top w:val="nil"/>
                <w:left w:val="nil"/>
                <w:bottom w:val="nil"/>
                <w:right w:val="nil"/>
                <w:between w:val="nil"/>
              </w:pBdr>
              <w:spacing w:before="0" w:after="0"/>
              <w:rPr>
                <w:rFonts w:eastAsia="Times New Roman" w:cs="Times New Roman"/>
                <w:sz w:val="20"/>
                <w:szCs w:val="20"/>
              </w:rPr>
            </w:pP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386541" w14:textId="77777777" w:rsidR="00670FD4" w:rsidRDefault="00670FD4" w:rsidP="001925BA">
            <w:pPr>
              <w:spacing w:before="0" w:after="0" w:line="240" w:lineRule="auto"/>
              <w:ind w:firstLine="35"/>
              <w:rPr>
                <w:rFonts w:eastAsia="Times New Roman" w:cs="Times New Roman"/>
                <w:sz w:val="20"/>
                <w:szCs w:val="20"/>
              </w:rPr>
            </w:pPr>
            <w:r>
              <w:rPr>
                <w:rFonts w:eastAsia="Times New Roman" w:cs="Times New Roman"/>
                <w:color w:val="000000"/>
                <w:sz w:val="20"/>
                <w:szCs w:val="20"/>
              </w:rPr>
              <w:t>Jurilovca</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913C89" w14:textId="77777777" w:rsidR="00670FD4" w:rsidRDefault="00670FD4" w:rsidP="001925BA">
            <w:pPr>
              <w:spacing w:before="0" w:after="0" w:line="240" w:lineRule="auto"/>
              <w:ind w:firstLine="35"/>
              <w:rPr>
                <w:rFonts w:eastAsia="Times New Roman" w:cs="Times New Roman"/>
                <w:sz w:val="20"/>
                <w:szCs w:val="20"/>
              </w:rPr>
            </w:pPr>
            <w:r>
              <w:rPr>
                <w:rFonts w:eastAsia="Times New Roman" w:cs="Times New Roman"/>
                <w:color w:val="000000"/>
                <w:sz w:val="20"/>
                <w:szCs w:val="20"/>
              </w:rPr>
              <w:t>0,0023</w:t>
            </w:r>
          </w:p>
        </w:tc>
        <w:tc>
          <w:tcPr>
            <w:tcW w:w="16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CC5061" w14:textId="77777777" w:rsidR="00670FD4" w:rsidRDefault="00670FD4" w:rsidP="001925BA">
            <w:pPr>
              <w:spacing w:before="0" w:after="0" w:line="240" w:lineRule="auto"/>
              <w:ind w:firstLine="35"/>
              <w:rPr>
                <w:rFonts w:eastAsia="Times New Roman" w:cs="Times New Roman"/>
                <w:sz w:val="20"/>
                <w:szCs w:val="20"/>
              </w:rPr>
            </w:pPr>
            <w:r>
              <w:rPr>
                <w:rFonts w:eastAsia="Times New Roman" w:cs="Times New Roman"/>
                <w:color w:val="000000"/>
                <w:sz w:val="20"/>
                <w:szCs w:val="20"/>
              </w:rPr>
              <w:t>0,0002</w:t>
            </w:r>
          </w:p>
        </w:tc>
        <w:tc>
          <w:tcPr>
            <w:tcW w:w="15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344F6A" w14:textId="77777777" w:rsidR="00670FD4" w:rsidRDefault="00670FD4" w:rsidP="001925BA">
            <w:pPr>
              <w:spacing w:before="0" w:after="0" w:line="240" w:lineRule="auto"/>
              <w:ind w:firstLine="35"/>
              <w:rPr>
                <w:rFonts w:eastAsia="Times New Roman" w:cs="Times New Roman"/>
                <w:sz w:val="20"/>
                <w:szCs w:val="20"/>
              </w:rPr>
            </w:pPr>
            <w:r>
              <w:rPr>
                <w:rFonts w:eastAsia="Times New Roman" w:cs="Times New Roman"/>
                <w:color w:val="000000"/>
                <w:sz w:val="20"/>
                <w:szCs w:val="20"/>
              </w:rPr>
              <w:t>0,0017</w:t>
            </w:r>
          </w:p>
        </w:tc>
        <w:tc>
          <w:tcPr>
            <w:tcW w:w="50" w:type="dxa"/>
            <w:vAlign w:val="center"/>
          </w:tcPr>
          <w:p w14:paraId="6FD7557F" w14:textId="77777777" w:rsidR="00670FD4" w:rsidRDefault="00670FD4" w:rsidP="001925BA">
            <w:pPr>
              <w:spacing w:before="0" w:after="0" w:line="240" w:lineRule="auto"/>
              <w:rPr>
                <w:rFonts w:eastAsia="Times New Roman" w:cs="Times New Roman"/>
                <w:sz w:val="20"/>
                <w:szCs w:val="20"/>
              </w:rPr>
            </w:pPr>
          </w:p>
        </w:tc>
      </w:tr>
    </w:tbl>
    <w:p w14:paraId="6A2472C5" w14:textId="77777777" w:rsidR="00670FD4" w:rsidRDefault="00670FD4" w:rsidP="00670FD4">
      <w:pPr>
        <w:spacing w:before="0"/>
      </w:pPr>
    </w:p>
    <w:p w14:paraId="1353D6D2" w14:textId="77777777" w:rsidR="00670FD4" w:rsidRDefault="00670FD4" w:rsidP="00670FD4">
      <w:pPr>
        <w:shd w:val="clear" w:color="auto" w:fill="FFFFFF"/>
        <w:spacing w:before="0"/>
        <w:ind w:firstLine="567"/>
        <w:rPr>
          <w:rFonts w:eastAsia="Times New Roman" w:cs="Times New Roman"/>
          <w:color w:val="000000"/>
        </w:rPr>
      </w:pPr>
      <w:r>
        <w:rPr>
          <w:rFonts w:eastAsia="Times New Roman" w:cs="Times New Roman"/>
          <w:color w:val="000000"/>
        </w:rPr>
        <w:t xml:space="preserve">Lacurile din nordul zonei costiere au fost afectate semnificativ de procesul de eutrofizare în ultimii 15-20 ani, fapt ce a dus la modificarea radicală a structurilor biotice. Astfel, cea mai importantă modificare o constituie restrângerea până la dispariţie (în unele cazuri) a macrofitelor submerse şi, uneori, şi emerse, care constituiau habitatul unui număr important de organisme începând cu bacteriile epifite, alge epifite (perifitonul), numeroase nevertebrate şi terminând cu ihtiofauna. Accelerarea procesului de eutrofizare se datorează aportului de nutrienţi (azot şi fosfor) din apele Dunării, a cantităţilor provenite din chimizarea agriculturii autohtone, din heleștee. </w:t>
      </w:r>
    </w:p>
    <w:p w14:paraId="1264F54F" w14:textId="77777777" w:rsidR="00670FD4" w:rsidRDefault="00670FD4" w:rsidP="00670FD4">
      <w:pPr>
        <w:shd w:val="clear" w:color="auto" w:fill="FFFFFF"/>
        <w:spacing w:before="0"/>
        <w:ind w:firstLine="567"/>
        <w:rPr>
          <w:rFonts w:eastAsia="Times New Roman" w:cs="Times New Roman"/>
        </w:rPr>
      </w:pPr>
      <w:r>
        <w:rPr>
          <w:rFonts w:eastAsia="Times New Roman" w:cs="Times New Roman"/>
          <w:color w:val="000000"/>
        </w:rPr>
        <w:t xml:space="preserve">De asemenea, dezvoltarea excesivă a fitoplanctonului a condus la intensificarea procesului de dezoxigenare (favorizat și de colmatarea lacurilor, canalelor), oxigenul dizolvat în apă fiind consumat rapid în procesul de descompunere oxidativă a materiei organice (celule de fitoplancton, etc.), cu implicații negative pentru pescuit, acvacultură și turism. </w:t>
      </w:r>
    </w:p>
    <w:p w14:paraId="462381F5" w14:textId="77777777" w:rsidR="00670FD4" w:rsidRDefault="00670FD4" w:rsidP="00670FD4">
      <w:pPr>
        <w:spacing w:before="0"/>
        <w:ind w:firstLine="567"/>
        <w:rPr>
          <w:rFonts w:eastAsia="Times New Roman" w:cs="Times New Roman"/>
        </w:rPr>
      </w:pPr>
      <w:r>
        <w:rPr>
          <w:rFonts w:eastAsia="Times New Roman" w:cs="Times New Roman"/>
          <w:color w:val="000000"/>
        </w:rPr>
        <w:t>În partea de sud a zonei costiere, poluarea lacurilor litorale cu substanțe cu azot și fosfor este generată de activitățile agricole (în proximitatea lacurilor Techirghiol, Tașaul, Corbu, Siutghiol, Mangalia, etc.), de apele uzate neepurate (sau epurate insuficient) provenite de la gospodării din jurul lacurilor și deversate în lacuri constituie, precum și depozitarea deșeurilor în zone neamenajate din proximitatea lacurilor constituie surse de contaminare a acestora.</w:t>
      </w:r>
    </w:p>
    <w:p w14:paraId="5B3D7EED" w14:textId="77777777" w:rsidR="00670FD4" w:rsidRDefault="00670FD4" w:rsidP="00670FD4">
      <w:pPr>
        <w:shd w:val="clear" w:color="auto" w:fill="FFFFFF"/>
        <w:rPr>
          <w:rFonts w:eastAsia="Times New Roman" w:cs="Times New Roman"/>
          <w:u w:val="single"/>
        </w:rPr>
      </w:pPr>
      <w:r>
        <w:rPr>
          <w:rFonts w:eastAsia="Times New Roman" w:cs="Times New Roman"/>
          <w:i/>
          <w:color w:val="000000"/>
          <w:u w:val="single"/>
        </w:rPr>
        <w:t>Ape subterane</w:t>
      </w:r>
    </w:p>
    <w:p w14:paraId="613B2BA7" w14:textId="77777777" w:rsidR="00670FD4" w:rsidRDefault="00670FD4" w:rsidP="00670FD4">
      <w:pPr>
        <w:ind w:firstLine="567"/>
        <w:rPr>
          <w:rFonts w:eastAsia="Times New Roman" w:cs="Times New Roman"/>
        </w:rPr>
      </w:pPr>
      <w:r>
        <w:rPr>
          <w:rFonts w:eastAsia="Times New Roman" w:cs="Times New Roman"/>
          <w:color w:val="000000"/>
          <w:highlight w:val="white"/>
        </w:rPr>
        <w:t>Introducere de compuși cu azot și fosfor în corpurile de apă subterană este determinată, în principal, de activitățile agricole, prin utilizarea necorespunzătoare a fertilizatorilor sintetici, a îngrășămintelor naturale, lipsa sistemelor de colectare a dejecțiilor, depozite neconforme de fertilizatori, etc, precum și de aglomerări umane fără sisteme de colectare şi staţii de epurare a apelor uzate. În Tabelul 2.4.2.2.1 sunt evidențiate activitățile economice ce au impact asupra calității fiecărui corp de apă subterană din zona de studiu, precum și gradul de protecție globală al acestora. Se remarcă un grad de protecție nesatisfăcătoare în cazul corpului RODL08 - Casimcea, acesta fiind expus poluării determinate de activitățile agricole.</w:t>
      </w:r>
    </w:p>
    <w:p w14:paraId="3606928A" w14:textId="77777777" w:rsidR="00670FD4" w:rsidRDefault="00670FD4" w:rsidP="00670FD4">
      <w:pPr>
        <w:pStyle w:val="Heading5"/>
        <w:spacing w:before="0" w:after="120"/>
        <w:rPr>
          <w:b w:val="0"/>
          <w:i w:val="0"/>
        </w:rPr>
      </w:pPr>
      <w:r>
        <w:rPr>
          <w:b w:val="0"/>
          <w:i w:val="0"/>
        </w:rPr>
        <w:t>Soluri </w:t>
      </w:r>
    </w:p>
    <w:p w14:paraId="35308F0D" w14:textId="77777777" w:rsidR="00670FD4" w:rsidRDefault="00670FD4" w:rsidP="00670FD4">
      <w:pPr>
        <w:spacing w:before="0"/>
        <w:ind w:firstLine="567"/>
        <w:rPr>
          <w:rFonts w:eastAsia="Times New Roman" w:cs="Times New Roman"/>
        </w:rPr>
      </w:pPr>
      <w:r>
        <w:rPr>
          <w:rFonts w:eastAsia="Times New Roman" w:cs="Times New Roman"/>
          <w:color w:val="000000"/>
        </w:rPr>
        <w:t xml:space="preserve">Pentru solurile din zona costieră introducerea de materie organică și substanțe cu P și N, ca și presiune antropică, se realizează tot prin intermediul agriculturii, aportul cel mai important </w:t>
      </w:r>
      <w:r>
        <w:rPr>
          <w:rFonts w:eastAsia="Times New Roman" w:cs="Times New Roman"/>
          <w:color w:val="000000"/>
        </w:rPr>
        <w:lastRenderedPageBreak/>
        <w:t>avându-l în acest caz substanțele fertilizante utilizate pentru susținerea și creșterea producției agricole.</w:t>
      </w:r>
    </w:p>
    <w:p w14:paraId="22ECB42D" w14:textId="77777777" w:rsidR="00670FD4" w:rsidRDefault="00670FD4" w:rsidP="00670FD4">
      <w:pPr>
        <w:spacing w:before="0"/>
        <w:ind w:firstLine="567"/>
        <w:rPr>
          <w:rFonts w:eastAsia="Times New Roman" w:cs="Times New Roman"/>
        </w:rPr>
      </w:pPr>
      <w:r>
        <w:rPr>
          <w:rFonts w:eastAsia="Times New Roman" w:cs="Times New Roman"/>
          <w:color w:val="000000"/>
        </w:rPr>
        <w:t xml:space="preserve">Datele disponibile pentru ultimii 5 ani referitoare la cantitatea de îngrășăminte chimice și naturale utilizate pentru județele Constanța și Tulcea, arată, în cazul îngrășămintelor cu azot o tendință ușor descrescătoare pentru județul Constanța și una ușor crescătoare pentru județul Tulcea (Tabel 2.5.2.14). Utilizarea îngrășămintelor pe bază de fosfor arată tendințe descrescătoare în ambele județe (Tabel 2.5.2.14). </w:t>
      </w:r>
    </w:p>
    <w:p w14:paraId="6DC8DCA4" w14:textId="77777777" w:rsidR="00670FD4" w:rsidRDefault="00670FD4" w:rsidP="00670FD4">
      <w:pPr>
        <w:rPr>
          <w:rFonts w:eastAsia="Times New Roman" w:cs="Times New Roman"/>
          <w:b/>
          <w:color w:val="000000"/>
        </w:rPr>
      </w:pPr>
    </w:p>
    <w:p w14:paraId="4DC5658E" w14:textId="77777777" w:rsidR="00670FD4" w:rsidRDefault="00670FD4" w:rsidP="00670FD4">
      <w:pPr>
        <w:spacing w:after="0"/>
        <w:ind w:firstLine="567"/>
        <w:jc w:val="center"/>
        <w:rPr>
          <w:rFonts w:eastAsia="Times New Roman" w:cs="Times New Roman"/>
        </w:rPr>
      </w:pPr>
      <w:bookmarkStart w:id="136" w:name="_heading=h.1rvwp1q" w:colFirst="0" w:colLast="0"/>
      <w:bookmarkEnd w:id="136"/>
      <w:r>
        <w:rPr>
          <w:rFonts w:eastAsia="Times New Roman" w:cs="Times New Roman"/>
          <w:b/>
          <w:color w:val="000000"/>
        </w:rPr>
        <w:t>Tabel 2.5.2.14 Cantitatea de îngrășăminte pe bază de azot și fosfor folosite în agricultură la nivelul județelor Constanța și Tulcea, în tone substanță activă (sursa INSSE)</w:t>
      </w:r>
    </w:p>
    <w:tbl>
      <w:tblPr>
        <w:tblW w:w="8753" w:type="dxa"/>
        <w:tblLayout w:type="fixed"/>
        <w:tblLook w:val="0400" w:firstRow="0" w:lastRow="0" w:firstColumn="0" w:lastColumn="0" w:noHBand="0" w:noVBand="1"/>
      </w:tblPr>
      <w:tblGrid>
        <w:gridCol w:w="1568"/>
        <w:gridCol w:w="1156"/>
        <w:gridCol w:w="1217"/>
        <w:gridCol w:w="1209"/>
        <w:gridCol w:w="1207"/>
        <w:gridCol w:w="1208"/>
        <w:gridCol w:w="1188"/>
      </w:tblGrid>
      <w:tr w:rsidR="00670FD4" w14:paraId="1BA660E4" w14:textId="77777777" w:rsidTr="001925BA">
        <w:trPr>
          <w:trHeight w:val="618"/>
        </w:trPr>
        <w:tc>
          <w:tcPr>
            <w:tcW w:w="15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D5DAAB"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000000"/>
                <w:sz w:val="20"/>
                <w:szCs w:val="20"/>
              </w:rPr>
              <w:t xml:space="preserve">Categorii de îngrășăminte </w:t>
            </w:r>
          </w:p>
        </w:tc>
        <w:tc>
          <w:tcPr>
            <w:tcW w:w="11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32A30C" w14:textId="77777777" w:rsidR="00670FD4" w:rsidRDefault="00670FD4" w:rsidP="001925BA">
            <w:pPr>
              <w:spacing w:before="0" w:after="0" w:line="240" w:lineRule="auto"/>
              <w:ind w:firstLine="0"/>
              <w:jc w:val="center"/>
              <w:rPr>
                <w:rFonts w:eastAsia="Times New Roman" w:cs="Times New Roman"/>
                <w:sz w:val="20"/>
                <w:szCs w:val="20"/>
              </w:rPr>
            </w:pPr>
            <w:r>
              <w:rPr>
                <w:rFonts w:eastAsia="Times New Roman" w:cs="Times New Roman"/>
                <w:b/>
                <w:color w:val="000000"/>
                <w:sz w:val="20"/>
                <w:szCs w:val="20"/>
              </w:rPr>
              <w:t>Zona de referință</w:t>
            </w:r>
          </w:p>
        </w:tc>
        <w:tc>
          <w:tcPr>
            <w:tcW w:w="12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A5BD6E" w14:textId="77777777" w:rsidR="00670FD4" w:rsidRDefault="00670FD4" w:rsidP="001925BA">
            <w:pPr>
              <w:spacing w:before="0" w:after="0" w:line="240" w:lineRule="auto"/>
              <w:ind w:firstLine="143"/>
              <w:rPr>
                <w:rFonts w:eastAsia="Times New Roman" w:cs="Times New Roman"/>
                <w:sz w:val="20"/>
                <w:szCs w:val="20"/>
              </w:rPr>
            </w:pPr>
            <w:r>
              <w:rPr>
                <w:rFonts w:eastAsia="Times New Roman" w:cs="Times New Roman"/>
                <w:b/>
                <w:color w:val="000000"/>
                <w:sz w:val="20"/>
                <w:szCs w:val="20"/>
              </w:rPr>
              <w:t>Anul 2018 Tone s.a.</w:t>
            </w:r>
          </w:p>
        </w:tc>
        <w:tc>
          <w:tcPr>
            <w:tcW w:w="12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60F609"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000000"/>
                <w:sz w:val="20"/>
                <w:szCs w:val="20"/>
              </w:rPr>
              <w:t>Anul 2019 Tone s.a.</w:t>
            </w:r>
          </w:p>
        </w:tc>
        <w:tc>
          <w:tcPr>
            <w:tcW w:w="12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CB7F47"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000000"/>
                <w:sz w:val="20"/>
                <w:szCs w:val="20"/>
              </w:rPr>
              <w:t>Anul 2020 Tone s.a.</w:t>
            </w:r>
          </w:p>
        </w:tc>
        <w:tc>
          <w:tcPr>
            <w:tcW w:w="12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DE8FA1" w14:textId="77777777" w:rsidR="00670FD4" w:rsidRDefault="00670FD4" w:rsidP="001925BA">
            <w:pPr>
              <w:spacing w:before="0" w:after="0" w:line="240" w:lineRule="auto"/>
              <w:ind w:firstLine="54"/>
              <w:rPr>
                <w:rFonts w:eastAsia="Times New Roman" w:cs="Times New Roman"/>
                <w:sz w:val="20"/>
                <w:szCs w:val="20"/>
              </w:rPr>
            </w:pPr>
            <w:r>
              <w:rPr>
                <w:rFonts w:eastAsia="Times New Roman" w:cs="Times New Roman"/>
                <w:b/>
                <w:color w:val="000000"/>
                <w:sz w:val="20"/>
                <w:szCs w:val="20"/>
              </w:rPr>
              <w:t>Anul 2021 Tone s.a.</w:t>
            </w:r>
          </w:p>
        </w:tc>
        <w:tc>
          <w:tcPr>
            <w:tcW w:w="11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38B5E1" w14:textId="77777777" w:rsidR="00670FD4" w:rsidRDefault="00670FD4" w:rsidP="001925BA">
            <w:pPr>
              <w:spacing w:before="0" w:after="0" w:line="240" w:lineRule="auto"/>
              <w:ind w:firstLine="122"/>
              <w:rPr>
                <w:rFonts w:eastAsia="Times New Roman" w:cs="Times New Roman"/>
                <w:sz w:val="20"/>
                <w:szCs w:val="20"/>
              </w:rPr>
            </w:pPr>
            <w:r>
              <w:rPr>
                <w:rFonts w:eastAsia="Times New Roman" w:cs="Times New Roman"/>
                <w:b/>
                <w:color w:val="000000"/>
                <w:sz w:val="20"/>
                <w:szCs w:val="20"/>
              </w:rPr>
              <w:t>Anul 2022 Tone s.a.</w:t>
            </w:r>
          </w:p>
        </w:tc>
      </w:tr>
      <w:tr w:rsidR="00670FD4" w14:paraId="1D830D0C" w14:textId="77777777" w:rsidTr="001925BA">
        <w:trPr>
          <w:trHeight w:val="333"/>
        </w:trPr>
        <w:tc>
          <w:tcPr>
            <w:tcW w:w="1568" w:type="dxa"/>
            <w:vMerge w:val="restart"/>
            <w:tcBorders>
              <w:top w:val="single" w:sz="8" w:space="0" w:color="000000"/>
              <w:left w:val="single" w:sz="8" w:space="0" w:color="000000"/>
              <w:right w:val="single" w:sz="8" w:space="0" w:color="000000"/>
            </w:tcBorders>
            <w:tcMar>
              <w:top w:w="100" w:type="dxa"/>
              <w:left w:w="100" w:type="dxa"/>
              <w:bottom w:w="100" w:type="dxa"/>
              <w:right w:w="100" w:type="dxa"/>
            </w:tcMar>
          </w:tcPr>
          <w:p w14:paraId="58DFDC4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000000"/>
                <w:sz w:val="20"/>
                <w:szCs w:val="20"/>
              </w:rPr>
              <w:t>Azotoase</w:t>
            </w:r>
          </w:p>
        </w:tc>
        <w:tc>
          <w:tcPr>
            <w:tcW w:w="11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125448"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Constanța</w:t>
            </w:r>
          </w:p>
        </w:tc>
        <w:tc>
          <w:tcPr>
            <w:tcW w:w="12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380262" w14:textId="77777777" w:rsidR="00670FD4" w:rsidRDefault="00670FD4" w:rsidP="001925BA">
            <w:pPr>
              <w:spacing w:before="0" w:after="0" w:line="240" w:lineRule="auto"/>
              <w:ind w:firstLine="143"/>
              <w:jc w:val="center"/>
              <w:rPr>
                <w:rFonts w:eastAsia="Times New Roman" w:cs="Times New Roman"/>
                <w:sz w:val="20"/>
                <w:szCs w:val="20"/>
              </w:rPr>
            </w:pPr>
            <w:r>
              <w:rPr>
                <w:rFonts w:eastAsia="Times New Roman" w:cs="Times New Roman"/>
                <w:color w:val="000000"/>
                <w:sz w:val="20"/>
                <w:szCs w:val="20"/>
              </w:rPr>
              <w:t>10120</w:t>
            </w:r>
          </w:p>
        </w:tc>
        <w:tc>
          <w:tcPr>
            <w:tcW w:w="12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C0343C" w14:textId="77777777" w:rsidR="00670FD4" w:rsidRDefault="00670FD4" w:rsidP="001925BA">
            <w:pPr>
              <w:spacing w:before="0" w:after="0" w:line="240" w:lineRule="auto"/>
              <w:ind w:firstLine="0"/>
              <w:jc w:val="center"/>
              <w:rPr>
                <w:rFonts w:eastAsia="Times New Roman" w:cs="Times New Roman"/>
                <w:sz w:val="20"/>
                <w:szCs w:val="20"/>
              </w:rPr>
            </w:pPr>
            <w:r>
              <w:rPr>
                <w:rFonts w:eastAsia="Times New Roman" w:cs="Times New Roman"/>
                <w:color w:val="000000"/>
                <w:sz w:val="20"/>
                <w:szCs w:val="20"/>
              </w:rPr>
              <w:t>8200</w:t>
            </w:r>
          </w:p>
        </w:tc>
        <w:tc>
          <w:tcPr>
            <w:tcW w:w="12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A091FA" w14:textId="77777777" w:rsidR="00670FD4" w:rsidRDefault="00670FD4" w:rsidP="001925BA">
            <w:pPr>
              <w:spacing w:before="0" w:after="0" w:line="240" w:lineRule="auto"/>
              <w:ind w:firstLine="0"/>
              <w:jc w:val="center"/>
              <w:rPr>
                <w:rFonts w:eastAsia="Times New Roman" w:cs="Times New Roman"/>
                <w:sz w:val="20"/>
                <w:szCs w:val="20"/>
              </w:rPr>
            </w:pPr>
            <w:r>
              <w:rPr>
                <w:rFonts w:eastAsia="Times New Roman" w:cs="Times New Roman"/>
                <w:color w:val="000000"/>
                <w:sz w:val="20"/>
                <w:szCs w:val="20"/>
              </w:rPr>
              <w:t>14000</w:t>
            </w:r>
          </w:p>
        </w:tc>
        <w:tc>
          <w:tcPr>
            <w:tcW w:w="12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0CF5CB" w14:textId="77777777" w:rsidR="00670FD4" w:rsidRDefault="00670FD4" w:rsidP="001925BA">
            <w:pPr>
              <w:spacing w:before="0" w:after="0" w:line="240" w:lineRule="auto"/>
              <w:ind w:firstLine="54"/>
              <w:jc w:val="center"/>
              <w:rPr>
                <w:rFonts w:eastAsia="Times New Roman" w:cs="Times New Roman"/>
                <w:sz w:val="20"/>
                <w:szCs w:val="20"/>
              </w:rPr>
            </w:pPr>
            <w:r>
              <w:rPr>
                <w:rFonts w:eastAsia="Times New Roman" w:cs="Times New Roman"/>
                <w:color w:val="000000"/>
                <w:sz w:val="20"/>
                <w:szCs w:val="20"/>
              </w:rPr>
              <w:t>14040</w:t>
            </w:r>
          </w:p>
        </w:tc>
        <w:tc>
          <w:tcPr>
            <w:tcW w:w="11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3E3BA4" w14:textId="77777777" w:rsidR="00670FD4" w:rsidRDefault="00670FD4" w:rsidP="001925BA">
            <w:pPr>
              <w:spacing w:before="0" w:after="0" w:line="240" w:lineRule="auto"/>
              <w:ind w:firstLine="122"/>
              <w:jc w:val="center"/>
              <w:rPr>
                <w:rFonts w:eastAsia="Times New Roman" w:cs="Times New Roman"/>
                <w:sz w:val="20"/>
                <w:szCs w:val="20"/>
              </w:rPr>
            </w:pPr>
            <w:r>
              <w:rPr>
                <w:rFonts w:eastAsia="Times New Roman" w:cs="Times New Roman"/>
                <w:color w:val="000000"/>
                <w:sz w:val="20"/>
                <w:szCs w:val="20"/>
              </w:rPr>
              <w:t>8200</w:t>
            </w:r>
          </w:p>
        </w:tc>
      </w:tr>
      <w:tr w:rsidR="00670FD4" w14:paraId="2F4DA866" w14:textId="77777777" w:rsidTr="001925BA">
        <w:trPr>
          <w:trHeight w:val="213"/>
        </w:trPr>
        <w:tc>
          <w:tcPr>
            <w:tcW w:w="1568" w:type="dxa"/>
            <w:vMerge/>
            <w:tcBorders>
              <w:left w:val="single" w:sz="8" w:space="0" w:color="000000"/>
              <w:bottom w:val="single" w:sz="8" w:space="0" w:color="000000"/>
              <w:right w:val="single" w:sz="8" w:space="0" w:color="000000"/>
            </w:tcBorders>
            <w:tcMar>
              <w:top w:w="100" w:type="dxa"/>
              <w:left w:w="100" w:type="dxa"/>
              <w:bottom w:w="100" w:type="dxa"/>
              <w:right w:w="100" w:type="dxa"/>
            </w:tcMar>
          </w:tcPr>
          <w:p w14:paraId="4798529C" w14:textId="77777777" w:rsidR="00670FD4" w:rsidRDefault="00670FD4" w:rsidP="001925BA">
            <w:pPr>
              <w:spacing w:before="0" w:after="0" w:line="240" w:lineRule="auto"/>
              <w:ind w:firstLine="0"/>
              <w:rPr>
                <w:rFonts w:eastAsia="Times New Roman" w:cs="Times New Roman"/>
                <w:sz w:val="20"/>
                <w:szCs w:val="20"/>
              </w:rPr>
            </w:pPr>
          </w:p>
        </w:tc>
        <w:tc>
          <w:tcPr>
            <w:tcW w:w="11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A60EED"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Tulcea</w:t>
            </w:r>
          </w:p>
        </w:tc>
        <w:tc>
          <w:tcPr>
            <w:tcW w:w="12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977549" w14:textId="77777777" w:rsidR="00670FD4" w:rsidRDefault="00670FD4" w:rsidP="001925BA">
            <w:pPr>
              <w:spacing w:before="0" w:after="0" w:line="240" w:lineRule="auto"/>
              <w:ind w:firstLine="143"/>
              <w:jc w:val="center"/>
              <w:rPr>
                <w:rFonts w:eastAsia="Times New Roman" w:cs="Times New Roman"/>
                <w:sz w:val="20"/>
                <w:szCs w:val="20"/>
              </w:rPr>
            </w:pPr>
            <w:r>
              <w:rPr>
                <w:rFonts w:eastAsia="Times New Roman" w:cs="Times New Roman"/>
                <w:color w:val="000000"/>
                <w:sz w:val="20"/>
                <w:szCs w:val="20"/>
              </w:rPr>
              <w:t>2188</w:t>
            </w:r>
          </w:p>
        </w:tc>
        <w:tc>
          <w:tcPr>
            <w:tcW w:w="12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7B4D87" w14:textId="77777777" w:rsidR="00670FD4" w:rsidRDefault="00670FD4" w:rsidP="001925BA">
            <w:pPr>
              <w:spacing w:before="0" w:after="0" w:line="240" w:lineRule="auto"/>
              <w:ind w:firstLine="0"/>
              <w:jc w:val="center"/>
              <w:rPr>
                <w:rFonts w:eastAsia="Times New Roman" w:cs="Times New Roman"/>
                <w:sz w:val="20"/>
                <w:szCs w:val="20"/>
              </w:rPr>
            </w:pPr>
            <w:r>
              <w:rPr>
                <w:rFonts w:eastAsia="Times New Roman" w:cs="Times New Roman"/>
                <w:color w:val="000000"/>
                <w:sz w:val="20"/>
                <w:szCs w:val="20"/>
              </w:rPr>
              <w:t>2092</w:t>
            </w:r>
          </w:p>
        </w:tc>
        <w:tc>
          <w:tcPr>
            <w:tcW w:w="12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5A3658" w14:textId="77777777" w:rsidR="00670FD4" w:rsidRDefault="00670FD4" w:rsidP="001925BA">
            <w:pPr>
              <w:spacing w:before="0" w:after="0" w:line="240" w:lineRule="auto"/>
              <w:ind w:firstLine="0"/>
              <w:jc w:val="center"/>
              <w:rPr>
                <w:rFonts w:eastAsia="Times New Roman" w:cs="Times New Roman"/>
                <w:sz w:val="20"/>
                <w:szCs w:val="20"/>
              </w:rPr>
            </w:pPr>
            <w:r>
              <w:rPr>
                <w:rFonts w:eastAsia="Times New Roman" w:cs="Times New Roman"/>
                <w:color w:val="000000"/>
                <w:sz w:val="20"/>
                <w:szCs w:val="20"/>
              </w:rPr>
              <w:t>1255</w:t>
            </w:r>
          </w:p>
        </w:tc>
        <w:tc>
          <w:tcPr>
            <w:tcW w:w="12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E3A303" w14:textId="77777777" w:rsidR="00670FD4" w:rsidRDefault="00670FD4" w:rsidP="001925BA">
            <w:pPr>
              <w:spacing w:before="0" w:after="0" w:line="240" w:lineRule="auto"/>
              <w:ind w:firstLine="54"/>
              <w:jc w:val="center"/>
              <w:rPr>
                <w:rFonts w:eastAsia="Times New Roman" w:cs="Times New Roman"/>
                <w:sz w:val="20"/>
                <w:szCs w:val="20"/>
              </w:rPr>
            </w:pPr>
            <w:r>
              <w:rPr>
                <w:rFonts w:eastAsia="Times New Roman" w:cs="Times New Roman"/>
                <w:color w:val="000000"/>
                <w:sz w:val="20"/>
                <w:szCs w:val="20"/>
              </w:rPr>
              <w:t>3528</w:t>
            </w:r>
          </w:p>
        </w:tc>
        <w:tc>
          <w:tcPr>
            <w:tcW w:w="11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F18A26" w14:textId="77777777" w:rsidR="00670FD4" w:rsidRDefault="00670FD4" w:rsidP="001925BA">
            <w:pPr>
              <w:spacing w:before="0" w:after="0" w:line="240" w:lineRule="auto"/>
              <w:ind w:firstLine="122"/>
              <w:jc w:val="center"/>
              <w:rPr>
                <w:rFonts w:eastAsia="Times New Roman" w:cs="Times New Roman"/>
                <w:sz w:val="20"/>
                <w:szCs w:val="20"/>
              </w:rPr>
            </w:pPr>
            <w:r>
              <w:rPr>
                <w:rFonts w:eastAsia="Times New Roman" w:cs="Times New Roman"/>
                <w:color w:val="000000"/>
                <w:sz w:val="20"/>
                <w:szCs w:val="20"/>
              </w:rPr>
              <w:t>3218</w:t>
            </w:r>
          </w:p>
        </w:tc>
      </w:tr>
      <w:tr w:rsidR="00670FD4" w14:paraId="75A00A15" w14:textId="77777777" w:rsidTr="001925BA">
        <w:trPr>
          <w:trHeight w:val="350"/>
        </w:trPr>
        <w:tc>
          <w:tcPr>
            <w:tcW w:w="1568" w:type="dxa"/>
            <w:vMerge w:val="restart"/>
            <w:tcBorders>
              <w:top w:val="single" w:sz="8" w:space="0" w:color="000000"/>
              <w:left w:val="single" w:sz="8" w:space="0" w:color="000000"/>
              <w:right w:val="single" w:sz="8" w:space="0" w:color="000000"/>
            </w:tcBorders>
            <w:tcMar>
              <w:top w:w="100" w:type="dxa"/>
              <w:left w:w="100" w:type="dxa"/>
              <w:bottom w:w="100" w:type="dxa"/>
              <w:right w:w="100" w:type="dxa"/>
            </w:tcMar>
          </w:tcPr>
          <w:p w14:paraId="51422DAA"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b/>
                <w:color w:val="000000"/>
                <w:sz w:val="20"/>
                <w:szCs w:val="20"/>
              </w:rPr>
              <w:t>Fosfatice</w:t>
            </w:r>
          </w:p>
        </w:tc>
        <w:tc>
          <w:tcPr>
            <w:tcW w:w="11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DEC013"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Constanța</w:t>
            </w:r>
          </w:p>
        </w:tc>
        <w:tc>
          <w:tcPr>
            <w:tcW w:w="12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7B99A1" w14:textId="77777777" w:rsidR="00670FD4" w:rsidRDefault="00670FD4" w:rsidP="001925BA">
            <w:pPr>
              <w:spacing w:before="0" w:after="0" w:line="240" w:lineRule="auto"/>
              <w:ind w:firstLine="143"/>
              <w:jc w:val="center"/>
              <w:rPr>
                <w:rFonts w:eastAsia="Times New Roman" w:cs="Times New Roman"/>
                <w:sz w:val="20"/>
                <w:szCs w:val="20"/>
              </w:rPr>
            </w:pPr>
            <w:r>
              <w:rPr>
                <w:rFonts w:eastAsia="Times New Roman" w:cs="Times New Roman"/>
                <w:color w:val="000000"/>
                <w:sz w:val="20"/>
                <w:szCs w:val="20"/>
              </w:rPr>
              <w:t>4600</w:t>
            </w:r>
          </w:p>
        </w:tc>
        <w:tc>
          <w:tcPr>
            <w:tcW w:w="12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C191BA" w14:textId="77777777" w:rsidR="00670FD4" w:rsidRDefault="00670FD4" w:rsidP="001925BA">
            <w:pPr>
              <w:spacing w:before="0" w:after="0" w:line="240" w:lineRule="auto"/>
              <w:ind w:firstLine="0"/>
              <w:jc w:val="center"/>
              <w:rPr>
                <w:rFonts w:eastAsia="Times New Roman" w:cs="Times New Roman"/>
                <w:sz w:val="20"/>
                <w:szCs w:val="20"/>
              </w:rPr>
            </w:pPr>
            <w:r>
              <w:rPr>
                <w:rFonts w:eastAsia="Times New Roman" w:cs="Times New Roman"/>
                <w:color w:val="000000"/>
                <w:sz w:val="20"/>
                <w:szCs w:val="20"/>
              </w:rPr>
              <w:t>3400</w:t>
            </w:r>
          </w:p>
        </w:tc>
        <w:tc>
          <w:tcPr>
            <w:tcW w:w="12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00570C" w14:textId="77777777" w:rsidR="00670FD4" w:rsidRDefault="00670FD4" w:rsidP="001925BA">
            <w:pPr>
              <w:spacing w:before="0" w:after="0" w:line="240" w:lineRule="auto"/>
              <w:ind w:firstLine="0"/>
              <w:jc w:val="center"/>
              <w:rPr>
                <w:rFonts w:eastAsia="Times New Roman" w:cs="Times New Roman"/>
                <w:sz w:val="20"/>
                <w:szCs w:val="20"/>
              </w:rPr>
            </w:pPr>
            <w:r>
              <w:rPr>
                <w:rFonts w:eastAsia="Times New Roman" w:cs="Times New Roman"/>
                <w:color w:val="000000"/>
                <w:sz w:val="20"/>
                <w:szCs w:val="20"/>
              </w:rPr>
              <w:t>0</w:t>
            </w:r>
          </w:p>
        </w:tc>
        <w:tc>
          <w:tcPr>
            <w:tcW w:w="12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185654" w14:textId="77777777" w:rsidR="00670FD4" w:rsidRDefault="00670FD4" w:rsidP="001925BA">
            <w:pPr>
              <w:spacing w:before="0" w:after="0" w:line="240" w:lineRule="auto"/>
              <w:ind w:firstLine="54"/>
              <w:jc w:val="center"/>
              <w:rPr>
                <w:rFonts w:eastAsia="Times New Roman" w:cs="Times New Roman"/>
                <w:sz w:val="20"/>
                <w:szCs w:val="20"/>
              </w:rPr>
            </w:pPr>
            <w:r>
              <w:rPr>
                <w:rFonts w:eastAsia="Times New Roman" w:cs="Times New Roman"/>
                <w:color w:val="000000"/>
                <w:sz w:val="20"/>
                <w:szCs w:val="20"/>
              </w:rPr>
              <w:t>10800</w:t>
            </w:r>
          </w:p>
        </w:tc>
        <w:tc>
          <w:tcPr>
            <w:tcW w:w="11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B4AEBA" w14:textId="77777777" w:rsidR="00670FD4" w:rsidRDefault="00670FD4" w:rsidP="001925BA">
            <w:pPr>
              <w:spacing w:before="0" w:after="0" w:line="240" w:lineRule="auto"/>
              <w:ind w:firstLine="122"/>
              <w:jc w:val="center"/>
              <w:rPr>
                <w:rFonts w:eastAsia="Times New Roman" w:cs="Times New Roman"/>
                <w:sz w:val="20"/>
                <w:szCs w:val="20"/>
              </w:rPr>
            </w:pPr>
            <w:r>
              <w:rPr>
                <w:rFonts w:eastAsia="Times New Roman" w:cs="Times New Roman"/>
                <w:color w:val="000000"/>
                <w:sz w:val="20"/>
                <w:szCs w:val="20"/>
              </w:rPr>
              <w:t>3400</w:t>
            </w:r>
          </w:p>
        </w:tc>
      </w:tr>
      <w:tr w:rsidR="00670FD4" w14:paraId="7375EA90" w14:textId="77777777" w:rsidTr="001925BA">
        <w:trPr>
          <w:trHeight w:val="343"/>
        </w:trPr>
        <w:tc>
          <w:tcPr>
            <w:tcW w:w="1568" w:type="dxa"/>
            <w:vMerge/>
            <w:tcBorders>
              <w:left w:val="single" w:sz="8" w:space="0" w:color="000000"/>
              <w:bottom w:val="single" w:sz="8" w:space="0" w:color="000000"/>
              <w:right w:val="single" w:sz="8" w:space="0" w:color="000000"/>
            </w:tcBorders>
            <w:tcMar>
              <w:top w:w="100" w:type="dxa"/>
              <w:left w:w="100" w:type="dxa"/>
              <w:bottom w:w="100" w:type="dxa"/>
              <w:right w:w="100" w:type="dxa"/>
            </w:tcMar>
          </w:tcPr>
          <w:p w14:paraId="17AFB2DB" w14:textId="77777777" w:rsidR="00670FD4" w:rsidRDefault="00670FD4" w:rsidP="001925BA">
            <w:pPr>
              <w:spacing w:before="0" w:after="0" w:line="240" w:lineRule="auto"/>
              <w:ind w:firstLine="177"/>
              <w:rPr>
                <w:rFonts w:eastAsia="Times New Roman" w:cs="Times New Roman"/>
                <w:sz w:val="20"/>
                <w:szCs w:val="20"/>
              </w:rPr>
            </w:pPr>
          </w:p>
        </w:tc>
        <w:tc>
          <w:tcPr>
            <w:tcW w:w="11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6D2C56" w14:textId="77777777" w:rsidR="00670FD4" w:rsidRDefault="00670FD4" w:rsidP="001925BA">
            <w:pPr>
              <w:spacing w:before="0" w:after="0" w:line="240" w:lineRule="auto"/>
              <w:ind w:firstLine="0"/>
              <w:rPr>
                <w:rFonts w:eastAsia="Times New Roman" w:cs="Times New Roman"/>
                <w:sz w:val="20"/>
                <w:szCs w:val="20"/>
              </w:rPr>
            </w:pPr>
            <w:r>
              <w:rPr>
                <w:rFonts w:eastAsia="Times New Roman" w:cs="Times New Roman"/>
                <w:color w:val="000000"/>
                <w:sz w:val="20"/>
                <w:szCs w:val="20"/>
              </w:rPr>
              <w:t>Tulcea</w:t>
            </w:r>
          </w:p>
        </w:tc>
        <w:tc>
          <w:tcPr>
            <w:tcW w:w="12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4AC299" w14:textId="77777777" w:rsidR="00670FD4" w:rsidRDefault="00670FD4" w:rsidP="001925BA">
            <w:pPr>
              <w:spacing w:before="0" w:after="0" w:line="240" w:lineRule="auto"/>
              <w:ind w:firstLine="143"/>
              <w:jc w:val="center"/>
              <w:rPr>
                <w:rFonts w:eastAsia="Times New Roman" w:cs="Times New Roman"/>
                <w:sz w:val="20"/>
                <w:szCs w:val="20"/>
              </w:rPr>
            </w:pPr>
            <w:r>
              <w:rPr>
                <w:rFonts w:eastAsia="Times New Roman" w:cs="Times New Roman"/>
                <w:color w:val="000000"/>
                <w:sz w:val="20"/>
                <w:szCs w:val="20"/>
              </w:rPr>
              <w:t>2173</w:t>
            </w:r>
          </w:p>
        </w:tc>
        <w:tc>
          <w:tcPr>
            <w:tcW w:w="12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183BE1" w14:textId="77777777" w:rsidR="00670FD4" w:rsidRDefault="00670FD4" w:rsidP="001925BA">
            <w:pPr>
              <w:spacing w:before="0" w:after="0" w:line="240" w:lineRule="auto"/>
              <w:ind w:firstLine="0"/>
              <w:jc w:val="center"/>
              <w:rPr>
                <w:rFonts w:eastAsia="Times New Roman" w:cs="Times New Roman"/>
                <w:sz w:val="20"/>
                <w:szCs w:val="20"/>
              </w:rPr>
            </w:pPr>
            <w:r>
              <w:rPr>
                <w:rFonts w:eastAsia="Times New Roman" w:cs="Times New Roman"/>
                <w:color w:val="000000"/>
                <w:sz w:val="20"/>
                <w:szCs w:val="20"/>
              </w:rPr>
              <w:t>2102</w:t>
            </w:r>
          </w:p>
        </w:tc>
        <w:tc>
          <w:tcPr>
            <w:tcW w:w="12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BDE77A" w14:textId="77777777" w:rsidR="00670FD4" w:rsidRDefault="00670FD4" w:rsidP="001925BA">
            <w:pPr>
              <w:spacing w:before="0" w:after="0" w:line="240" w:lineRule="auto"/>
              <w:ind w:firstLine="0"/>
              <w:jc w:val="center"/>
              <w:rPr>
                <w:rFonts w:eastAsia="Times New Roman" w:cs="Times New Roman"/>
                <w:sz w:val="20"/>
                <w:szCs w:val="20"/>
              </w:rPr>
            </w:pPr>
            <w:r>
              <w:rPr>
                <w:rFonts w:eastAsia="Times New Roman" w:cs="Times New Roman"/>
                <w:color w:val="000000"/>
                <w:sz w:val="20"/>
                <w:szCs w:val="20"/>
              </w:rPr>
              <w:t>1261</w:t>
            </w:r>
          </w:p>
        </w:tc>
        <w:tc>
          <w:tcPr>
            <w:tcW w:w="12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660AC4" w14:textId="77777777" w:rsidR="00670FD4" w:rsidRDefault="00670FD4" w:rsidP="001925BA">
            <w:pPr>
              <w:spacing w:before="0" w:after="0" w:line="240" w:lineRule="auto"/>
              <w:ind w:firstLine="54"/>
              <w:jc w:val="center"/>
              <w:rPr>
                <w:rFonts w:eastAsia="Times New Roman" w:cs="Times New Roman"/>
                <w:sz w:val="20"/>
                <w:szCs w:val="20"/>
              </w:rPr>
            </w:pPr>
            <w:r>
              <w:rPr>
                <w:rFonts w:eastAsia="Times New Roman" w:cs="Times New Roman"/>
                <w:color w:val="000000"/>
                <w:sz w:val="20"/>
                <w:szCs w:val="20"/>
              </w:rPr>
              <w:t>1426</w:t>
            </w:r>
          </w:p>
        </w:tc>
        <w:tc>
          <w:tcPr>
            <w:tcW w:w="11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B7B3B5" w14:textId="77777777" w:rsidR="00670FD4" w:rsidRDefault="00670FD4" w:rsidP="001925BA">
            <w:pPr>
              <w:spacing w:before="0" w:after="0" w:line="240" w:lineRule="auto"/>
              <w:ind w:firstLine="122"/>
              <w:jc w:val="center"/>
              <w:rPr>
                <w:rFonts w:eastAsia="Times New Roman" w:cs="Times New Roman"/>
                <w:sz w:val="20"/>
                <w:szCs w:val="20"/>
              </w:rPr>
            </w:pPr>
            <w:r>
              <w:rPr>
                <w:rFonts w:eastAsia="Times New Roman" w:cs="Times New Roman"/>
                <w:color w:val="000000"/>
                <w:sz w:val="20"/>
                <w:szCs w:val="20"/>
              </w:rPr>
              <w:t>1290</w:t>
            </w:r>
          </w:p>
        </w:tc>
      </w:tr>
    </w:tbl>
    <w:p w14:paraId="0DB47EEA" w14:textId="77777777" w:rsidR="00670FD4" w:rsidRDefault="00670FD4" w:rsidP="00670FD4">
      <w:pPr>
        <w:rPr>
          <w:b/>
          <w:color w:val="000000"/>
        </w:rPr>
      </w:pPr>
    </w:p>
    <w:p w14:paraId="6075A05C" w14:textId="77777777" w:rsidR="00670FD4" w:rsidRDefault="00670FD4" w:rsidP="00670FD4">
      <w:pPr>
        <w:spacing w:before="0"/>
        <w:rPr>
          <w:rFonts w:eastAsia="Times New Roman" w:cs="Times New Roman"/>
          <w:b/>
          <w:i/>
          <w:color w:val="000000"/>
        </w:rPr>
      </w:pPr>
      <w:r>
        <w:rPr>
          <w:rFonts w:eastAsia="Times New Roman" w:cs="Times New Roman"/>
          <w:b/>
          <w:i/>
          <w:color w:val="000000"/>
        </w:rPr>
        <w:t>Introducere de deșeuri (poluare cu deșeuri)</w:t>
      </w:r>
    </w:p>
    <w:p w14:paraId="1B95E2F5" w14:textId="77777777" w:rsidR="00670FD4" w:rsidRDefault="00670FD4" w:rsidP="00670FD4">
      <w:pPr>
        <w:spacing w:before="0"/>
        <w:ind w:firstLine="567"/>
        <w:rPr>
          <w:rFonts w:eastAsia="Times New Roman" w:cs="Times New Roman"/>
        </w:rPr>
      </w:pPr>
      <w:r>
        <w:rPr>
          <w:rFonts w:eastAsia="Times New Roman" w:cs="Times New Roman"/>
        </w:rPr>
        <w:t>În sectorul nordic al zonei costiere, principalele activități economice ce conduc la introducerea deșeurilor în mediu sunt turismul, transportul naval și dezvoltarea urbană. Referitor la transportul naval, în scopul limitării/evitarea poluării cu deșeuri, ARBDD a impus societăţilor deţinătoare de mijloace navale de transport, aplicarea recomandărilor POLDANUBE – 1986 la fluviu şi a Convenţiei MARPOL 73/78 de către navele maritime (Consiliul Județean Tulcea, 2021).</w:t>
      </w:r>
    </w:p>
    <w:p w14:paraId="60309C4E" w14:textId="77777777" w:rsidR="00670FD4" w:rsidRDefault="00670FD4" w:rsidP="00670FD4">
      <w:pPr>
        <w:spacing w:before="0"/>
        <w:ind w:firstLine="567"/>
        <w:rPr>
          <w:rFonts w:eastAsia="Times New Roman" w:cs="Times New Roman"/>
        </w:rPr>
      </w:pPr>
      <w:r>
        <w:rPr>
          <w:rFonts w:eastAsia="Times New Roman" w:cs="Times New Roman"/>
        </w:rPr>
        <w:t>Analiza situaţiei salubrităţii localităţilor din mediul urban şi rural din RBDD a scos în evidenţă următoarele aspecte:</w:t>
      </w:r>
    </w:p>
    <w:p w14:paraId="43E94B3B" w14:textId="77777777" w:rsidR="00670FD4" w:rsidRDefault="00670FD4" w:rsidP="00670FD4">
      <w:pPr>
        <w:spacing w:before="0"/>
        <w:ind w:firstLine="567"/>
        <w:rPr>
          <w:rFonts w:eastAsia="Times New Roman" w:cs="Times New Roman"/>
        </w:rPr>
      </w:pPr>
      <w:r>
        <w:rPr>
          <w:rFonts w:eastAsia="Times New Roman" w:cs="Times New Roman"/>
        </w:rPr>
        <w:t>- de multe ori, deşeurile, p</w:t>
      </w:r>
      <w:r>
        <w:rPr>
          <w:rFonts w:eastAsia="Times New Roman" w:cs="Times New Roman"/>
          <w:lang w:val="ro-RO"/>
        </w:rPr>
        <w:t>înă la preluarea lor pentru a fi transportate la stațiile de transfer-sortare,</w:t>
      </w:r>
      <w:r>
        <w:rPr>
          <w:rFonts w:eastAsia="Times New Roman" w:cs="Times New Roman"/>
        </w:rPr>
        <w:t xml:space="preserve"> sunt depozitate direct pe sol, putând genera o poluare atât a solului, cât și a apelor subterane;</w:t>
      </w:r>
    </w:p>
    <w:p w14:paraId="67F7E9AD" w14:textId="77777777" w:rsidR="00670FD4" w:rsidRDefault="00670FD4" w:rsidP="00670FD4">
      <w:pPr>
        <w:spacing w:before="0"/>
        <w:ind w:firstLine="567"/>
        <w:rPr>
          <w:rFonts w:eastAsia="Times New Roman" w:cs="Times New Roman"/>
        </w:rPr>
      </w:pPr>
      <w:r>
        <w:rPr>
          <w:rFonts w:eastAsia="Times New Roman" w:cs="Times New Roman"/>
        </w:rPr>
        <w:t>- nu se efectuează spălarea şi dezinfectarea mijloacelor de transport şi a recipientelor de precolectare a reziduurilor la nivelul rampelor;</w:t>
      </w:r>
    </w:p>
    <w:p w14:paraId="2CCC8A7C" w14:textId="77777777" w:rsidR="00670FD4" w:rsidRDefault="00670FD4" w:rsidP="00670FD4">
      <w:pPr>
        <w:spacing w:before="0"/>
        <w:ind w:firstLine="567"/>
        <w:rPr>
          <w:rFonts w:eastAsia="Times New Roman" w:cs="Times New Roman"/>
        </w:rPr>
      </w:pPr>
      <w:r>
        <w:rPr>
          <w:rFonts w:eastAsia="Times New Roman" w:cs="Times New Roman"/>
        </w:rPr>
        <w:t>- la nivelul localităţilor nu există platforme de gunoi betonate şi racordate la reţeaua de apă şi canalizare, pubelele fiind amplasate în locuri improvizate. Un alt aspect negativ este acela că multe materiale reciclabile sunt depozitate împreună cu cele nereciclabile fiind amestecate şi contaminate din punct de vedere chimic şi biologic, recuperarea lor fiind dificilă.</w:t>
      </w:r>
    </w:p>
    <w:p w14:paraId="3DE97B75" w14:textId="77777777" w:rsidR="00670FD4" w:rsidRDefault="00670FD4" w:rsidP="00670FD4">
      <w:pPr>
        <w:spacing w:before="0"/>
        <w:ind w:firstLine="567"/>
        <w:rPr>
          <w:rFonts w:eastAsia="Times New Roman" w:cs="Times New Roman"/>
        </w:rPr>
      </w:pPr>
      <w:r>
        <w:rPr>
          <w:rFonts w:eastAsia="Times New Roman" w:cs="Times New Roman"/>
        </w:rPr>
        <w:lastRenderedPageBreak/>
        <w:t>În partea sudică a zonei costiere, în mod firesc, cantitățile de deșeuri generate sunt semnificativ mai ridicate comparativ cu partea nordică, iar din punct de vedere sezonier, aceste cantități cresc semnificativ în perioada caldă (vârful sezonului turistic). Această presiune, respectiv introducerea de deșeuri, este generată în diferite proporții de toate activitățile economice ce se realizează în zona costieră. Cele mai importante activități ce contribuie la creșterea acestei presiuni sunt dezvoltarea urbană, turismul, industria, inclusiv activitățile portuare, pescuitul (prin abandonarea sau pierderea accidentală a uneltelor de pescuit) și transportul, în special naval. Referitor la acesta din urmă, mediile zilnice de reziduuri generate de navele care utilizează porturile maritime și pentru care trebuie asigurate capacității de preluare sunt: reziduuri petroliere - 24 tone/zi, ape uzate - 0,2 tone/zi, gunoi - 2 tone/zi și reziduuri de marfa - 4,4 tone/zi (CN APM, 2015). În ceea ce privește cea mai importantă unitate industrială din zona costieră, respectiv Rafinăria Petromidia și Uzina Chimică Năvodari, aceasta a implementat un sistem de colectare separată a deșeurilor menajere și a deșeurilor din procesul de producție. Sursele și fluxurile de deșeuri sunt identificate și monitorizate de la generare până la eliminarea finală/valorificarea acestora și în funcție de categoria de deșeuri, acestea sunt depozitate temporar în locații dedicate pentru eliminare/valorificare. Petromidia nu tratează deșeurile înainte de eliminare sau reciclare (doar colectează selectiv deșeurile în funcție de categorie și le depozitează temporar în locații dedicate, etichetate corespunzător înainte de a fi eliminate/reciclate). În 2021, 98,5 % din totalul deșeurilor care au părăsit platforma au fost trimise spre valorificare, restul, constituit în principal din deșeuri menajere, a fost trimise spre eliminare. În 2020, 93 % din totalul deșeurilor care au părăsit platforma au fost trimise spre valorificare, cele 7 % trimise la eliminare fiind în principal deșeuri menajere, sol contaminat, vată minerală contaminată, iar în 2019, 92 % din deșeuri au fost trimise spre valorificare, restul fiind eliminate.</w:t>
      </w:r>
    </w:p>
    <w:p w14:paraId="41320B20" w14:textId="77777777" w:rsidR="00670FD4" w:rsidRDefault="00670FD4" w:rsidP="00670FD4">
      <w:pPr>
        <w:spacing w:before="0"/>
        <w:ind w:firstLine="567"/>
        <w:rPr>
          <w:rFonts w:eastAsia="Times New Roman" w:cs="Times New Roman"/>
        </w:rPr>
      </w:pPr>
      <w:r>
        <w:rPr>
          <w:rFonts w:eastAsia="Times New Roman" w:cs="Times New Roman"/>
        </w:rPr>
        <w:t xml:space="preserve">În anul 2021, cantitatea de deșeuri municipale colectată la nivelul județului Constanța, prin intermediul operatorilor de salubrizare a fost de 419.925 tone. Conform Raportului de stare a mediului 2021, elaborat de AJPM Constanța, 79,4 % din cantitatea totală de deșeuri municipale colectată de operatorii serviciului de salubrizare în 2021 este reprezentată de deșeurile menajere și asimilabile colectate de la populație și operatori economici, restul incluzând deșeurile din servicii municipale și deșeurile din construcții și desființări. Trebuie menţionat faptul că, în judeţul Constanța, colectarea deșeurilor municipale nu este generalizată; spre deosebire de zona urbană, unde gradul de colectare este de 100 %, zona rurală nu este acoperită în totalitate cu servicii de salubrizare (conform AJPM Constanța, circa 94 % din așezările rurale au fost acoperite de serviciile de salubrizare în 2021). Astfel, aceste deșeuri necolectate, împreună cu cele depozitate ilegal, constituie o presiune importantă asupra calității solurilor și apelor, peisajului, precum și biodiversității și habitatelor. </w:t>
      </w:r>
    </w:p>
    <w:p w14:paraId="37E19960" w14:textId="77777777" w:rsidR="00670FD4" w:rsidRDefault="00670FD4" w:rsidP="00670FD4">
      <w:pPr>
        <w:spacing w:before="0"/>
        <w:ind w:firstLine="567"/>
        <w:rPr>
          <w:rFonts w:eastAsia="Times New Roman" w:cs="Times New Roman"/>
        </w:rPr>
      </w:pPr>
      <w:r>
        <w:rPr>
          <w:rFonts w:eastAsia="Times New Roman" w:cs="Times New Roman"/>
        </w:rPr>
        <w:t>În 2021, circa 69 % din cantitatea de deșeuri municipale colectată la nivelul județului Constanța a fost eliminată direct în depozite de deșeuri autorizate, restul de circa 30% reprezintă cantitatea de deșeuri supusă tratării în instalațiile de tratare deșeuri municipale (o parte din deșeurile rezultate din aceste activități sunt deșeuri reciclabile cu valorificare prin operatori autorizați).</w:t>
      </w:r>
    </w:p>
    <w:p w14:paraId="64C5CE0A" w14:textId="77777777" w:rsidR="00670FD4" w:rsidRDefault="00670FD4" w:rsidP="00670FD4">
      <w:pPr>
        <w:spacing w:before="0"/>
        <w:ind w:firstLine="567"/>
        <w:rPr>
          <w:rFonts w:eastAsia="Times New Roman" w:cs="Times New Roman"/>
        </w:rPr>
      </w:pPr>
      <w:r>
        <w:rPr>
          <w:rFonts w:eastAsia="Times New Roman" w:cs="Times New Roman"/>
        </w:rPr>
        <w:lastRenderedPageBreak/>
        <w:t>În ciuda existenței a numeroase reglementări legislative (Ordonan</w:t>
      </w:r>
      <w:r>
        <w:rPr>
          <w:rFonts w:eastAsia="Times New Roman" w:cs="Times New Roman"/>
          <w:lang w:val="ro-RO"/>
        </w:rPr>
        <w:t>ța de urgență</w:t>
      </w:r>
      <w:r>
        <w:rPr>
          <w:rFonts w:eastAsia="Times New Roman" w:cs="Times New Roman"/>
        </w:rPr>
        <w:t xml:space="preserve"> 92/2021 privind regimul deșeurilor, Legea 181/2020 privind gestionarea deșeurilor nepericuloase compostabile, H.G. nr. 1061/2008 privind transportul deseurilor periculoase si nepericuloase pe teritoriul României, Ordonanța de Urgență. 2/2021 privind depozitarea deșeurilor, etc.), strategii și planuri de management a deșeurilor la nivel național (HG 870/2013 - Strategia Națională privind Gestionarea Deșeurilor, HG 942/2017 - Planul Național privind gestionarea deșeurilor) și local (Plan Județean de Gestionare a Deșeurilor Județul Constanța 2020-2025, Plan Județean de gestionare a Deșeurilor Județul Tulcea), problema introducerii deșeurilor în mediu încă persistă în zona costieră. În partea sudică a zonei costiere, gradul de conectare a populației la serviciile de salubrizare este peste 99 %, în timp ce în zona nordică, există 3 UAT-uri (Istria, Mihai Viteazu și Săcele) neconectate încă la serviciile de colectare și transport a deșeurilor municipale (conform Planului Județean de Gestionare a Deșeurilor Județul Constanța 2020-2025). În ciuda unui procent relativ ridicat de colectare și transfer a deșeurilor municipale la nivelul zonei costiere, există încă problema depozitării ilegale a deșeurilor, fapt “încurajat“ și de lipsa unui control strict și de aplicare a sancțiunilor din partea autorităților competente.</w:t>
      </w:r>
    </w:p>
    <w:p w14:paraId="137E517E" w14:textId="77777777" w:rsidR="00670FD4" w:rsidRDefault="00670FD4" w:rsidP="00670FD4">
      <w:pPr>
        <w:spacing w:before="0"/>
        <w:ind w:firstLine="567"/>
        <w:rPr>
          <w:rFonts w:eastAsia="Times New Roman" w:cs="Times New Roman"/>
        </w:rPr>
      </w:pPr>
      <w:r>
        <w:rPr>
          <w:rFonts w:eastAsia="Times New Roman" w:cs="Times New Roman"/>
        </w:rPr>
        <w:t xml:space="preserve">Tot legat de colectarea deșeurilor, este necesară și extinderea colectării separate a deșeurilor biodegradabile, precum și aplicarea de soluții ecologice pentru reducerea cantitatilor de deșeuri biodegradabile rezultate în mediul rural sau în zonele de case din mediul urban (așa numita compostare la domiciliu). </w:t>
      </w:r>
    </w:p>
    <w:p w14:paraId="70090BEA" w14:textId="77777777" w:rsidR="00670FD4" w:rsidRDefault="00670FD4" w:rsidP="00670FD4">
      <w:pPr>
        <w:spacing w:before="0"/>
        <w:ind w:firstLine="567"/>
        <w:rPr>
          <w:rFonts w:eastAsia="Times New Roman" w:cs="Times New Roman"/>
        </w:rPr>
      </w:pPr>
      <w:r>
        <w:rPr>
          <w:rFonts w:eastAsia="Times New Roman" w:cs="Times New Roman"/>
        </w:rPr>
        <w:t>O altă problemă legată de managementul deșeurilor se referă la procentul ridicat de deșeuri eliminate prin depozitare. Apare deci, necesitatea extinderii infrastructurii de tratare a deșeurilor (în special prin digestie anaerobă, tratarea termică generând emisii periculoase în atmosferă). În cazul deșeurilor provenite din construcții, este necesară întărirea controlului depozitării ilegale a acestora și, de asemenea, dezvoltarea infrastructurii de tratare pentru acest tip de deșeuri, care să asigure reutilizarea și reciclarea prin transformarea acestora în materiale sau materii secundare gata de utilizare.</w:t>
      </w:r>
    </w:p>
    <w:p w14:paraId="261AF23E" w14:textId="77777777" w:rsidR="00670FD4" w:rsidRDefault="00670FD4" w:rsidP="00670FD4">
      <w:pPr>
        <w:spacing w:before="0"/>
        <w:ind w:firstLine="567"/>
        <w:rPr>
          <w:rFonts w:eastAsia="Times New Roman" w:cs="Times New Roman"/>
        </w:rPr>
      </w:pPr>
      <w:r>
        <w:rPr>
          <w:rFonts w:eastAsia="Times New Roman" w:cs="Times New Roman"/>
        </w:rPr>
        <w:t>În fine, principala cale de limitare a poluării cu deșeuri rămâne reducerea generării acestora, iar pentru realizarea acestui deziderat este nevoie de campanii de promovare a reducerii consumului, de promovare a soluțiilor ecologice de tratare a deșeurilor și/sau valorificare a unor tipuri de deșeuri, precum și de conștientizare a impactului deșeurilor de orice tip asupra mediului, sănătății și bunăstării populației, inclusiv în media.</w:t>
      </w:r>
    </w:p>
    <w:p w14:paraId="72CBED17" w14:textId="77777777" w:rsidR="00670FD4" w:rsidRDefault="00670FD4" w:rsidP="00670FD4">
      <w:pPr>
        <w:spacing w:before="0"/>
        <w:ind w:firstLine="567"/>
        <w:rPr>
          <w:rFonts w:eastAsia="Times New Roman" w:cs="Times New Roman"/>
          <w:i/>
        </w:rPr>
      </w:pPr>
      <w:r>
        <w:rPr>
          <w:rFonts w:eastAsia="Times New Roman" w:cs="Times New Roman"/>
          <w:i/>
        </w:rPr>
        <w:t>Deșeuri de pe plajă (beach litter)</w:t>
      </w:r>
    </w:p>
    <w:p w14:paraId="145390E1" w14:textId="77777777" w:rsidR="00670FD4" w:rsidRDefault="00670FD4" w:rsidP="00670FD4">
      <w:pPr>
        <w:spacing w:before="0"/>
        <w:ind w:firstLine="567"/>
        <w:rPr>
          <w:rFonts w:eastAsia="Times New Roman" w:cs="Times New Roman"/>
        </w:rPr>
      </w:pPr>
      <w:r>
        <w:rPr>
          <w:rFonts w:eastAsia="Times New Roman" w:cs="Times New Roman"/>
        </w:rPr>
        <w:t xml:space="preserve">Deșeurile de pe plaje, provenite în cea mai mare parte din activitățile de turism și recreere, dar și din mediul marin, sunt evaluate pe baza metodologiei specificate de Ghidul de monitorizare a deșeurilor marine din mările europene elaborat de Grupul de experți tehnici pe deșeuri marine al Comisiei Europene (MSFD Technical Subgroup on Marine Litter, 2013) și a aplicației Marine Litter Watch App (https://www.eea.europa.eu/themes/water/europes-seas-and-coasts/assessments/marine-litterwatch) pe plajele Vadu, Maria Regia Beach (Mamaia Nord), Flora (zona Mamaia Sud) și Malibu (zona Mamaia Sud) (Boicenco și colab., 2022). Rezultatele monitorizărilor au arătat menţinerea tendinței generale de creștere a numărului total de macro-deșeuri acumulate pe plajele romȃnești, peste valoarea prag europeană de 20 </w:t>
      </w:r>
      <w:r>
        <w:rPr>
          <w:rFonts w:eastAsia="Times New Roman" w:cs="Times New Roman"/>
        </w:rPr>
        <w:lastRenderedPageBreak/>
        <w:t xml:space="preserve">deșeuri/100 m (Van Loon și colab., 2020). Principala categorie de deșeuri de pe plajă a fost reprezentată de mucuri de țigară și filtre (circa 35 %), urmată de fragmente de hartie, bucăți de plastic/polistiren cu dimensiuni între 2,5 cm și 50 cm, pungi pentru cumpărături, tacâmuri și tăvi/paie și bețe pentru amestecat, capace din plastic/ capace de la sticlele de băuturi, etc. (INCDM, 2022). Din punct de vedere calitativ, plasticul constituie materialul dominant (78 %) pe plajele analizate, restul de numai 22 % fiind reprezentate de hârtie/carton (14 %), metal (3 %), textile (3 %), sticlă/ceramicã (0,28 %), materiale de lemn (0,46 %), cauciuc (0,53 %), etc. (INCDM, 2022). </w:t>
      </w:r>
    </w:p>
    <w:p w14:paraId="64E9D596" w14:textId="77777777" w:rsidR="00670FD4" w:rsidRDefault="00670FD4" w:rsidP="00670FD4">
      <w:pPr>
        <w:spacing w:before="0"/>
        <w:ind w:firstLine="567"/>
        <w:rPr>
          <w:rFonts w:eastAsia="Times New Roman" w:cs="Times New Roman"/>
        </w:rPr>
      </w:pPr>
      <w:r>
        <w:rPr>
          <w:rFonts w:eastAsia="Times New Roman" w:cs="Times New Roman"/>
        </w:rPr>
        <w:t>Prezența deșeurilor pe plajă au un impact negativ atât asupra peisajului, conducând la afectarea utilizărilor recreative și la pierderea valorii turistice, cât și asupra calității apei.</w:t>
      </w:r>
    </w:p>
    <w:p w14:paraId="79B3D120" w14:textId="77777777" w:rsidR="00670FD4" w:rsidRDefault="00670FD4" w:rsidP="00670FD4">
      <w:pPr>
        <w:spacing w:before="0"/>
        <w:rPr>
          <w:rFonts w:eastAsia="Times New Roman" w:cs="Times New Roman"/>
          <w:i/>
        </w:rPr>
      </w:pPr>
      <w:r>
        <w:rPr>
          <w:rFonts w:eastAsia="Times New Roman" w:cs="Times New Roman"/>
          <w:i/>
        </w:rPr>
        <w:t>Deșeuri de pe fundul mării</w:t>
      </w:r>
    </w:p>
    <w:p w14:paraId="026ABF93" w14:textId="77777777" w:rsidR="00670FD4" w:rsidRDefault="00670FD4" w:rsidP="00670FD4">
      <w:pPr>
        <w:spacing w:before="0"/>
        <w:ind w:firstLine="567"/>
        <w:rPr>
          <w:rFonts w:eastAsia="Times New Roman" w:cs="Times New Roman"/>
        </w:rPr>
      </w:pPr>
      <w:r>
        <w:rPr>
          <w:rFonts w:eastAsia="Times New Roman" w:cs="Times New Roman"/>
        </w:rPr>
        <w:t>Prezența macro-deșeurilor bentale în mediul marin se datorează în principal activităților de transport maritim, activităților portuare, precum și pescuitului. Monitorizarea deșeurilor bentale (prin traulare) realizată de către INCDM Grigore Antipa în 2021 arată o cantitate totală de 11,65 kg deșeuri pe o suprafață traulată de 7.780 m</w:t>
      </w:r>
      <w:r>
        <w:rPr>
          <w:rFonts w:eastAsia="Times New Roman" w:cs="Times New Roman"/>
          <w:vertAlign w:val="superscript"/>
        </w:rPr>
        <w:t>2</w:t>
      </w:r>
      <w:r>
        <w:rPr>
          <w:rFonts w:eastAsia="Times New Roman" w:cs="Times New Roman"/>
        </w:rPr>
        <w:t>. Din punct de vedere calitativ, predomină deșeurile din metal (45 %), urmate de cele din plastic (42 %) și sticlă (7,5 %). Analizând datele colectate în perioada 2016-2021, se observă o tendință de scădere semnificativă, atât în ceea ce privește cantitatea raportată la suprafața traulată, cât și numărul de obiecte (INCDM, 2022). Totuși, referitor la cantitatea totală, cifrele furnizate de către INCDM Grigore Antipa nu iau în considerare macro-deșeurile, prezente în cantități semnificativ mai ridicate în radele exterioare și interioare ale porturilor Constanța, Midia, Sulina și Mangalia. Impactul prezenței deșeurilor atât pe fundul mării, cât și în coloana de apă (cu precădere unelte de pescuit abandonate sau pierdute) constă în rănirea sau uciderea animalelor sălbatice marine (mamifere marine, păsări marine), deteriorarea și degradarea habitatelor bentale, afectarea siguranței navigației, pierderi economice pentru pescuit și turism (conducând la degradarea calității vieții în comunitățile costiere).</w:t>
      </w:r>
    </w:p>
    <w:p w14:paraId="5444231F" w14:textId="77777777" w:rsidR="00670FD4" w:rsidRDefault="00670FD4" w:rsidP="00670FD4">
      <w:pPr>
        <w:spacing w:before="0"/>
        <w:rPr>
          <w:rFonts w:eastAsia="Times New Roman" w:cs="Times New Roman"/>
          <w:b/>
          <w:i/>
        </w:rPr>
      </w:pPr>
      <w:r>
        <w:rPr>
          <w:rFonts w:eastAsia="Times New Roman" w:cs="Times New Roman"/>
          <w:b/>
          <w:i/>
        </w:rPr>
        <w:t>Introducerea de specii invazive</w:t>
      </w:r>
    </w:p>
    <w:p w14:paraId="5504495C" w14:textId="77777777" w:rsidR="00670FD4" w:rsidRDefault="00670FD4" w:rsidP="00670FD4">
      <w:pPr>
        <w:spacing w:before="0"/>
        <w:ind w:firstLine="567"/>
        <w:rPr>
          <w:rFonts w:eastAsia="Times New Roman" w:cs="Times New Roman"/>
        </w:rPr>
      </w:pPr>
      <w:r>
        <w:rPr>
          <w:rFonts w:eastAsia="Times New Roman" w:cs="Times New Roman"/>
        </w:rPr>
        <w:t xml:space="preserve">Analiza speciilor străine semnalate din dreptul litoralului românesc al Mării Negre, arată că numărul acestora este relativ redus, dacă ne referim la lista speciilor străine din Marea Neagră. Comparativ cu cele 293 de specii străine citate din Marea Neagră (AquaNIS), în zona litoralului românesc au fost identificare cu certitudine doar 54 de specii, iar, dintre acestea, doar câteva au statut de specii invazive – </w:t>
      </w:r>
      <w:r>
        <w:rPr>
          <w:rFonts w:eastAsia="Times New Roman" w:cs="Times New Roman"/>
          <w:i/>
        </w:rPr>
        <w:t>Mnemiopsis leidyi</w:t>
      </w:r>
      <w:r>
        <w:rPr>
          <w:rFonts w:eastAsia="Times New Roman" w:cs="Times New Roman"/>
        </w:rPr>
        <w:t xml:space="preserve">, </w:t>
      </w:r>
      <w:r>
        <w:rPr>
          <w:rFonts w:eastAsia="Times New Roman" w:cs="Times New Roman"/>
          <w:i/>
        </w:rPr>
        <w:t>Beroe ovata</w:t>
      </w:r>
      <w:r>
        <w:rPr>
          <w:rFonts w:eastAsia="Times New Roman" w:cs="Times New Roman"/>
        </w:rPr>
        <w:t xml:space="preserve">, </w:t>
      </w:r>
      <w:r>
        <w:rPr>
          <w:rFonts w:eastAsia="Times New Roman" w:cs="Times New Roman"/>
          <w:i/>
        </w:rPr>
        <w:t>Ficopomatus</w:t>
      </w:r>
      <w:r>
        <w:rPr>
          <w:rFonts w:eastAsia="Times New Roman" w:cs="Times New Roman"/>
        </w:rPr>
        <w:t xml:space="preserve"> </w:t>
      </w:r>
      <w:r>
        <w:rPr>
          <w:rFonts w:eastAsia="Times New Roman" w:cs="Times New Roman"/>
          <w:i/>
        </w:rPr>
        <w:t>aenigmaticus</w:t>
      </w:r>
      <w:r>
        <w:rPr>
          <w:rFonts w:eastAsia="Times New Roman" w:cs="Times New Roman"/>
        </w:rPr>
        <w:t xml:space="preserve">, </w:t>
      </w:r>
      <w:r>
        <w:rPr>
          <w:rFonts w:eastAsia="Times New Roman" w:cs="Times New Roman"/>
          <w:i/>
        </w:rPr>
        <w:t>Rapana venosa</w:t>
      </w:r>
      <w:r>
        <w:rPr>
          <w:rFonts w:eastAsia="Times New Roman" w:cs="Times New Roman"/>
        </w:rPr>
        <w:t xml:space="preserve">, </w:t>
      </w:r>
      <w:r>
        <w:rPr>
          <w:rFonts w:eastAsia="Times New Roman" w:cs="Times New Roman"/>
          <w:i/>
        </w:rPr>
        <w:t>Anadara kagoshimensis</w:t>
      </w:r>
      <w:r>
        <w:rPr>
          <w:rFonts w:eastAsia="Times New Roman" w:cs="Times New Roman"/>
        </w:rPr>
        <w:t xml:space="preserve">, </w:t>
      </w:r>
      <w:r>
        <w:rPr>
          <w:rFonts w:eastAsia="Times New Roman" w:cs="Times New Roman"/>
          <w:i/>
        </w:rPr>
        <w:t>Mya arenaria</w:t>
      </w:r>
      <w:r>
        <w:rPr>
          <w:rFonts w:eastAsia="Times New Roman" w:cs="Times New Roman"/>
        </w:rPr>
        <w:t xml:space="preserve">, </w:t>
      </w:r>
      <w:r>
        <w:rPr>
          <w:rFonts w:eastAsia="Times New Roman" w:cs="Times New Roman"/>
          <w:i/>
        </w:rPr>
        <w:t>Balanus improvisus</w:t>
      </w:r>
      <w:r>
        <w:rPr>
          <w:rFonts w:eastAsia="Times New Roman" w:cs="Times New Roman"/>
        </w:rPr>
        <w:t xml:space="preserve"> – generând restructurarea profundă a asociațiilor de organisme autohtone, bentale și pelagice. Cel mai puternic impact dintre aceste specii l-a avut, de departe, </w:t>
      </w:r>
      <w:r>
        <w:rPr>
          <w:rFonts w:eastAsia="Times New Roman" w:cs="Times New Roman"/>
          <w:i/>
        </w:rPr>
        <w:t>Mnemiopsis leidy</w:t>
      </w:r>
      <w:r>
        <w:rPr>
          <w:rFonts w:eastAsia="Times New Roman" w:cs="Times New Roman"/>
        </w:rPr>
        <w:t xml:space="preserve">, o specie de ctenofor originară din Atlanticul de vest, care după ce a fost introdus involuntar în Marea Neagră prin apa de balast a navelor sovietice, a produs o reconfigurare profundă a structurii comunităților de organisme zooplanctonice, afectând baza trofică a celor mai multe specii de pești din Marea Neagră care erau exploatați industrial și provocând colapsul pescăriilor care se bazau pe aceste resurse din statele riverane. Modificări la fel de importante din punct de vedere al biodiversității, dar fără impact economic au produs specii ca </w:t>
      </w:r>
      <w:r>
        <w:rPr>
          <w:rFonts w:eastAsia="Times New Roman" w:cs="Times New Roman"/>
          <w:i/>
        </w:rPr>
        <w:t>Beroe ovata</w:t>
      </w:r>
      <w:r>
        <w:rPr>
          <w:rFonts w:eastAsia="Times New Roman" w:cs="Times New Roman"/>
        </w:rPr>
        <w:t xml:space="preserve">, </w:t>
      </w:r>
      <w:r>
        <w:rPr>
          <w:rFonts w:eastAsia="Times New Roman" w:cs="Times New Roman"/>
          <w:i/>
        </w:rPr>
        <w:t>Ficopomatus</w:t>
      </w:r>
      <w:r>
        <w:rPr>
          <w:rFonts w:eastAsia="Times New Roman" w:cs="Times New Roman"/>
        </w:rPr>
        <w:t xml:space="preserve"> </w:t>
      </w:r>
      <w:r>
        <w:rPr>
          <w:rFonts w:eastAsia="Times New Roman" w:cs="Times New Roman"/>
          <w:i/>
        </w:rPr>
        <w:t>enigmaticu</w:t>
      </w:r>
      <w:r>
        <w:rPr>
          <w:rFonts w:eastAsia="Times New Roman" w:cs="Times New Roman"/>
        </w:rPr>
        <w:t xml:space="preserve">s, </w:t>
      </w:r>
      <w:r>
        <w:rPr>
          <w:rFonts w:eastAsia="Times New Roman" w:cs="Times New Roman"/>
          <w:i/>
        </w:rPr>
        <w:t>Anadara kagoshimensis</w:t>
      </w:r>
      <w:r>
        <w:rPr>
          <w:rFonts w:eastAsia="Times New Roman" w:cs="Times New Roman"/>
        </w:rPr>
        <w:t xml:space="preserve">, </w:t>
      </w:r>
      <w:r>
        <w:rPr>
          <w:rFonts w:eastAsia="Times New Roman" w:cs="Times New Roman"/>
          <w:i/>
        </w:rPr>
        <w:t>Mya arenaria</w:t>
      </w:r>
      <w:r>
        <w:rPr>
          <w:rFonts w:eastAsia="Times New Roman" w:cs="Times New Roman"/>
        </w:rPr>
        <w:t xml:space="preserve">, </w:t>
      </w:r>
      <w:r>
        <w:rPr>
          <w:rFonts w:eastAsia="Times New Roman" w:cs="Times New Roman"/>
          <w:i/>
        </w:rPr>
        <w:t>Amphibalanus improvisus</w:t>
      </w:r>
      <w:r>
        <w:rPr>
          <w:rFonts w:eastAsia="Times New Roman" w:cs="Times New Roman"/>
        </w:rPr>
        <w:t xml:space="preserve">, în vreme ce </w:t>
      </w:r>
      <w:r>
        <w:rPr>
          <w:rFonts w:eastAsia="Times New Roman" w:cs="Times New Roman"/>
          <w:i/>
        </w:rPr>
        <w:lastRenderedPageBreak/>
        <w:t>Rapana venosa</w:t>
      </w:r>
      <w:r>
        <w:rPr>
          <w:rFonts w:eastAsia="Times New Roman" w:cs="Times New Roman"/>
        </w:rPr>
        <w:t xml:space="preserve"> a devenit o resursă biotică importantă, în prezent asigurând peste 90 % din producția piscicolă marină românească.</w:t>
      </w:r>
    </w:p>
    <w:p w14:paraId="207F2AE3" w14:textId="77777777" w:rsidR="00670FD4" w:rsidRDefault="00670FD4" w:rsidP="00670FD4">
      <w:pPr>
        <w:spacing w:before="0"/>
        <w:ind w:firstLine="567"/>
        <w:rPr>
          <w:rFonts w:eastAsia="Times New Roman" w:cs="Times New Roman"/>
        </w:rPr>
      </w:pPr>
      <w:r>
        <w:rPr>
          <w:rFonts w:eastAsia="Times New Roman" w:cs="Times New Roman"/>
        </w:rPr>
        <w:t xml:space="preserve">Schimbările majore provocate de </w:t>
      </w:r>
      <w:r>
        <w:rPr>
          <w:rFonts w:eastAsia="Times New Roman" w:cs="Times New Roman"/>
          <w:i/>
        </w:rPr>
        <w:t>Mnemiopsis leidyi</w:t>
      </w:r>
      <w:r>
        <w:rPr>
          <w:rFonts w:eastAsia="Times New Roman" w:cs="Times New Roman"/>
        </w:rPr>
        <w:t xml:space="preserve"> în perioada anilor 1990 au făcut ca, în câțiva ani, să scadă numărul speciilor de pești exploatabili industrial de la 15 la doar 5, iar industria bazată pe prelucrarea peștilor originari din Marea Neagră să se prăbușească. Impactul lui </w:t>
      </w:r>
      <w:r>
        <w:rPr>
          <w:rFonts w:eastAsia="Times New Roman" w:cs="Times New Roman"/>
          <w:i/>
        </w:rPr>
        <w:t>Mnemiopsis leidyi</w:t>
      </w:r>
      <w:r>
        <w:rPr>
          <w:rFonts w:eastAsia="Times New Roman" w:cs="Times New Roman"/>
        </w:rPr>
        <w:t xml:space="preserve"> asupra stocurilor de pește din Marea Neagră a fost dramatic; în câțiva ani, capturile totale ale tuturor țărilor limitrofe au scăzut de la 600.000-700.000 tone în 1986-1989 la 200.000 tone în 1990-1991. Pentru litoralul românesc numai, capturile totale au scăzut de la 16.000 de tone, în 1986, la doar 300 de tone, în 1991 (Petran și colab., 1999).</w:t>
      </w:r>
    </w:p>
    <w:p w14:paraId="499CFF7C" w14:textId="77777777" w:rsidR="00670FD4" w:rsidRDefault="00670FD4" w:rsidP="00670FD4">
      <w:pPr>
        <w:spacing w:before="0"/>
        <w:ind w:firstLine="567"/>
        <w:rPr>
          <w:rFonts w:eastAsia="Times New Roman" w:cs="Times New Roman"/>
        </w:rPr>
      </w:pPr>
      <w:r>
        <w:rPr>
          <w:rFonts w:eastAsia="Times New Roman" w:cs="Times New Roman"/>
        </w:rPr>
        <w:t>Trebuie făcută mențiunea că numărul de specii invazive continuă să crească, ca o consecință directă a traficului maritim și a nerespectării în totalitate a normelor promovate de IMO. În zona de larg a Mării Negre, unde se efectuează debalastări au fost semnalate circa 100 de specii zooplanctonice, care nu au fost semnalate încă în apele teritoriale ale statelor riverane.</w:t>
      </w:r>
    </w:p>
    <w:p w14:paraId="27021AA8" w14:textId="77777777" w:rsidR="00670FD4" w:rsidRDefault="00670FD4" w:rsidP="00670FD4">
      <w:pPr>
        <w:spacing w:before="0"/>
        <w:ind w:firstLine="567"/>
        <w:rPr>
          <w:rFonts w:eastAsia="Times New Roman" w:cs="Times New Roman"/>
        </w:rPr>
      </w:pPr>
      <w:r>
        <w:rPr>
          <w:rFonts w:eastAsia="Times New Roman" w:cs="Times New Roman"/>
        </w:rPr>
        <w:t xml:space="preserve">În ceea ce privește modul de introducere al speciilor străine, cea mai mare parte a speciilor semnalate de la litoralul românesc a fost introdusă neintenționat (95,5 %) și doar trei – </w:t>
      </w:r>
      <w:r>
        <w:rPr>
          <w:rFonts w:eastAsia="Times New Roman" w:cs="Times New Roman"/>
          <w:i/>
        </w:rPr>
        <w:t>Magalana gigas</w:t>
      </w:r>
      <w:r>
        <w:rPr>
          <w:rFonts w:eastAsia="Times New Roman" w:cs="Times New Roman"/>
        </w:rPr>
        <w:t xml:space="preserve">, </w:t>
      </w:r>
      <w:r>
        <w:rPr>
          <w:rFonts w:eastAsia="Times New Roman" w:cs="Times New Roman"/>
          <w:i/>
        </w:rPr>
        <w:t>Crassostrea virginica</w:t>
      </w:r>
      <w:r>
        <w:rPr>
          <w:rFonts w:eastAsia="Times New Roman" w:cs="Times New Roman"/>
        </w:rPr>
        <w:t xml:space="preserve"> și </w:t>
      </w:r>
      <w:r>
        <w:rPr>
          <w:rFonts w:eastAsia="Times New Roman" w:cs="Times New Roman"/>
          <w:i/>
        </w:rPr>
        <w:t>Planiliza hematocheila</w:t>
      </w:r>
      <w:r>
        <w:rPr>
          <w:rFonts w:eastAsia="Times New Roman" w:cs="Times New Roman"/>
        </w:rPr>
        <w:t xml:space="preserve"> (5,5 %) au fost introduse intenționat, pentru acvacultură și respectiv pescuit. 51,8% din totalul de specii străine au fost introduse prin fouling și 42,6 % prin apa de balast a navelor, diferența reprezentând-o speciile introduse prin acvacultură. Referitor la proveniență, cele mai multe specii străine au origine în zona atlanto-mediteraneană (40,7%), urmând speciile cu origine indo-pacifică (33,3 %), cosmopolită (22,2 %) și speciile originare din Marea Baltică (1,8 %).</w:t>
      </w:r>
    </w:p>
    <w:p w14:paraId="16C55402" w14:textId="77777777" w:rsidR="00670FD4" w:rsidRDefault="00670FD4" w:rsidP="00670FD4">
      <w:pPr>
        <w:spacing w:before="0"/>
        <w:ind w:firstLine="567"/>
        <w:rPr>
          <w:rFonts w:eastAsia="Times New Roman" w:cs="Times New Roman"/>
        </w:rPr>
      </w:pPr>
      <w:r>
        <w:rPr>
          <w:rFonts w:eastAsia="Times New Roman" w:cs="Times New Roman"/>
        </w:rPr>
        <w:t xml:space="preserve">În habitatele terestre un inventar al speciilor invazive include peste 150 de taxoni, cea mai mare parte nevertebrate dar și specii de pești, atât marini cât și de apă dulce (crapii chinezești fitofagi - </w:t>
      </w:r>
      <w:r>
        <w:rPr>
          <w:rFonts w:eastAsia="Times New Roman" w:cs="Times New Roman"/>
          <w:i/>
        </w:rPr>
        <w:t>Aristichthys nobilis</w:t>
      </w:r>
      <w:r>
        <w:rPr>
          <w:rFonts w:eastAsia="Times New Roman" w:cs="Times New Roman"/>
        </w:rPr>
        <w:t xml:space="preserve">, </w:t>
      </w:r>
      <w:r>
        <w:rPr>
          <w:rFonts w:eastAsia="Times New Roman" w:cs="Times New Roman"/>
          <w:i/>
        </w:rPr>
        <w:t>Hypophthalichthys molitrix</w:t>
      </w:r>
      <w:r>
        <w:rPr>
          <w:rFonts w:eastAsia="Times New Roman" w:cs="Times New Roman"/>
        </w:rPr>
        <w:t xml:space="preserve">, </w:t>
      </w:r>
      <w:r>
        <w:rPr>
          <w:rFonts w:eastAsia="Times New Roman" w:cs="Times New Roman"/>
          <w:i/>
        </w:rPr>
        <w:t>Ctenopharyngodon idella</w:t>
      </w:r>
      <w:r>
        <w:rPr>
          <w:rFonts w:eastAsia="Times New Roman" w:cs="Times New Roman"/>
        </w:rPr>
        <w:t xml:space="preserve">, speciile de somn pitic – </w:t>
      </w:r>
      <w:r>
        <w:rPr>
          <w:rFonts w:eastAsia="Times New Roman" w:cs="Times New Roman"/>
          <w:i/>
        </w:rPr>
        <w:t>Ameirus melas</w:t>
      </w:r>
      <w:r>
        <w:rPr>
          <w:rFonts w:eastAsia="Times New Roman" w:cs="Times New Roman"/>
        </w:rPr>
        <w:t xml:space="preserve">, Ameirus nebulosus) sau mamifere – (bizamul </w:t>
      </w:r>
      <w:r>
        <w:rPr>
          <w:rFonts w:eastAsia="Times New Roman" w:cs="Times New Roman"/>
          <w:i/>
        </w:rPr>
        <w:t>Ondathra zibethica</w:t>
      </w:r>
      <w:r>
        <w:rPr>
          <w:rFonts w:eastAsia="Times New Roman" w:cs="Times New Roman"/>
        </w:rPr>
        <w:t xml:space="preserve">, câinele enot </w:t>
      </w:r>
      <w:r>
        <w:rPr>
          <w:rFonts w:eastAsia="Times New Roman" w:cs="Times New Roman"/>
          <w:i/>
        </w:rPr>
        <w:t>Nyctereutes procyonoides</w:t>
      </w:r>
      <w:r>
        <w:rPr>
          <w:rFonts w:eastAsia="Times New Roman" w:cs="Times New Roman"/>
        </w:rPr>
        <w:t xml:space="preserve">). Unele din aceste specii, cum sunt speciile de crapi fitofagi, au produs de asemenea reconfigurări majore ale habitatelor dulcicole în Delta Dunării, având un impact puternic asupra comunităților de specii native. </w:t>
      </w:r>
    </w:p>
    <w:p w14:paraId="2B349450" w14:textId="77777777" w:rsidR="00670FD4" w:rsidRDefault="00670FD4" w:rsidP="00670FD4">
      <w:pPr>
        <w:spacing w:before="0"/>
        <w:ind w:firstLine="567"/>
        <w:rPr>
          <w:rFonts w:eastAsia="Times New Roman" w:cs="Times New Roman"/>
        </w:rPr>
      </w:pPr>
      <w:r>
        <w:rPr>
          <w:rFonts w:eastAsia="Times New Roman" w:cs="Times New Roman"/>
        </w:rPr>
        <w:t>Speciile invazive din mediul terestru sunt mai puțin cunoscute comparativ cu cele marine, beneficiind de mai puține studii. Din cele 959 de specii terestre străine (567 de plante, 309 nevertebrate și 83 specii de vertebrate) citate din România, o mare parte se regăsesc și în zona costieră, însă studii pentru această zonă lipsesc.</w:t>
      </w:r>
    </w:p>
    <w:p w14:paraId="1B2A94C3" w14:textId="77777777" w:rsidR="00670FD4" w:rsidRDefault="00670FD4" w:rsidP="00670FD4">
      <w:pPr>
        <w:spacing w:before="0"/>
        <w:rPr>
          <w:rFonts w:eastAsia="Times New Roman" w:cs="Times New Roman"/>
          <w:b/>
          <w:i/>
        </w:rPr>
      </w:pPr>
      <w:r>
        <w:rPr>
          <w:rFonts w:eastAsia="Times New Roman" w:cs="Times New Roman"/>
          <w:b/>
          <w:i/>
        </w:rPr>
        <w:t>Degradarea / pierderea habitatelor terestre și acvatice</w:t>
      </w:r>
    </w:p>
    <w:p w14:paraId="4B99AC32" w14:textId="77777777" w:rsidR="00670FD4" w:rsidRDefault="00670FD4" w:rsidP="00670FD4">
      <w:pPr>
        <w:spacing w:before="0"/>
        <w:ind w:firstLine="567"/>
        <w:rPr>
          <w:rFonts w:eastAsia="Times New Roman" w:cs="Times New Roman"/>
        </w:rPr>
      </w:pPr>
      <w:r>
        <w:rPr>
          <w:rFonts w:eastAsia="Times New Roman" w:cs="Times New Roman"/>
          <w:color w:val="000000"/>
        </w:rPr>
        <w:t>Pentru zona costieră a Mării Negre, degradarea și pierderea suprafețelor cu habitate naturale se referă mai puțin la zona terestră și mai mult la zona marină. Dacă în mediul terestru situația este relativ sub control, existența rețelei de arii protejate Natura 2000 asigurând păstrarea stării de conservare a habitatelor terestre, în cazul mediului marin situație este diferită.</w:t>
      </w:r>
    </w:p>
    <w:p w14:paraId="616FCC35" w14:textId="77777777" w:rsidR="00670FD4" w:rsidRDefault="00670FD4" w:rsidP="00670FD4">
      <w:pPr>
        <w:spacing w:before="0"/>
        <w:ind w:firstLine="567"/>
        <w:rPr>
          <w:rFonts w:eastAsia="Times New Roman" w:cs="Times New Roman"/>
          <w:color w:val="000000"/>
        </w:rPr>
      </w:pPr>
      <w:r>
        <w:rPr>
          <w:rFonts w:eastAsia="Times New Roman" w:cs="Times New Roman"/>
          <w:color w:val="000000"/>
        </w:rPr>
        <w:t xml:space="preserve">În cazul habitatelor terestre, singura zonă în care se poate vorbi despre degradarea habitatelor naturale este cea din sudul RBDD, de la Corbu–Vadu, unde un turism scăpat de sub control și care nu respectă normele și regulamentele pentru o Rezervație a Biosferei produce an de an o degradare a habitatelor costiere din zona litorală, toate foarte sensibile la impactul </w:t>
      </w:r>
      <w:r>
        <w:rPr>
          <w:rFonts w:eastAsia="Times New Roman" w:cs="Times New Roman"/>
          <w:color w:val="000000"/>
        </w:rPr>
        <w:lastRenderedPageBreak/>
        <w:t>antropic. Alte zone unde dezvoltarea proiectelor imobiliare s-a realizat fără respectarea normelor de protecție a habitatelor sunt zona cordonului litoral dintre Eforie Nord și Eforie Sud și zona situată la nord de stațiunea Mamaia, unde practic nu mai există decât petice din habitatele naturale, însă aceste zone nu sunt incluse în arii protejate Natura 2000.</w:t>
      </w:r>
    </w:p>
    <w:p w14:paraId="18FA097D" w14:textId="77777777" w:rsidR="00670FD4" w:rsidRDefault="00670FD4" w:rsidP="00670FD4">
      <w:pPr>
        <w:spacing w:before="0"/>
        <w:ind w:firstLine="567"/>
        <w:rPr>
          <w:rFonts w:eastAsia="Times New Roman" w:cs="Times New Roman"/>
        </w:rPr>
      </w:pPr>
      <w:r>
        <w:rPr>
          <w:rFonts w:eastAsia="Times New Roman" w:cs="Times New Roman"/>
        </w:rPr>
        <w:t>Turismul necontrolat și dezvoltarea proiectelor imobiliare în zona costieră afectează considerabil habitate precum: 2110 Dune mobile embrionare în formare, 2130* Dune fixate cu vegetație erbacee (dune gri), 1410 – Pajiști sărăturate de tip mediteranean (</w:t>
      </w:r>
      <w:r>
        <w:rPr>
          <w:rFonts w:eastAsia="Times New Roman" w:cs="Times New Roman"/>
          <w:i/>
        </w:rPr>
        <w:t>Juncetalia maritima</w:t>
      </w:r>
      <w:r>
        <w:rPr>
          <w:rFonts w:eastAsia="Times New Roman" w:cs="Times New Roman"/>
        </w:rPr>
        <w:t xml:space="preserve">), 2160 – Dune cu </w:t>
      </w:r>
      <w:r>
        <w:rPr>
          <w:rFonts w:eastAsia="Times New Roman" w:cs="Times New Roman"/>
          <w:i/>
        </w:rPr>
        <w:t>Hippophae rhamnoides</w:t>
      </w:r>
      <w:r>
        <w:rPr>
          <w:rFonts w:eastAsia="Times New Roman" w:cs="Times New Roman"/>
        </w:rPr>
        <w:t xml:space="preserve">. Alte habitate naturale afectate în mod diferit de activitățile umane sunt habitatele aflate în zona costieră a RBDD - 2190 – Depresiuni umede intradunale, 6440 – Pajisti aluviale din </w:t>
      </w:r>
      <w:r>
        <w:rPr>
          <w:rFonts w:eastAsia="Times New Roman" w:cs="Times New Roman"/>
          <w:i/>
        </w:rPr>
        <w:t>Cnidion dubii</w:t>
      </w:r>
      <w:r>
        <w:rPr>
          <w:rFonts w:eastAsia="Times New Roman" w:cs="Times New Roman"/>
        </w:rPr>
        <w:t>, 6510 – Pajiști de altitudine joasă (</w:t>
      </w:r>
      <w:r>
        <w:rPr>
          <w:rFonts w:eastAsia="Times New Roman" w:cs="Times New Roman"/>
          <w:i/>
        </w:rPr>
        <w:t>Alopecurus pratensis</w:t>
      </w:r>
      <w:r>
        <w:rPr>
          <w:rFonts w:eastAsia="Times New Roman" w:cs="Times New Roman"/>
        </w:rPr>
        <w:t xml:space="preserve">, </w:t>
      </w:r>
      <w:r>
        <w:rPr>
          <w:rFonts w:eastAsia="Times New Roman" w:cs="Times New Roman"/>
          <w:i/>
        </w:rPr>
        <w:t>Sanguisorva officinalis</w:t>
      </w:r>
      <w:r>
        <w:rPr>
          <w:rFonts w:eastAsia="Times New Roman" w:cs="Times New Roman"/>
        </w:rPr>
        <w:t xml:space="preserve">), 3130 Ape stătătoare oligotrofe până la mezotrofe cu vegetație din </w:t>
      </w:r>
      <w:r>
        <w:rPr>
          <w:rFonts w:eastAsia="Times New Roman" w:cs="Times New Roman"/>
          <w:i/>
        </w:rPr>
        <w:t>Littorelletea uniflorae</w:t>
      </w:r>
      <w:r>
        <w:rPr>
          <w:rFonts w:eastAsia="Times New Roman" w:cs="Times New Roman"/>
        </w:rPr>
        <w:t xml:space="preserve"> si/sau Isoeto-Nanojuncetea, 3140 – Ape dure oligo-mezotrofe cu vegetație bentonică de specii de Chara, 3150 m – Lacuri naturale eutrofe cu vegetație tip Magnopotamion sau Hydrocharition, 3260 – Cursuri de apă din zona de câmpie până în etajul montan, cu vegetație din </w:t>
      </w:r>
      <w:r>
        <w:rPr>
          <w:rFonts w:eastAsia="Times New Roman" w:cs="Times New Roman"/>
          <w:i/>
        </w:rPr>
        <w:t>Ranunculion fluitantis</w:t>
      </w:r>
      <w:r>
        <w:rPr>
          <w:rFonts w:eastAsia="Times New Roman" w:cs="Times New Roman"/>
        </w:rPr>
        <w:t xml:space="preserve"> și Callitricho-Batrachion, 3270 – Râuri cu maluri nămoloase, cu vegetație din Chenopodion rubri p.p. și Bidention p.p..</w:t>
      </w:r>
    </w:p>
    <w:p w14:paraId="4B4ABA08" w14:textId="77777777" w:rsidR="00670FD4" w:rsidRDefault="00670FD4" w:rsidP="00670FD4">
      <w:pPr>
        <w:spacing w:before="0"/>
        <w:ind w:firstLine="567"/>
        <w:rPr>
          <w:rFonts w:eastAsia="Times New Roman" w:cs="Times New Roman"/>
          <w:color w:val="000000"/>
        </w:rPr>
      </w:pPr>
      <w:r>
        <w:rPr>
          <w:rFonts w:eastAsia="Times New Roman" w:cs="Times New Roman"/>
          <w:color w:val="000000"/>
        </w:rPr>
        <w:t xml:space="preserve">Un alt impact asupra habitatelor marine de data aceasta o reprezintă, paradoxal, proiectul de înnisipare a plajelor de la litoralul românesc. Lărgirea plajelor din sudul litoralului și din zona Constanța cu circa 100 de m, afectează toate ariile incluse în rețeaua Natura 2000 – ROSPA Marea Neagră, *ROSCI0066 Rezervația Biosferei Delta Dunării - zona marină, *ROSCI0197 Plaja submersă Eforie Nord - Eforie Sud, *ROSCI0273 Zona marină de la Capul Tuzla, ROSCI0281 Cap Aurora, ROSCI0293 </w:t>
      </w:r>
      <w:sdt>
        <w:sdtPr>
          <w:tag w:val="goog_rdk_49"/>
          <w:id w:val="1891068051"/>
        </w:sdtPr>
        <w:sdtContent>
          <w:r>
            <w:rPr>
              <w:rFonts w:eastAsia="Times New Roman" w:cs="Times New Roman"/>
              <w:color w:val="000000"/>
            </w:rPr>
            <w:t>Costinești</w:t>
          </w:r>
        </w:sdtContent>
      </w:sdt>
      <w:r>
        <w:rPr>
          <w:rFonts w:eastAsia="Times New Roman" w:cs="Times New Roman"/>
          <w:color w:val="000000"/>
        </w:rPr>
        <w:t xml:space="preserve"> - 23 August, *ROSCI0094 Izvoarele sulfuroase submarine de la Mangalia, *ROSCI0269 Vama Veche - 2 Mai, arii protejate care au limita la zona de spargere a valurilor. O înaintare a liniei țărmului cu 100 m înseamnă că practic toate habitatele marine aflate în acea zonă sunt distruse prin înnisipare. </w:t>
      </w:r>
    </w:p>
    <w:p w14:paraId="0CCF9289" w14:textId="77777777" w:rsidR="00670FD4" w:rsidRDefault="00670FD4" w:rsidP="00670FD4">
      <w:pPr>
        <w:spacing w:before="0"/>
        <w:ind w:firstLine="567"/>
        <w:rPr>
          <w:rFonts w:eastAsia="Times New Roman" w:cs="Times New Roman"/>
          <w:color w:val="000000"/>
        </w:rPr>
      </w:pPr>
      <w:r>
        <w:rPr>
          <w:rFonts w:eastAsia="Times New Roman" w:cs="Times New Roman"/>
          <w:color w:val="000000"/>
        </w:rPr>
        <w:t xml:space="preserve">Habitatele afectate de proiectul de înnisipare sunt 1110-1 Nisipuri fine, curate sau ușor mâloase, cu pajiști de Zostera, 1110 – 3 Nisipuri fine de mică adâncime, 1110-4 Nisipuri bine calibrate, 1110-5 Nisipuri grosiere </w:t>
      </w:r>
      <w:r>
        <w:rPr>
          <w:rFonts w:eastAsia="Times New Roman" w:cs="Times New Roman"/>
        </w:rPr>
        <w:t>și</w:t>
      </w:r>
      <w:r>
        <w:rPr>
          <w:rFonts w:eastAsia="Times New Roman" w:cs="Times New Roman"/>
          <w:color w:val="000000"/>
        </w:rPr>
        <w:t xml:space="preserve"> pietrișuri bătute de valuri, 1110-6 Galeți infralitorali, 1140-1 Nisipuri litorale, cu sau fără depozite detritice cu uscare rapidă, 1140-3 Nisipuri mediolitorale, 1170-3 Izvoare hidrotermale sulfuroase de mica adâncime, 1170-8 Stâncă infralitorale cu alge fotofile, 1170-8 Stâncă infralitorală cu Mytilus galloprovincialis (Tabel 2.5.2.15).</w:t>
      </w:r>
    </w:p>
    <w:p w14:paraId="12354C24" w14:textId="77777777" w:rsidR="00670FD4" w:rsidRDefault="00670FD4" w:rsidP="00670FD4">
      <w:pPr>
        <w:spacing w:before="0"/>
        <w:ind w:firstLine="567"/>
        <w:rPr>
          <w:rFonts w:eastAsia="Times New Roman" w:cs="Times New Roman"/>
        </w:rPr>
      </w:pPr>
      <w:r>
        <w:rPr>
          <w:rFonts w:eastAsia="Times New Roman" w:cs="Times New Roman"/>
          <w:color w:val="000000"/>
        </w:rPr>
        <w:t>Activitățile de pescuit cu unelte active exercită, de asemenea, o presiune semnificativă asupra stării habitatelor bentale. Utilizarea beam-traului afectează semnificativ habitatele și comunitățile bentale prin perturbarea fizică a fundului mării. Analiza datelor VMS a relevat că pescuitul cu beam-traulul se desfăşoară în perimetrul delimitat de izobatele de 5-7 m şi 30 m adâncime, de la Constanţa până la Peninsula Sacalin, suprafaţa totală afectată fiind de aproximativ 1.326 km</w:t>
      </w:r>
      <w:r>
        <w:rPr>
          <w:rFonts w:eastAsia="Times New Roman" w:cs="Times New Roman"/>
          <w:color w:val="000000"/>
          <w:vertAlign w:val="superscript"/>
        </w:rPr>
        <w:t>2</w:t>
      </w:r>
      <w:r>
        <w:rPr>
          <w:rFonts w:eastAsia="Times New Roman" w:cs="Times New Roman"/>
          <w:color w:val="000000"/>
          <w:sz w:val="48"/>
          <w:szCs w:val="48"/>
        </w:rPr>
        <w:t xml:space="preserve"> </w:t>
      </w:r>
      <w:r>
        <w:rPr>
          <w:rFonts w:eastAsia="Times New Roman" w:cs="Times New Roman"/>
          <w:color w:val="000000"/>
        </w:rPr>
        <w:t>(INCDM, 2022).</w:t>
      </w:r>
    </w:p>
    <w:p w14:paraId="21B6C7AA" w14:textId="77777777" w:rsidR="00670FD4" w:rsidRDefault="00670FD4" w:rsidP="00670FD4">
      <w:pPr>
        <w:rPr>
          <w:rFonts w:eastAsia="Times New Roman" w:cs="Times New Roman"/>
        </w:rPr>
      </w:pPr>
    </w:p>
    <w:p w14:paraId="7C167C47" w14:textId="77777777" w:rsidR="00670FD4" w:rsidRDefault="00670FD4" w:rsidP="00670FD4">
      <w:pPr>
        <w:jc w:val="center"/>
        <w:rPr>
          <w:rFonts w:eastAsia="Times New Roman" w:cs="Times New Roman"/>
        </w:rPr>
      </w:pPr>
      <w:bookmarkStart w:id="137" w:name="_heading=h.4bvk7pj" w:colFirst="0" w:colLast="0"/>
      <w:bookmarkEnd w:id="137"/>
      <w:r>
        <w:rPr>
          <w:rFonts w:eastAsia="Times New Roman" w:cs="Times New Roman"/>
          <w:b/>
          <w:color w:val="000000"/>
        </w:rPr>
        <w:t>Tabel 2.5.2.15 Suprafețe estimate pierdute/ perturbate la nivel de habitat fizic din apele teritoriale (adaptat după Boicenco și colab., 2018)</w:t>
      </w:r>
    </w:p>
    <w:tbl>
      <w:tblPr>
        <w:tblW w:w="9006" w:type="dxa"/>
        <w:jc w:val="center"/>
        <w:tblLayout w:type="fixed"/>
        <w:tblLook w:val="0400" w:firstRow="0" w:lastRow="0" w:firstColumn="0" w:lastColumn="0" w:noHBand="0" w:noVBand="1"/>
      </w:tblPr>
      <w:tblGrid>
        <w:gridCol w:w="1294"/>
        <w:gridCol w:w="1131"/>
        <w:gridCol w:w="1566"/>
        <w:gridCol w:w="1541"/>
        <w:gridCol w:w="1543"/>
        <w:gridCol w:w="1931"/>
      </w:tblGrid>
      <w:tr w:rsidR="00670FD4" w14:paraId="6C195FB8" w14:textId="77777777" w:rsidTr="001925BA">
        <w:trPr>
          <w:trHeight w:val="485"/>
          <w:jc w:val="center"/>
        </w:trPr>
        <w:tc>
          <w:tcPr>
            <w:tcW w:w="1294" w:type="dxa"/>
            <w:vMerge w:val="restart"/>
            <w:tcBorders>
              <w:top w:val="single" w:sz="8" w:space="0" w:color="5B9BD5"/>
              <w:left w:val="single" w:sz="8" w:space="0" w:color="5B9BD5"/>
              <w:bottom w:val="single" w:sz="8" w:space="0" w:color="5B9BD5"/>
              <w:right w:val="single" w:sz="6" w:space="0" w:color="000000"/>
            </w:tcBorders>
            <w:shd w:val="clear" w:color="auto" w:fill="5B9BD5"/>
            <w:tcMar>
              <w:top w:w="100" w:type="dxa"/>
              <w:left w:w="100" w:type="dxa"/>
              <w:bottom w:w="100" w:type="dxa"/>
              <w:right w:w="100" w:type="dxa"/>
            </w:tcMar>
            <w:vAlign w:val="center"/>
          </w:tcPr>
          <w:p w14:paraId="05AAA07D" w14:textId="77777777" w:rsidR="00670FD4" w:rsidRDefault="00670FD4" w:rsidP="001925BA">
            <w:pPr>
              <w:spacing w:before="0" w:after="0"/>
              <w:ind w:firstLine="0"/>
              <w:rPr>
                <w:rFonts w:eastAsia="Times New Roman" w:cs="Times New Roman"/>
              </w:rPr>
            </w:pPr>
            <w:r>
              <w:rPr>
                <w:rFonts w:eastAsia="Times New Roman" w:cs="Times New Roman"/>
                <w:b/>
                <w:color w:val="000000"/>
                <w:sz w:val="20"/>
                <w:szCs w:val="20"/>
              </w:rPr>
              <w:lastRenderedPageBreak/>
              <w:t>Habitate fizice</w:t>
            </w:r>
          </w:p>
        </w:tc>
        <w:tc>
          <w:tcPr>
            <w:tcW w:w="7712" w:type="dxa"/>
            <w:gridSpan w:val="5"/>
            <w:tcBorders>
              <w:top w:val="single" w:sz="8" w:space="0" w:color="5B9BD5"/>
              <w:left w:val="single" w:sz="6" w:space="0" w:color="000000"/>
              <w:bottom w:val="single" w:sz="8" w:space="0" w:color="5B9BD5"/>
              <w:right w:val="single" w:sz="8" w:space="0" w:color="5B9BD5"/>
            </w:tcBorders>
            <w:shd w:val="clear" w:color="auto" w:fill="5B9BD5"/>
            <w:tcMar>
              <w:top w:w="100" w:type="dxa"/>
              <w:left w:w="100" w:type="dxa"/>
              <w:bottom w:w="100" w:type="dxa"/>
              <w:right w:w="100" w:type="dxa"/>
            </w:tcMar>
          </w:tcPr>
          <w:p w14:paraId="7DDB9613" w14:textId="77777777" w:rsidR="00670FD4" w:rsidRDefault="00670FD4" w:rsidP="001925BA">
            <w:pPr>
              <w:spacing w:before="0" w:after="0"/>
              <w:jc w:val="center"/>
              <w:rPr>
                <w:rFonts w:eastAsia="Times New Roman" w:cs="Times New Roman"/>
              </w:rPr>
            </w:pPr>
            <w:r>
              <w:rPr>
                <w:rFonts w:eastAsia="Times New Roman" w:cs="Times New Roman"/>
                <w:b/>
                <w:color w:val="000000"/>
                <w:sz w:val="20"/>
                <w:szCs w:val="20"/>
              </w:rPr>
              <w:t>INDICATORI </w:t>
            </w:r>
          </w:p>
        </w:tc>
      </w:tr>
      <w:tr w:rsidR="00670FD4" w14:paraId="468A5E45" w14:textId="77777777" w:rsidTr="001925BA">
        <w:trPr>
          <w:trHeight w:val="1709"/>
          <w:jc w:val="center"/>
        </w:trPr>
        <w:tc>
          <w:tcPr>
            <w:tcW w:w="1294" w:type="dxa"/>
            <w:vMerge/>
            <w:tcBorders>
              <w:top w:val="single" w:sz="8" w:space="0" w:color="5B9BD5"/>
              <w:left w:val="single" w:sz="8" w:space="0" w:color="5B9BD5"/>
              <w:bottom w:val="single" w:sz="8" w:space="0" w:color="5B9BD5"/>
              <w:right w:val="single" w:sz="6" w:space="0" w:color="000000"/>
            </w:tcBorders>
            <w:shd w:val="clear" w:color="auto" w:fill="5B9BD5"/>
            <w:tcMar>
              <w:top w:w="100" w:type="dxa"/>
              <w:left w:w="100" w:type="dxa"/>
              <w:bottom w:w="100" w:type="dxa"/>
              <w:right w:w="100" w:type="dxa"/>
            </w:tcMar>
            <w:vAlign w:val="center"/>
          </w:tcPr>
          <w:p w14:paraId="247A09C3" w14:textId="77777777" w:rsidR="00670FD4" w:rsidRDefault="00670FD4" w:rsidP="001925BA">
            <w:pPr>
              <w:widowControl w:val="0"/>
              <w:pBdr>
                <w:top w:val="nil"/>
                <w:left w:val="nil"/>
                <w:bottom w:val="nil"/>
                <w:right w:val="nil"/>
                <w:between w:val="nil"/>
              </w:pBdr>
              <w:spacing w:before="0" w:after="0"/>
              <w:ind w:firstLine="0"/>
              <w:rPr>
                <w:rFonts w:eastAsia="Times New Roman" w:cs="Times New Roman"/>
              </w:rPr>
            </w:pPr>
          </w:p>
        </w:tc>
        <w:tc>
          <w:tcPr>
            <w:tcW w:w="1131" w:type="dxa"/>
            <w:tcBorders>
              <w:top w:val="single" w:sz="8" w:space="0" w:color="5B9BD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78D53150" w14:textId="77777777" w:rsidR="00670FD4" w:rsidRDefault="00670FD4" w:rsidP="001925BA">
            <w:pPr>
              <w:spacing w:before="0" w:after="0"/>
              <w:ind w:firstLine="14"/>
              <w:jc w:val="center"/>
              <w:rPr>
                <w:rFonts w:eastAsia="Times New Roman" w:cs="Times New Roman"/>
              </w:rPr>
            </w:pPr>
            <w:r>
              <w:rPr>
                <w:rFonts w:eastAsia="Times New Roman" w:cs="Times New Roman"/>
                <w:b/>
                <w:color w:val="000000"/>
                <w:sz w:val="20"/>
                <w:szCs w:val="20"/>
              </w:rPr>
              <w:t>Suprafața totală, km</w:t>
            </w:r>
            <w:r>
              <w:rPr>
                <w:rFonts w:eastAsia="Times New Roman" w:cs="Times New Roman"/>
                <w:b/>
                <w:color w:val="000000"/>
                <w:sz w:val="20"/>
                <w:szCs w:val="20"/>
                <w:vertAlign w:val="superscript"/>
              </w:rPr>
              <w:t>2</w:t>
            </w:r>
          </w:p>
        </w:tc>
        <w:tc>
          <w:tcPr>
            <w:tcW w:w="1566" w:type="dxa"/>
            <w:tcBorders>
              <w:top w:val="single" w:sz="8" w:space="0" w:color="5B9BD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25D1C219" w14:textId="77777777" w:rsidR="00670FD4" w:rsidRDefault="00670FD4" w:rsidP="001925BA">
            <w:pPr>
              <w:spacing w:before="0" w:after="0"/>
              <w:ind w:firstLine="17"/>
              <w:jc w:val="center"/>
              <w:rPr>
                <w:rFonts w:eastAsia="Times New Roman" w:cs="Times New Roman"/>
              </w:rPr>
            </w:pPr>
            <w:r>
              <w:rPr>
                <w:rFonts w:eastAsia="Times New Roman" w:cs="Times New Roman"/>
                <w:b/>
                <w:color w:val="000000"/>
                <w:sz w:val="20"/>
                <w:szCs w:val="20"/>
              </w:rPr>
              <w:t>D6C1-1</w:t>
            </w:r>
          </w:p>
          <w:p w14:paraId="7B10129E" w14:textId="77777777" w:rsidR="00670FD4" w:rsidRDefault="00670FD4" w:rsidP="001925BA">
            <w:pPr>
              <w:spacing w:before="0" w:after="0"/>
              <w:ind w:firstLine="17"/>
              <w:jc w:val="center"/>
              <w:rPr>
                <w:rFonts w:eastAsia="Times New Roman" w:cs="Times New Roman"/>
              </w:rPr>
            </w:pPr>
            <w:r>
              <w:rPr>
                <w:rFonts w:eastAsia="Times New Roman" w:cs="Times New Roman"/>
                <w:b/>
                <w:color w:val="000000"/>
                <w:sz w:val="20"/>
                <w:szCs w:val="20"/>
              </w:rPr>
              <w:t>Suprafeţe pierdute prin lucrări hidrotehnice, km</w:t>
            </w:r>
            <w:r>
              <w:rPr>
                <w:rFonts w:eastAsia="Times New Roman" w:cs="Times New Roman"/>
                <w:b/>
                <w:color w:val="000000"/>
                <w:sz w:val="20"/>
                <w:szCs w:val="20"/>
                <w:vertAlign w:val="superscript"/>
              </w:rPr>
              <w:t>2</w:t>
            </w:r>
          </w:p>
        </w:tc>
        <w:tc>
          <w:tcPr>
            <w:tcW w:w="1541" w:type="dxa"/>
            <w:tcBorders>
              <w:top w:val="single" w:sz="8" w:space="0" w:color="5B9BD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32A739ED" w14:textId="77777777" w:rsidR="00670FD4" w:rsidRDefault="00670FD4" w:rsidP="001925BA">
            <w:pPr>
              <w:spacing w:before="0" w:after="0"/>
              <w:ind w:firstLine="10"/>
              <w:jc w:val="center"/>
              <w:rPr>
                <w:rFonts w:eastAsia="Times New Roman" w:cs="Times New Roman"/>
              </w:rPr>
            </w:pPr>
            <w:r>
              <w:rPr>
                <w:rFonts w:eastAsia="Times New Roman" w:cs="Times New Roman"/>
                <w:b/>
                <w:color w:val="000000"/>
                <w:sz w:val="20"/>
                <w:szCs w:val="20"/>
              </w:rPr>
              <w:t>D6C1-2</w:t>
            </w:r>
          </w:p>
          <w:p w14:paraId="5465FCC2" w14:textId="77777777" w:rsidR="00670FD4" w:rsidRDefault="00670FD4" w:rsidP="001925BA">
            <w:pPr>
              <w:spacing w:before="0" w:after="0"/>
              <w:ind w:firstLine="10"/>
              <w:jc w:val="center"/>
              <w:rPr>
                <w:rFonts w:eastAsia="Times New Roman" w:cs="Times New Roman"/>
              </w:rPr>
            </w:pPr>
            <w:r>
              <w:rPr>
                <w:rFonts w:eastAsia="Times New Roman" w:cs="Times New Roman"/>
                <w:b/>
                <w:color w:val="000000"/>
                <w:sz w:val="20"/>
                <w:szCs w:val="20"/>
              </w:rPr>
              <w:t>Suprafeţe pierdute prin îndepărtare substrat (2008-2015), km</w:t>
            </w:r>
            <w:r>
              <w:rPr>
                <w:rFonts w:eastAsia="Times New Roman" w:cs="Times New Roman"/>
                <w:b/>
                <w:color w:val="000000"/>
                <w:sz w:val="20"/>
                <w:szCs w:val="20"/>
                <w:vertAlign w:val="superscript"/>
              </w:rPr>
              <w:t>2</w:t>
            </w:r>
          </w:p>
        </w:tc>
        <w:tc>
          <w:tcPr>
            <w:tcW w:w="1543" w:type="dxa"/>
            <w:tcBorders>
              <w:top w:val="single" w:sz="8" w:space="0" w:color="5B9BD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679E7923" w14:textId="77777777" w:rsidR="00670FD4" w:rsidRDefault="00670FD4" w:rsidP="001925BA">
            <w:pPr>
              <w:spacing w:before="0" w:after="0"/>
              <w:ind w:firstLine="28"/>
              <w:jc w:val="center"/>
              <w:rPr>
                <w:rFonts w:eastAsia="Times New Roman" w:cs="Times New Roman"/>
              </w:rPr>
            </w:pPr>
            <w:r>
              <w:rPr>
                <w:rFonts w:eastAsia="Times New Roman" w:cs="Times New Roman"/>
                <w:b/>
                <w:color w:val="000000"/>
                <w:sz w:val="20"/>
                <w:szCs w:val="20"/>
              </w:rPr>
              <w:t>D6C2- 1 Suprafeţe disturbate urmare a activităţilor umane, km</w:t>
            </w:r>
            <w:r>
              <w:rPr>
                <w:rFonts w:eastAsia="Times New Roman" w:cs="Times New Roman"/>
                <w:b/>
                <w:color w:val="000000"/>
                <w:sz w:val="20"/>
                <w:szCs w:val="20"/>
                <w:vertAlign w:val="superscript"/>
              </w:rPr>
              <w:t>2</w:t>
            </w:r>
          </w:p>
        </w:tc>
        <w:tc>
          <w:tcPr>
            <w:tcW w:w="1931" w:type="dxa"/>
            <w:tcBorders>
              <w:top w:val="single" w:sz="8" w:space="0" w:color="5B9BD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459A2BAD" w14:textId="77777777" w:rsidR="00670FD4" w:rsidRDefault="00670FD4" w:rsidP="001925BA">
            <w:pPr>
              <w:spacing w:before="0" w:after="0"/>
              <w:ind w:firstLine="45"/>
              <w:jc w:val="center"/>
              <w:rPr>
                <w:rFonts w:eastAsia="Times New Roman" w:cs="Times New Roman"/>
              </w:rPr>
            </w:pPr>
            <w:r>
              <w:rPr>
                <w:rFonts w:eastAsia="Times New Roman" w:cs="Times New Roman"/>
                <w:b/>
                <w:color w:val="000000"/>
                <w:sz w:val="20"/>
                <w:szCs w:val="20"/>
              </w:rPr>
              <w:t>D6C2- 2 Suprafeţe disturbate ca urmare a proceselor morfodinamice, km</w:t>
            </w:r>
            <w:r>
              <w:rPr>
                <w:rFonts w:eastAsia="Times New Roman" w:cs="Times New Roman"/>
                <w:b/>
                <w:color w:val="000000"/>
                <w:sz w:val="20"/>
                <w:szCs w:val="20"/>
                <w:vertAlign w:val="superscript"/>
              </w:rPr>
              <w:t>2</w:t>
            </w:r>
          </w:p>
        </w:tc>
      </w:tr>
      <w:tr w:rsidR="00670FD4" w14:paraId="599BF574" w14:textId="77777777" w:rsidTr="001925BA">
        <w:trPr>
          <w:trHeight w:val="488"/>
          <w:jc w:val="center"/>
        </w:trPr>
        <w:tc>
          <w:tcPr>
            <w:tcW w:w="1294"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454F4F6A" w14:textId="77777777" w:rsidR="00670FD4" w:rsidRDefault="00670FD4" w:rsidP="001925BA">
            <w:pPr>
              <w:spacing w:before="0" w:after="0"/>
              <w:ind w:firstLine="0"/>
              <w:rPr>
                <w:rFonts w:eastAsia="Times New Roman" w:cs="Times New Roman"/>
              </w:rPr>
            </w:pPr>
            <w:r>
              <w:rPr>
                <w:rFonts w:eastAsia="Times New Roman" w:cs="Times New Roman"/>
                <w:b/>
                <w:color w:val="000000"/>
                <w:sz w:val="20"/>
                <w:szCs w:val="20"/>
              </w:rPr>
              <w:t>Sedimente litorale</w:t>
            </w:r>
          </w:p>
        </w:tc>
        <w:tc>
          <w:tcPr>
            <w:tcW w:w="1131"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0EA660E4" w14:textId="77777777" w:rsidR="00670FD4" w:rsidRDefault="00670FD4" w:rsidP="001925BA">
            <w:pPr>
              <w:spacing w:before="0" w:after="0"/>
              <w:ind w:firstLine="14"/>
              <w:jc w:val="center"/>
              <w:rPr>
                <w:rFonts w:eastAsia="Times New Roman" w:cs="Times New Roman"/>
              </w:rPr>
            </w:pPr>
            <w:r>
              <w:rPr>
                <w:rFonts w:eastAsia="Times New Roman" w:cs="Times New Roman"/>
                <w:color w:val="000000"/>
                <w:sz w:val="20"/>
                <w:szCs w:val="20"/>
              </w:rPr>
              <w:t> </w:t>
            </w:r>
          </w:p>
        </w:tc>
        <w:tc>
          <w:tcPr>
            <w:tcW w:w="1566"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1FDFB3F7" w14:textId="77777777" w:rsidR="00670FD4" w:rsidRDefault="00670FD4" w:rsidP="001925BA">
            <w:pPr>
              <w:spacing w:before="0" w:after="0"/>
              <w:ind w:firstLine="17"/>
              <w:jc w:val="center"/>
              <w:rPr>
                <w:rFonts w:eastAsia="Times New Roman" w:cs="Times New Roman"/>
              </w:rPr>
            </w:pPr>
            <w:r>
              <w:rPr>
                <w:rFonts w:eastAsia="Times New Roman" w:cs="Times New Roman"/>
                <w:color w:val="000000"/>
                <w:sz w:val="20"/>
                <w:szCs w:val="20"/>
              </w:rPr>
              <w:t> </w:t>
            </w:r>
          </w:p>
        </w:tc>
        <w:tc>
          <w:tcPr>
            <w:tcW w:w="1541"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6407D9DA" w14:textId="77777777" w:rsidR="00670FD4" w:rsidRDefault="00670FD4" w:rsidP="001925BA">
            <w:pPr>
              <w:spacing w:before="0" w:after="0"/>
              <w:ind w:firstLine="10"/>
              <w:jc w:val="center"/>
              <w:rPr>
                <w:rFonts w:eastAsia="Times New Roman" w:cs="Times New Roman"/>
              </w:rPr>
            </w:pPr>
            <w:r>
              <w:rPr>
                <w:rFonts w:eastAsia="Times New Roman" w:cs="Times New Roman"/>
                <w:color w:val="000000"/>
                <w:sz w:val="20"/>
                <w:szCs w:val="20"/>
              </w:rPr>
              <w:t> </w:t>
            </w:r>
          </w:p>
        </w:tc>
        <w:tc>
          <w:tcPr>
            <w:tcW w:w="1543"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1C3D7935" w14:textId="77777777" w:rsidR="00670FD4" w:rsidRDefault="00670FD4" w:rsidP="001925BA">
            <w:pPr>
              <w:spacing w:before="0" w:after="0"/>
              <w:ind w:firstLine="28"/>
              <w:jc w:val="center"/>
              <w:rPr>
                <w:rFonts w:eastAsia="Times New Roman" w:cs="Times New Roman"/>
              </w:rPr>
            </w:pPr>
            <w:r>
              <w:rPr>
                <w:rFonts w:eastAsia="Times New Roman" w:cs="Times New Roman"/>
                <w:color w:val="000000"/>
                <w:sz w:val="20"/>
                <w:szCs w:val="20"/>
              </w:rPr>
              <w:t> </w:t>
            </w:r>
          </w:p>
        </w:tc>
        <w:tc>
          <w:tcPr>
            <w:tcW w:w="1931"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7D5FA723" w14:textId="77777777" w:rsidR="00670FD4" w:rsidRDefault="00670FD4" w:rsidP="001925BA">
            <w:pPr>
              <w:spacing w:before="0" w:after="0"/>
              <w:ind w:firstLine="45"/>
              <w:jc w:val="center"/>
              <w:rPr>
                <w:rFonts w:eastAsia="Times New Roman" w:cs="Times New Roman"/>
              </w:rPr>
            </w:pPr>
            <w:r>
              <w:rPr>
                <w:rFonts w:eastAsia="Times New Roman" w:cs="Times New Roman"/>
                <w:color w:val="000000"/>
                <w:sz w:val="20"/>
                <w:szCs w:val="20"/>
              </w:rPr>
              <w:t>4-7</w:t>
            </w:r>
          </w:p>
        </w:tc>
      </w:tr>
      <w:tr w:rsidR="00670FD4" w14:paraId="0BECA900" w14:textId="77777777" w:rsidTr="001925BA">
        <w:trPr>
          <w:trHeight w:val="420"/>
          <w:jc w:val="center"/>
        </w:trPr>
        <w:tc>
          <w:tcPr>
            <w:tcW w:w="1294" w:type="dxa"/>
            <w:tcBorders>
              <w:top w:val="single" w:sz="8" w:space="0" w:color="9CC2E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4F245A33" w14:textId="77777777" w:rsidR="00670FD4" w:rsidRDefault="00670FD4" w:rsidP="001925BA">
            <w:pPr>
              <w:spacing w:before="0" w:after="0"/>
              <w:ind w:firstLine="0"/>
              <w:rPr>
                <w:rFonts w:eastAsia="Times New Roman" w:cs="Times New Roman"/>
              </w:rPr>
            </w:pPr>
            <w:r>
              <w:rPr>
                <w:rFonts w:eastAsia="Times New Roman" w:cs="Times New Roman"/>
                <w:b/>
                <w:color w:val="000000"/>
                <w:sz w:val="20"/>
                <w:szCs w:val="20"/>
              </w:rPr>
              <w:t>Nisipuri infralitorale</w:t>
            </w:r>
          </w:p>
        </w:tc>
        <w:tc>
          <w:tcPr>
            <w:tcW w:w="1131" w:type="dxa"/>
            <w:tcBorders>
              <w:top w:val="single" w:sz="8" w:space="0" w:color="9CC2E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40A5486B" w14:textId="77777777" w:rsidR="00670FD4" w:rsidRDefault="00670FD4" w:rsidP="001925BA">
            <w:pPr>
              <w:spacing w:before="0" w:after="0"/>
              <w:ind w:firstLine="14"/>
              <w:jc w:val="center"/>
              <w:rPr>
                <w:rFonts w:eastAsia="Times New Roman" w:cs="Times New Roman"/>
              </w:rPr>
            </w:pPr>
            <w:r>
              <w:rPr>
                <w:rFonts w:eastAsia="Times New Roman" w:cs="Times New Roman"/>
                <w:color w:val="000000"/>
                <w:sz w:val="20"/>
                <w:szCs w:val="20"/>
              </w:rPr>
              <w:t>650</w:t>
            </w:r>
          </w:p>
        </w:tc>
        <w:tc>
          <w:tcPr>
            <w:tcW w:w="1566" w:type="dxa"/>
            <w:tcBorders>
              <w:top w:val="single" w:sz="8" w:space="0" w:color="9CC2E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1FD80E4F" w14:textId="77777777" w:rsidR="00670FD4" w:rsidRDefault="00670FD4" w:rsidP="001925BA">
            <w:pPr>
              <w:spacing w:before="0" w:after="0"/>
              <w:ind w:firstLine="17"/>
              <w:jc w:val="center"/>
              <w:rPr>
                <w:rFonts w:eastAsia="Times New Roman" w:cs="Times New Roman"/>
              </w:rPr>
            </w:pPr>
            <w:r>
              <w:rPr>
                <w:rFonts w:eastAsia="Times New Roman" w:cs="Times New Roman"/>
                <w:color w:val="000000"/>
                <w:sz w:val="20"/>
                <w:szCs w:val="20"/>
              </w:rPr>
              <w:t>2,06</w:t>
            </w:r>
          </w:p>
        </w:tc>
        <w:tc>
          <w:tcPr>
            <w:tcW w:w="1541" w:type="dxa"/>
            <w:tcBorders>
              <w:top w:val="single" w:sz="8" w:space="0" w:color="9CC2E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3EA9B395" w14:textId="77777777" w:rsidR="00670FD4" w:rsidRDefault="00670FD4" w:rsidP="001925BA">
            <w:pPr>
              <w:spacing w:before="0" w:after="0"/>
              <w:ind w:firstLine="10"/>
              <w:jc w:val="center"/>
              <w:rPr>
                <w:rFonts w:eastAsia="Times New Roman" w:cs="Times New Roman"/>
              </w:rPr>
            </w:pPr>
            <w:r>
              <w:rPr>
                <w:rFonts w:eastAsia="Times New Roman" w:cs="Times New Roman"/>
                <w:color w:val="000000"/>
                <w:sz w:val="20"/>
                <w:szCs w:val="20"/>
              </w:rPr>
              <w:t> </w:t>
            </w:r>
          </w:p>
        </w:tc>
        <w:tc>
          <w:tcPr>
            <w:tcW w:w="1543" w:type="dxa"/>
            <w:tcBorders>
              <w:top w:val="single" w:sz="8" w:space="0" w:color="9CC2E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0F5B2E87" w14:textId="77777777" w:rsidR="00670FD4" w:rsidRDefault="00670FD4" w:rsidP="001925BA">
            <w:pPr>
              <w:spacing w:before="0" w:after="0"/>
              <w:ind w:firstLine="28"/>
              <w:jc w:val="center"/>
              <w:rPr>
                <w:rFonts w:eastAsia="Times New Roman" w:cs="Times New Roman"/>
              </w:rPr>
            </w:pPr>
            <w:r>
              <w:rPr>
                <w:rFonts w:eastAsia="Times New Roman" w:cs="Times New Roman"/>
                <w:color w:val="000000"/>
                <w:sz w:val="20"/>
                <w:szCs w:val="20"/>
              </w:rPr>
              <w:t>24</w:t>
            </w:r>
          </w:p>
        </w:tc>
        <w:tc>
          <w:tcPr>
            <w:tcW w:w="1931" w:type="dxa"/>
            <w:tcBorders>
              <w:top w:val="single" w:sz="8" w:space="0" w:color="9CC2E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3814AAE3" w14:textId="77777777" w:rsidR="00670FD4" w:rsidRDefault="00670FD4" w:rsidP="001925BA">
            <w:pPr>
              <w:spacing w:before="0" w:after="0"/>
              <w:ind w:firstLine="45"/>
              <w:jc w:val="center"/>
              <w:rPr>
                <w:rFonts w:eastAsia="Times New Roman" w:cs="Times New Roman"/>
              </w:rPr>
            </w:pPr>
            <w:r>
              <w:rPr>
                <w:rFonts w:eastAsia="Times New Roman" w:cs="Times New Roman"/>
                <w:color w:val="000000"/>
                <w:sz w:val="20"/>
                <w:szCs w:val="20"/>
              </w:rPr>
              <w:t> </w:t>
            </w:r>
          </w:p>
        </w:tc>
      </w:tr>
      <w:tr w:rsidR="00670FD4" w14:paraId="01EBC0E3" w14:textId="77777777" w:rsidTr="001925BA">
        <w:trPr>
          <w:trHeight w:val="420"/>
          <w:jc w:val="center"/>
        </w:trPr>
        <w:tc>
          <w:tcPr>
            <w:tcW w:w="1294"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111C1302" w14:textId="77777777" w:rsidR="00670FD4" w:rsidRDefault="00670FD4" w:rsidP="001925BA">
            <w:pPr>
              <w:spacing w:before="0" w:after="0"/>
              <w:ind w:firstLine="0"/>
              <w:rPr>
                <w:rFonts w:eastAsia="Times New Roman" w:cs="Times New Roman"/>
              </w:rPr>
            </w:pPr>
            <w:r>
              <w:rPr>
                <w:rFonts w:eastAsia="Times New Roman" w:cs="Times New Roman"/>
                <w:b/>
                <w:color w:val="000000"/>
                <w:sz w:val="20"/>
                <w:szCs w:val="20"/>
              </w:rPr>
              <w:t>Mâluri infralitorale</w:t>
            </w:r>
          </w:p>
        </w:tc>
        <w:tc>
          <w:tcPr>
            <w:tcW w:w="1131"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7D11FB6E" w14:textId="77777777" w:rsidR="00670FD4" w:rsidRDefault="00670FD4" w:rsidP="001925BA">
            <w:pPr>
              <w:spacing w:before="0" w:after="0"/>
              <w:ind w:firstLine="14"/>
              <w:jc w:val="center"/>
              <w:rPr>
                <w:rFonts w:eastAsia="Times New Roman" w:cs="Times New Roman"/>
              </w:rPr>
            </w:pPr>
            <w:r>
              <w:rPr>
                <w:rFonts w:eastAsia="Times New Roman" w:cs="Times New Roman"/>
                <w:color w:val="000000"/>
                <w:sz w:val="20"/>
                <w:szCs w:val="20"/>
              </w:rPr>
              <w:t>493</w:t>
            </w:r>
          </w:p>
        </w:tc>
        <w:tc>
          <w:tcPr>
            <w:tcW w:w="1566"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35E7A4A5" w14:textId="77777777" w:rsidR="00670FD4" w:rsidRDefault="00670FD4" w:rsidP="001925BA">
            <w:pPr>
              <w:spacing w:before="0" w:after="0"/>
              <w:ind w:firstLine="17"/>
              <w:jc w:val="center"/>
              <w:rPr>
                <w:rFonts w:eastAsia="Times New Roman" w:cs="Times New Roman"/>
              </w:rPr>
            </w:pPr>
            <w:r>
              <w:rPr>
                <w:rFonts w:eastAsia="Times New Roman" w:cs="Times New Roman"/>
                <w:color w:val="000000"/>
                <w:sz w:val="20"/>
                <w:szCs w:val="20"/>
              </w:rPr>
              <w:t> </w:t>
            </w:r>
          </w:p>
        </w:tc>
        <w:tc>
          <w:tcPr>
            <w:tcW w:w="1541"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12A4272F" w14:textId="77777777" w:rsidR="00670FD4" w:rsidRDefault="00670FD4" w:rsidP="001925BA">
            <w:pPr>
              <w:spacing w:before="0" w:after="0"/>
              <w:ind w:firstLine="10"/>
              <w:jc w:val="center"/>
              <w:rPr>
                <w:rFonts w:eastAsia="Times New Roman" w:cs="Times New Roman"/>
              </w:rPr>
            </w:pPr>
            <w:r>
              <w:rPr>
                <w:rFonts w:eastAsia="Times New Roman" w:cs="Times New Roman"/>
                <w:color w:val="000000"/>
                <w:sz w:val="20"/>
                <w:szCs w:val="20"/>
              </w:rPr>
              <w:t> </w:t>
            </w:r>
          </w:p>
        </w:tc>
        <w:tc>
          <w:tcPr>
            <w:tcW w:w="1543"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3E7FF65D" w14:textId="77777777" w:rsidR="00670FD4" w:rsidRDefault="00670FD4" w:rsidP="001925BA">
            <w:pPr>
              <w:spacing w:before="0" w:after="0"/>
              <w:ind w:firstLine="28"/>
              <w:jc w:val="center"/>
              <w:rPr>
                <w:rFonts w:eastAsia="Times New Roman" w:cs="Times New Roman"/>
              </w:rPr>
            </w:pPr>
            <w:r>
              <w:rPr>
                <w:rFonts w:eastAsia="Times New Roman" w:cs="Times New Roman"/>
                <w:color w:val="000000"/>
                <w:sz w:val="20"/>
                <w:szCs w:val="20"/>
              </w:rPr>
              <w:t>73</w:t>
            </w:r>
          </w:p>
        </w:tc>
        <w:tc>
          <w:tcPr>
            <w:tcW w:w="1931"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4E1B21C7" w14:textId="77777777" w:rsidR="00670FD4" w:rsidRDefault="00670FD4" w:rsidP="001925BA">
            <w:pPr>
              <w:spacing w:before="0" w:after="0"/>
              <w:ind w:firstLine="45"/>
              <w:jc w:val="center"/>
              <w:rPr>
                <w:rFonts w:eastAsia="Times New Roman" w:cs="Times New Roman"/>
              </w:rPr>
            </w:pPr>
            <w:r>
              <w:rPr>
                <w:rFonts w:eastAsia="Times New Roman" w:cs="Times New Roman"/>
                <w:color w:val="000000"/>
                <w:sz w:val="20"/>
                <w:szCs w:val="20"/>
              </w:rPr>
              <w:t> </w:t>
            </w:r>
          </w:p>
        </w:tc>
      </w:tr>
      <w:tr w:rsidR="00670FD4" w14:paraId="23C1F21A" w14:textId="77777777" w:rsidTr="001925BA">
        <w:trPr>
          <w:trHeight w:val="435"/>
          <w:jc w:val="center"/>
        </w:trPr>
        <w:tc>
          <w:tcPr>
            <w:tcW w:w="1294" w:type="dxa"/>
            <w:tcBorders>
              <w:top w:val="single" w:sz="8" w:space="0" w:color="9CC2E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4C538607" w14:textId="77777777" w:rsidR="00670FD4" w:rsidRDefault="00670FD4" w:rsidP="001925BA">
            <w:pPr>
              <w:spacing w:before="0" w:after="0"/>
              <w:ind w:firstLine="0"/>
              <w:rPr>
                <w:rFonts w:eastAsia="Times New Roman" w:cs="Times New Roman"/>
              </w:rPr>
            </w:pPr>
            <w:r>
              <w:rPr>
                <w:rFonts w:eastAsia="Times New Roman" w:cs="Times New Roman"/>
                <w:b/>
                <w:color w:val="000000"/>
                <w:sz w:val="20"/>
                <w:szCs w:val="20"/>
              </w:rPr>
              <w:t>Nisipuri circalitorale</w:t>
            </w:r>
          </w:p>
        </w:tc>
        <w:tc>
          <w:tcPr>
            <w:tcW w:w="1131" w:type="dxa"/>
            <w:tcBorders>
              <w:top w:val="single" w:sz="8" w:space="0" w:color="9CC2E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3B4991EA" w14:textId="77777777" w:rsidR="00670FD4" w:rsidRDefault="00670FD4" w:rsidP="001925BA">
            <w:pPr>
              <w:spacing w:before="0" w:after="0"/>
              <w:ind w:firstLine="14"/>
              <w:jc w:val="center"/>
              <w:rPr>
                <w:rFonts w:eastAsia="Times New Roman" w:cs="Times New Roman"/>
              </w:rPr>
            </w:pPr>
            <w:r>
              <w:rPr>
                <w:rFonts w:eastAsia="Times New Roman" w:cs="Times New Roman"/>
                <w:color w:val="000000"/>
                <w:sz w:val="20"/>
                <w:szCs w:val="20"/>
              </w:rPr>
              <w:t>800</w:t>
            </w:r>
          </w:p>
        </w:tc>
        <w:tc>
          <w:tcPr>
            <w:tcW w:w="1566" w:type="dxa"/>
            <w:tcBorders>
              <w:top w:val="single" w:sz="8" w:space="0" w:color="9CC2E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106F808C" w14:textId="77777777" w:rsidR="00670FD4" w:rsidRDefault="00670FD4" w:rsidP="001925BA">
            <w:pPr>
              <w:spacing w:before="0" w:after="0"/>
              <w:ind w:firstLine="17"/>
              <w:jc w:val="center"/>
              <w:rPr>
                <w:rFonts w:eastAsia="Times New Roman" w:cs="Times New Roman"/>
              </w:rPr>
            </w:pPr>
            <w:r>
              <w:rPr>
                <w:rFonts w:eastAsia="Times New Roman" w:cs="Times New Roman"/>
                <w:color w:val="000000"/>
                <w:sz w:val="20"/>
                <w:szCs w:val="20"/>
              </w:rPr>
              <w:t> </w:t>
            </w:r>
          </w:p>
        </w:tc>
        <w:tc>
          <w:tcPr>
            <w:tcW w:w="1541" w:type="dxa"/>
            <w:tcBorders>
              <w:top w:val="single" w:sz="8" w:space="0" w:color="9CC2E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20A339BA" w14:textId="77777777" w:rsidR="00670FD4" w:rsidRDefault="00670FD4" w:rsidP="001925BA">
            <w:pPr>
              <w:spacing w:before="0" w:after="0"/>
              <w:ind w:firstLine="10"/>
              <w:jc w:val="center"/>
              <w:rPr>
                <w:rFonts w:eastAsia="Times New Roman" w:cs="Times New Roman"/>
              </w:rPr>
            </w:pPr>
            <w:r>
              <w:rPr>
                <w:rFonts w:eastAsia="Times New Roman" w:cs="Times New Roman"/>
                <w:color w:val="000000"/>
                <w:sz w:val="20"/>
                <w:szCs w:val="20"/>
              </w:rPr>
              <w:t>3</w:t>
            </w:r>
          </w:p>
        </w:tc>
        <w:tc>
          <w:tcPr>
            <w:tcW w:w="1543" w:type="dxa"/>
            <w:tcBorders>
              <w:top w:val="single" w:sz="8" w:space="0" w:color="9CC2E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30EA5742" w14:textId="77777777" w:rsidR="00670FD4" w:rsidRDefault="00670FD4" w:rsidP="001925BA">
            <w:pPr>
              <w:spacing w:before="0" w:after="0"/>
              <w:ind w:firstLine="28"/>
              <w:jc w:val="center"/>
              <w:rPr>
                <w:rFonts w:eastAsia="Times New Roman" w:cs="Times New Roman"/>
              </w:rPr>
            </w:pPr>
            <w:r>
              <w:rPr>
                <w:rFonts w:eastAsia="Times New Roman" w:cs="Times New Roman"/>
                <w:color w:val="000000"/>
                <w:sz w:val="20"/>
                <w:szCs w:val="20"/>
              </w:rPr>
              <w:t>170</w:t>
            </w:r>
          </w:p>
        </w:tc>
        <w:tc>
          <w:tcPr>
            <w:tcW w:w="1931" w:type="dxa"/>
            <w:tcBorders>
              <w:top w:val="single" w:sz="8" w:space="0" w:color="9CC2E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29224BC8" w14:textId="77777777" w:rsidR="00670FD4" w:rsidRDefault="00670FD4" w:rsidP="001925BA">
            <w:pPr>
              <w:spacing w:before="0" w:after="0"/>
              <w:ind w:firstLine="45"/>
              <w:jc w:val="center"/>
              <w:rPr>
                <w:rFonts w:eastAsia="Times New Roman" w:cs="Times New Roman"/>
              </w:rPr>
            </w:pPr>
            <w:r>
              <w:rPr>
                <w:rFonts w:eastAsia="Times New Roman" w:cs="Times New Roman"/>
                <w:color w:val="000000"/>
                <w:sz w:val="20"/>
                <w:szCs w:val="20"/>
              </w:rPr>
              <w:t> </w:t>
            </w:r>
          </w:p>
        </w:tc>
      </w:tr>
      <w:tr w:rsidR="00670FD4" w14:paraId="6819C70B" w14:textId="77777777" w:rsidTr="001925BA">
        <w:trPr>
          <w:trHeight w:val="435"/>
          <w:jc w:val="center"/>
        </w:trPr>
        <w:tc>
          <w:tcPr>
            <w:tcW w:w="1294"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62719CFF" w14:textId="77777777" w:rsidR="00670FD4" w:rsidRDefault="00670FD4" w:rsidP="001925BA">
            <w:pPr>
              <w:spacing w:before="0" w:after="0"/>
              <w:ind w:firstLine="0"/>
              <w:rPr>
                <w:rFonts w:eastAsia="Times New Roman" w:cs="Times New Roman"/>
              </w:rPr>
            </w:pPr>
            <w:r>
              <w:rPr>
                <w:rFonts w:eastAsia="Times New Roman" w:cs="Times New Roman"/>
                <w:b/>
                <w:color w:val="000000"/>
                <w:sz w:val="20"/>
                <w:szCs w:val="20"/>
              </w:rPr>
              <w:t>Mâluri circalitorale</w:t>
            </w:r>
          </w:p>
        </w:tc>
        <w:tc>
          <w:tcPr>
            <w:tcW w:w="1131"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3BA0BC67" w14:textId="77777777" w:rsidR="00670FD4" w:rsidRDefault="00670FD4" w:rsidP="001925BA">
            <w:pPr>
              <w:spacing w:before="0" w:after="0"/>
              <w:ind w:firstLine="14"/>
              <w:jc w:val="center"/>
              <w:rPr>
                <w:rFonts w:eastAsia="Times New Roman" w:cs="Times New Roman"/>
              </w:rPr>
            </w:pPr>
            <w:r>
              <w:rPr>
                <w:rFonts w:eastAsia="Times New Roman" w:cs="Times New Roman"/>
                <w:color w:val="000000"/>
                <w:sz w:val="20"/>
                <w:szCs w:val="20"/>
              </w:rPr>
              <w:t>8200</w:t>
            </w:r>
          </w:p>
        </w:tc>
        <w:tc>
          <w:tcPr>
            <w:tcW w:w="1566"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20688620" w14:textId="77777777" w:rsidR="00670FD4" w:rsidRDefault="00670FD4" w:rsidP="001925BA">
            <w:pPr>
              <w:spacing w:before="0" w:after="0"/>
              <w:ind w:firstLine="17"/>
              <w:jc w:val="center"/>
              <w:rPr>
                <w:rFonts w:eastAsia="Times New Roman" w:cs="Times New Roman"/>
              </w:rPr>
            </w:pPr>
            <w:r>
              <w:rPr>
                <w:rFonts w:eastAsia="Times New Roman" w:cs="Times New Roman"/>
                <w:color w:val="000000"/>
                <w:sz w:val="20"/>
                <w:szCs w:val="20"/>
              </w:rPr>
              <w:t> </w:t>
            </w:r>
          </w:p>
        </w:tc>
        <w:tc>
          <w:tcPr>
            <w:tcW w:w="1541"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64EE30C5" w14:textId="77777777" w:rsidR="00670FD4" w:rsidRDefault="00670FD4" w:rsidP="001925BA">
            <w:pPr>
              <w:spacing w:before="0" w:after="0"/>
              <w:ind w:firstLine="10"/>
              <w:jc w:val="center"/>
              <w:rPr>
                <w:rFonts w:eastAsia="Times New Roman" w:cs="Times New Roman"/>
              </w:rPr>
            </w:pPr>
            <w:r>
              <w:rPr>
                <w:rFonts w:eastAsia="Times New Roman" w:cs="Times New Roman"/>
                <w:color w:val="000000"/>
                <w:sz w:val="20"/>
                <w:szCs w:val="20"/>
              </w:rPr>
              <w:t>2,6</w:t>
            </w:r>
          </w:p>
        </w:tc>
        <w:tc>
          <w:tcPr>
            <w:tcW w:w="1543"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20D1E9C8" w14:textId="77777777" w:rsidR="00670FD4" w:rsidRDefault="00670FD4" w:rsidP="001925BA">
            <w:pPr>
              <w:spacing w:before="0" w:after="0"/>
              <w:ind w:firstLine="28"/>
              <w:jc w:val="center"/>
              <w:rPr>
                <w:rFonts w:eastAsia="Times New Roman" w:cs="Times New Roman"/>
              </w:rPr>
            </w:pPr>
            <w:r>
              <w:rPr>
                <w:rFonts w:eastAsia="Times New Roman" w:cs="Times New Roman"/>
                <w:color w:val="000000"/>
                <w:sz w:val="20"/>
                <w:szCs w:val="20"/>
              </w:rPr>
              <w:t xml:space="preserve"> 1152</w:t>
            </w:r>
          </w:p>
        </w:tc>
        <w:tc>
          <w:tcPr>
            <w:tcW w:w="1931"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30026CEF" w14:textId="77777777" w:rsidR="00670FD4" w:rsidRDefault="00670FD4" w:rsidP="001925BA">
            <w:pPr>
              <w:spacing w:before="0" w:after="0"/>
              <w:ind w:firstLine="45"/>
              <w:jc w:val="center"/>
              <w:rPr>
                <w:rFonts w:eastAsia="Times New Roman" w:cs="Times New Roman"/>
              </w:rPr>
            </w:pPr>
            <w:r>
              <w:rPr>
                <w:rFonts w:eastAsia="Times New Roman" w:cs="Times New Roman"/>
                <w:color w:val="000000"/>
                <w:sz w:val="20"/>
                <w:szCs w:val="20"/>
              </w:rPr>
              <w:t> </w:t>
            </w:r>
          </w:p>
        </w:tc>
      </w:tr>
    </w:tbl>
    <w:p w14:paraId="3FF5D001" w14:textId="77777777" w:rsidR="00670FD4" w:rsidRDefault="00670FD4" w:rsidP="00670FD4">
      <w:pPr>
        <w:spacing w:after="0"/>
        <w:rPr>
          <w:b/>
          <w:i/>
          <w:color w:val="000000"/>
          <w:sz w:val="26"/>
          <w:szCs w:val="26"/>
        </w:rPr>
      </w:pPr>
    </w:p>
    <w:p w14:paraId="54399C7D" w14:textId="77777777" w:rsidR="00670FD4" w:rsidRDefault="00670FD4" w:rsidP="00670FD4">
      <w:pPr>
        <w:rPr>
          <w:rFonts w:eastAsia="Times New Roman" w:cs="Times New Roman"/>
          <w:b/>
          <w:i/>
        </w:rPr>
      </w:pPr>
      <w:r>
        <w:rPr>
          <w:rFonts w:eastAsia="Times New Roman" w:cs="Times New Roman"/>
          <w:b/>
          <w:i/>
        </w:rPr>
        <w:t>Pescuitul necontrolat și ilegal</w:t>
      </w:r>
    </w:p>
    <w:p w14:paraId="4135575A" w14:textId="77777777" w:rsidR="00670FD4" w:rsidRDefault="00670FD4" w:rsidP="00670FD4">
      <w:pPr>
        <w:spacing w:before="0" w:line="257" w:lineRule="auto"/>
        <w:ind w:firstLine="567"/>
        <w:rPr>
          <w:rFonts w:eastAsia="Times New Roman" w:cs="Times New Roman"/>
        </w:rPr>
      </w:pPr>
      <w:r>
        <w:rPr>
          <w:rFonts w:eastAsia="Times New Roman" w:cs="Times New Roman"/>
          <w:color w:val="000000"/>
        </w:rPr>
        <w:t>La nivelul Uniunii Europene, această problemă a pescuitului ilegal și excesiv este reglementată printr-o serie de regulamente, precum:</w:t>
      </w:r>
    </w:p>
    <w:p w14:paraId="3664FFC6" w14:textId="77777777" w:rsidR="00670FD4" w:rsidRDefault="00670FD4" w:rsidP="00670FD4">
      <w:pPr>
        <w:spacing w:before="0" w:line="257" w:lineRule="auto"/>
        <w:ind w:firstLine="567"/>
        <w:rPr>
          <w:rFonts w:eastAsia="Times New Roman" w:cs="Times New Roman"/>
        </w:rPr>
      </w:pPr>
      <w:r>
        <w:rPr>
          <w:rFonts w:eastAsia="Times New Roman" w:cs="Times New Roman"/>
          <w:color w:val="000000"/>
        </w:rPr>
        <w:t>- Regulamentul (CE) nr. 1005/2008 al Consiliului din 29 septembrie 2008 de instituire a unui sistem comunitar pentru prevenirea, descurajarea și eliminarea pescuitului ilegal, nedeclarat și nereglementat, de modificare a Regulamentelor (CEE) nr. 2847/93, (CE) nr. 1936/2001 și (CE) nr. 601/2004 și de abrogare a Regulamentelor (CE) nr. 1093/94 și (CE) nr. 1447/1999;</w:t>
      </w:r>
    </w:p>
    <w:p w14:paraId="5BB50DDE" w14:textId="77777777" w:rsidR="00670FD4" w:rsidRDefault="00670FD4" w:rsidP="00670FD4">
      <w:pPr>
        <w:spacing w:before="0" w:line="257" w:lineRule="auto"/>
        <w:ind w:firstLine="567"/>
        <w:rPr>
          <w:rFonts w:eastAsia="Times New Roman" w:cs="Times New Roman"/>
        </w:rPr>
      </w:pPr>
      <w:r>
        <w:rPr>
          <w:rFonts w:eastAsia="Times New Roman" w:cs="Times New Roman"/>
          <w:color w:val="000000"/>
        </w:rPr>
        <w:t>- Regulamentul (CE) nr. 1224/2009 al Consiliului din 20 noiembrie 2009 de stabilire a unui sistem de control al Uniunii pentru asigurarea respectării normelor politicii comune în domeniul pescuitului, de modificare a Regulamentelor (CE) nr. 847/96, (CE) nr. 2371/2002, (CE) nr. 811/2004, (CE) nr. 768/2005, (CE) nr. 2115/2005, (CE) nr. 2166/2005, (CE) nr. 388/2006, (CE) nr. 509/2007, (CE) nr. 676/2007, (CE) nr. 1098/2007, (CE) nr. 1300/2008, (CE) nr. 1342/2008 și de abrogare a Regulamentelor (CEE) nr. 2847/93, (CE) nr. 1627/94 și (CE) nr. 1966/2006;</w:t>
      </w:r>
    </w:p>
    <w:p w14:paraId="4BE1EDAA" w14:textId="77777777" w:rsidR="00670FD4" w:rsidRDefault="00670FD4" w:rsidP="00670FD4">
      <w:pPr>
        <w:spacing w:before="0" w:line="257" w:lineRule="auto"/>
        <w:ind w:firstLine="567"/>
        <w:rPr>
          <w:rFonts w:eastAsia="Times New Roman" w:cs="Times New Roman"/>
        </w:rPr>
      </w:pPr>
      <w:r>
        <w:rPr>
          <w:rFonts w:eastAsia="Times New Roman" w:cs="Times New Roman"/>
          <w:color w:val="000000"/>
        </w:rPr>
        <w:t>- Regulamentul (UE) 2017/2403 al Parlamentului European și al Consiliului din 12 decembrie 2017 privind gestionarea sustenabilă a flotelor de pescuit externe și de abrogare a Regulamentului (CE) nr. 1006/2008 al Consiliului Europei.</w:t>
      </w:r>
    </w:p>
    <w:p w14:paraId="356781CD" w14:textId="77777777" w:rsidR="00670FD4" w:rsidRDefault="00670FD4" w:rsidP="00670FD4">
      <w:pPr>
        <w:spacing w:before="0" w:line="257" w:lineRule="auto"/>
        <w:ind w:firstLine="567"/>
        <w:rPr>
          <w:rFonts w:eastAsia="Times New Roman" w:cs="Times New Roman"/>
        </w:rPr>
      </w:pPr>
      <w:r>
        <w:rPr>
          <w:rFonts w:eastAsia="Times New Roman" w:cs="Times New Roman"/>
          <w:color w:val="000000"/>
        </w:rPr>
        <w:t xml:space="preserve">În </w:t>
      </w:r>
      <w:r>
        <w:rPr>
          <w:rFonts w:eastAsia="Times New Roman" w:cs="Times New Roman"/>
        </w:rPr>
        <w:t>România</w:t>
      </w:r>
      <w:r>
        <w:rPr>
          <w:rFonts w:eastAsia="Times New Roman" w:cs="Times New Roman"/>
          <w:color w:val="000000"/>
        </w:rPr>
        <w:t>, Programul pentru Acvacultură și Pescuit 2021-2027 prevede abordări specifice pentru reglementarea pescuitului excesiv și ilegal, precum și pentru măsuri privind colectarea uneltelor de pescuit abandonate.</w:t>
      </w:r>
    </w:p>
    <w:p w14:paraId="5EEB76A7" w14:textId="77777777" w:rsidR="00670FD4" w:rsidRDefault="00670FD4" w:rsidP="00670FD4">
      <w:pPr>
        <w:spacing w:before="0" w:line="257" w:lineRule="auto"/>
        <w:ind w:firstLine="567"/>
        <w:rPr>
          <w:rFonts w:eastAsia="Times New Roman" w:cs="Times New Roman"/>
        </w:rPr>
      </w:pPr>
      <w:r>
        <w:rPr>
          <w:rFonts w:eastAsia="Times New Roman" w:cs="Times New Roman"/>
          <w:color w:val="000000"/>
        </w:rPr>
        <w:lastRenderedPageBreak/>
        <w:t>În acord cu legislația menționată, utilizarea în exces a capacităţii de pescuit crește presiunea asupra autorităţii de management de a depăşi mortalitatea optimă prin pescuit şi face dificilă aplicarea reglementărilor de restricţionare a efortului de pescuit. Prin pescuit responsabil nu se permite ca dintr-o resursă naturală să fie recoltat mai mult decât poate fi înlocuit prin creşterea netă în stoc, altfel, resursele pescăreşti vor fi epuizate în timp.</w:t>
      </w:r>
    </w:p>
    <w:p w14:paraId="0A33D510" w14:textId="77777777" w:rsidR="00670FD4" w:rsidRDefault="00670FD4" w:rsidP="00670FD4">
      <w:pPr>
        <w:spacing w:before="0" w:line="257" w:lineRule="auto"/>
        <w:ind w:firstLine="567"/>
        <w:rPr>
          <w:rFonts w:eastAsia="Times New Roman" w:cs="Times New Roman"/>
        </w:rPr>
      </w:pPr>
      <w:r>
        <w:rPr>
          <w:rFonts w:eastAsia="Times New Roman" w:cs="Times New Roman"/>
          <w:color w:val="000000"/>
        </w:rPr>
        <w:t>Intensificarea activităţilor de pescuit asupra unui stoc sau a unei populaţii de peşti, produce următoarele consecințe: a) descreşte fracţiunea exploatabilă a biomasei totale; b) creşte reîntinerirea părţii exploatabile; c) descreşte rapid în biomasa exploatabilă şi în capturi; d) scade mortalitatea datorată vârstei; e) schimbă rata medie de creştere în sensul sporirii ei; f) modifică mortalitatea prin prădare şi canibalism. Situaţiile care determină influenţa pescuitului asupra prerecruţilor şi asupra populaţiei exploatabile rămase, sunt: a) rata de creştere a exemplarelor; b) tendinţa de cârduire pe grupe de mărimi; c) selectivitatea uneltelor de pescuit.</w:t>
      </w:r>
    </w:p>
    <w:p w14:paraId="01818BFA" w14:textId="77777777" w:rsidR="00670FD4" w:rsidRDefault="00670FD4" w:rsidP="00670FD4">
      <w:pPr>
        <w:spacing w:before="0" w:line="257" w:lineRule="auto"/>
        <w:ind w:firstLine="567"/>
        <w:rPr>
          <w:rFonts w:eastAsia="Times New Roman" w:cs="Times New Roman"/>
        </w:rPr>
      </w:pPr>
      <w:r>
        <w:rPr>
          <w:rFonts w:eastAsia="Times New Roman" w:cs="Times New Roman"/>
          <w:color w:val="000000"/>
        </w:rPr>
        <w:t>Pescuitul excesiv în apele costiere românești afectează mărimea relativă a populaţiilor de prădători şi pradă. Astfel se explică: a) dispariția din capturi a peștilor pelagici (pălămida, scrumbia albastră, etc.) în favoarea speciilor de talie mică, hamsia şi şprotul; b) indirect, sunt afectate populaţiile de delfini, prin diminuarea surselor de hrană preferată de aceştia, c) necesitatea adaptării la noi surse de hrană şi sisteme de capturare a acestora; d) reducerea biodiversității speciilor din Delta Dunării.</w:t>
      </w:r>
    </w:p>
    <w:p w14:paraId="61E39C08" w14:textId="77777777" w:rsidR="00670FD4" w:rsidRDefault="00670FD4" w:rsidP="00670FD4">
      <w:pPr>
        <w:spacing w:before="0" w:line="257" w:lineRule="auto"/>
        <w:ind w:firstLine="567"/>
        <w:rPr>
          <w:rFonts w:eastAsia="Times New Roman" w:cs="Times New Roman"/>
        </w:rPr>
      </w:pPr>
      <w:r>
        <w:rPr>
          <w:rFonts w:eastAsia="Times New Roman" w:cs="Times New Roman"/>
          <w:color w:val="000000"/>
        </w:rPr>
        <w:t>Activitatea intensă de pescuit ilegal, a fost exercitată în ultimile decenii, atât la nivel artizanal de către localnici (braconaj) folosind setci şi ohane, cât, mai ales, pescuitul intens de nivel industrial, efectuat de către nave străine, în special turcești, de tip seiner, care pot amplasa în mare sute de setci, pe zeci de kilometri (sub formă de şiruri), cu latura ochiului de plasă de 160-180 mm (minimul legal admis fiind de 200 mm, conform legislaţiei naţionale) şi de ave (unelte interzise de legislaţia naţională), folosite în special pentru bararea drumului de migraţie al calcanului.</w:t>
      </w:r>
    </w:p>
    <w:p w14:paraId="73E5D12C" w14:textId="77777777" w:rsidR="00670FD4" w:rsidRDefault="00670FD4" w:rsidP="00670FD4">
      <w:pPr>
        <w:spacing w:before="0" w:line="257" w:lineRule="auto"/>
        <w:ind w:firstLine="567"/>
        <w:rPr>
          <w:rFonts w:eastAsia="Times New Roman" w:cs="Times New Roman"/>
        </w:rPr>
      </w:pPr>
      <w:r>
        <w:rPr>
          <w:rFonts w:eastAsia="Times New Roman" w:cs="Times New Roman"/>
          <w:color w:val="000000"/>
        </w:rPr>
        <w:t>În prezent, stabilirea și aplicarea măsurilor tehnice de reglementare a pescuitului (zone, perioade, mărimi ale speciilor, tipuri de unelte, dimensiunea ochiului de plasă, etc.), precum și controlul efortului de pescuit şi a capturii total admisibile (TAC-ului) a redus semnificativ această presiune. Totuși, ANPA a raportat, pentru 2019, capturi ilegale de 1184,5 kg calcan, 15,3 kg rechin și 11,85 kg pisică de mare. </w:t>
      </w:r>
    </w:p>
    <w:p w14:paraId="52966A5D" w14:textId="77777777" w:rsidR="00670FD4" w:rsidRDefault="00670FD4" w:rsidP="00670FD4">
      <w:pPr>
        <w:rPr>
          <w:rFonts w:eastAsia="Times New Roman" w:cs="Times New Roman"/>
          <w:b/>
          <w:i/>
        </w:rPr>
      </w:pPr>
      <w:r>
        <w:rPr>
          <w:rFonts w:eastAsia="Times New Roman" w:cs="Times New Roman"/>
          <w:b/>
          <w:i/>
        </w:rPr>
        <w:t>Dezvoltare urbană excesivă și necontrolată</w:t>
      </w:r>
    </w:p>
    <w:p w14:paraId="6F7B427B" w14:textId="77777777" w:rsidR="00670FD4" w:rsidRDefault="00670FD4" w:rsidP="00670FD4">
      <w:pPr>
        <w:spacing w:before="0"/>
        <w:ind w:firstLine="567"/>
        <w:rPr>
          <w:rFonts w:eastAsia="Times New Roman" w:cs="Times New Roman"/>
        </w:rPr>
      </w:pPr>
      <w:r>
        <w:rPr>
          <w:rFonts w:eastAsia="Times New Roman" w:cs="Times New Roman"/>
        </w:rPr>
        <w:t>Din analiza planificării spațiale a unităților administrativ-teritoriale și a modului de utilizare a teritoriilor intravilane, rezultă contrastul dintre modelele de dezvoltare din sectorul nordic și cel sudic al zonei costiere. Astfel, în timp ce în partea nordică, aferentă Deltei Dunării, se înregistrează un proces de restrângere a funcțiunii teritoriale de locuire, care urmează procesului de depopulare a comunităților, în partea sudică a zonei costiere se înregistrează un model de „Expansiune urbană necontrolată” descris în Strategia națională de dezvoltare integrată pentru orașe reziliente, verzi, incluzive și competitive 2022- 2035.</w:t>
      </w:r>
    </w:p>
    <w:p w14:paraId="66B25A93" w14:textId="77777777" w:rsidR="00670FD4" w:rsidRDefault="00670FD4" w:rsidP="00670FD4">
      <w:pPr>
        <w:spacing w:before="0"/>
        <w:ind w:firstLine="567"/>
        <w:rPr>
          <w:rFonts w:eastAsia="Times New Roman" w:cs="Times New Roman"/>
        </w:rPr>
      </w:pPr>
      <w:r>
        <w:rPr>
          <w:rFonts w:eastAsia="Times New Roman" w:cs="Times New Roman"/>
        </w:rPr>
        <w:t>Acest mod de dezvoltare urbană a luat amploare după 2006, când creșterea din nucleul urban Constanța a încetinit, în timp ce expansiunea în localitățile periurbane s-a intensificat, în special în Navodari și Agigea, prin extinderea intravilanelor pe terenurile libere existente. Această expansiune s-a datorat schimbării preferințelor privind locuirea, dar fără să fie însoțit și de o calitate mai bună a spațiului construit, precum și a vieții.</w:t>
      </w:r>
    </w:p>
    <w:p w14:paraId="634996D6" w14:textId="77777777" w:rsidR="00670FD4" w:rsidRDefault="00670FD4" w:rsidP="00670FD4">
      <w:pPr>
        <w:spacing w:before="0"/>
        <w:ind w:firstLine="567"/>
        <w:rPr>
          <w:rFonts w:eastAsia="Times New Roman" w:cs="Times New Roman"/>
        </w:rPr>
      </w:pPr>
      <w:r>
        <w:rPr>
          <w:rFonts w:eastAsia="Times New Roman" w:cs="Times New Roman"/>
        </w:rPr>
        <w:lastRenderedPageBreak/>
        <w:t>Această expansiune a fost însoțită de următoarele provocări:</w:t>
      </w:r>
    </w:p>
    <w:p w14:paraId="192C7CFE" w14:textId="77777777" w:rsidR="00670FD4" w:rsidRDefault="00670FD4" w:rsidP="00670FD4">
      <w:pPr>
        <w:spacing w:before="0"/>
        <w:ind w:firstLine="567"/>
        <w:rPr>
          <w:rFonts w:eastAsia="Times New Roman" w:cs="Times New Roman"/>
        </w:rPr>
      </w:pPr>
      <w:r>
        <w:rPr>
          <w:rFonts w:eastAsia="Times New Roman" w:cs="Times New Roman"/>
        </w:rPr>
        <w:t>- în ceea ce privește utilizarea terenului, extinderea este dominată de expansiunea rezidențială precum și de expansiunea rezidențial – turistică. În special în Mamaia și în Mamaia Nord–Năvodari, s-au extins construcțiile apart-hotel, cât și locuințele de vacanță și cele cu dublă destinație – locuire și închiriere pentru turism. Acest mod de creștere reprezintă o amenințare pentru resursele naturale și perturbă activitatea agricolă din jurul orașelor;</w:t>
      </w:r>
    </w:p>
    <w:p w14:paraId="5AC3C94E" w14:textId="77777777" w:rsidR="00670FD4" w:rsidRDefault="00670FD4" w:rsidP="00670FD4">
      <w:pPr>
        <w:spacing w:before="0"/>
        <w:ind w:firstLine="567"/>
        <w:rPr>
          <w:rFonts w:eastAsia="Times New Roman" w:cs="Times New Roman"/>
        </w:rPr>
      </w:pPr>
      <w:r>
        <w:rPr>
          <w:rFonts w:eastAsia="Times New Roman" w:cs="Times New Roman"/>
        </w:rPr>
        <w:t>- noile clustere de dezvoltare au conexiuni de transport public slabe sau inexistente către nucleul urban (Constanța), bazându-se pe un stil de viață dependent de mașină personală ce produce congestia traficului, amprente de carbon individuale mai mari și inegalități sociale. În același timp, o nouă infrastructură rutieră se dezvoltă treptat, împreună cu proiecte individuale, ducând la o lipsă de planificare și structură. Străzile în zonele de extindere a intravilanelor, cu precădere cele din localitățile rurale, rămân deseori neasfaltate mult timp după apariția dezvoltării și pe măsură ce comunitățile cresc, capacitatea rutieră este rapid copleșită de volumul de trafic (Strategia naționale de dezvoltare integrată pentru orașe reziliente, verzi, incluzive și competitive 2022- 2035);</w:t>
      </w:r>
    </w:p>
    <w:p w14:paraId="240E958C" w14:textId="77777777" w:rsidR="00670FD4" w:rsidRDefault="00670FD4" w:rsidP="00670FD4">
      <w:pPr>
        <w:spacing w:before="0"/>
        <w:ind w:firstLine="567"/>
        <w:rPr>
          <w:rFonts w:eastAsia="Times New Roman" w:cs="Times New Roman"/>
        </w:rPr>
      </w:pPr>
      <w:r>
        <w:rPr>
          <w:rFonts w:eastAsia="Times New Roman" w:cs="Times New Roman"/>
        </w:rPr>
        <w:t>- în cadrul noilor dezvoltări, rețelele de utilități publice rămân în urmă, punând presiune suplimentară pe autoritățile publice pentru extinderea și modernizarea acestor rețele. Infrastructura de bază pentru apă, canalizare și gaz trebuie să ajungă din urmă extinderea, altfel, dacă dezvoltarea se alimentează la rețelele de utilități ale unei dezvoltări adiacente, aceasta supraîncărcând sistemul. Datorită dezvoltării individuale progresive sau a schemelor suburbane incomplete, noile comunități nu dispun de trotuare, străzi laterale și iluminat stradal (Strategiei naționale de dezvoltare integrată pentru orașe reziliente, verzi, incluzive și competitive 2022- 2035);</w:t>
      </w:r>
    </w:p>
    <w:p w14:paraId="5E8BD806" w14:textId="77777777" w:rsidR="00670FD4" w:rsidRDefault="00670FD4" w:rsidP="00670FD4">
      <w:pPr>
        <w:spacing w:before="0"/>
        <w:ind w:firstLine="567"/>
        <w:rPr>
          <w:rFonts w:eastAsia="Times New Roman" w:cs="Times New Roman"/>
        </w:rPr>
      </w:pPr>
      <w:r>
        <w:rPr>
          <w:rFonts w:eastAsia="Times New Roman" w:cs="Times New Roman"/>
        </w:rPr>
        <w:t>- infrastructura socială este omisă din planificarea noilor comunități. În consecință, populația rezidentă se bazează pe școlile, serviciile de sănătate și facilitățile de petrecere a timpului liber oferite de localitățile înconjurătoare sau din nucleul urban, facilități care devin rapid supraaglomerate și subfinanțate, deoarece rezidenții periurbani nu au o contribuție directă la jurisdicțiile respective. În plus, noile comunități sunt lipsite de vitalitate și identitate socială, deoarece nu au infrastructura necesară pentru a genera întâlniri și a stimula implicarea comunității (Strategiei naționale de dezvoltare integrată pentru orașe reziliente, verzi, incluzive și competitive 2022-2035).</w:t>
      </w:r>
    </w:p>
    <w:p w14:paraId="35EB58EA" w14:textId="77777777" w:rsidR="00670FD4" w:rsidRDefault="00670FD4" w:rsidP="00670FD4">
      <w:pPr>
        <w:spacing w:before="0"/>
        <w:rPr>
          <w:rFonts w:eastAsia="Times New Roman" w:cs="Times New Roman"/>
          <w:b/>
          <w:i/>
        </w:rPr>
      </w:pPr>
      <w:r>
        <w:rPr>
          <w:rFonts w:eastAsia="Times New Roman" w:cs="Times New Roman"/>
          <w:b/>
          <w:i/>
        </w:rPr>
        <w:t>Modificarea condițiilor hidrologice</w:t>
      </w:r>
    </w:p>
    <w:p w14:paraId="20BED0B7" w14:textId="77777777" w:rsidR="00670FD4" w:rsidRDefault="00670FD4" w:rsidP="00670FD4">
      <w:pPr>
        <w:spacing w:before="0"/>
        <w:ind w:firstLine="567"/>
        <w:rPr>
          <w:rFonts w:eastAsia="Times New Roman" w:cs="Times New Roman"/>
        </w:rPr>
      </w:pPr>
      <w:r>
        <w:rPr>
          <w:rFonts w:eastAsia="Times New Roman" w:cs="Times New Roman"/>
        </w:rPr>
        <w:t>În partea de nord a zonei costiere, aferentă Deltei Dunării, modificările hidrologice nu induc efecte negative, ele având ca scop îmbunătăţirea condiţiilor de navigaţie pe Dunăre, accesului navelor din mare spre teritoriu, asigurarea unor condiţii mai bune pentru exploatarea resurselor naturale din interiorul deltei, dar și pentru dragarea și decolmatarea unor canalele, precum și pentru redresarea unor zone afectate de lucrările din trecut.</w:t>
      </w:r>
    </w:p>
    <w:p w14:paraId="5359CFCD" w14:textId="77777777" w:rsidR="00670FD4" w:rsidRDefault="00670FD4" w:rsidP="00670FD4">
      <w:pPr>
        <w:spacing w:before="0"/>
        <w:ind w:firstLine="567"/>
        <w:rPr>
          <w:rFonts w:eastAsia="Times New Roman" w:cs="Times New Roman"/>
        </w:rPr>
      </w:pPr>
      <w:r>
        <w:rPr>
          <w:rFonts w:eastAsia="Times New Roman" w:cs="Times New Roman"/>
        </w:rPr>
        <w:t xml:space="preserve">În sectorul sudic se află în plină desfășurare execuția proiectului ”Reducerea eroziunii costiere – Faza II (2014-2020). Perimetre: 2 Mai, Mangalia (Saturn, Balta Mangalia, Venus, Cap Aurora, Jupiter, Neptun, Olimp), </w:t>
      </w:r>
      <w:sdt>
        <w:sdtPr>
          <w:tag w:val="goog_rdk_50"/>
          <w:id w:val="1058204102"/>
        </w:sdtPr>
        <w:sdtContent>
          <w:r>
            <w:rPr>
              <w:rFonts w:eastAsia="Times New Roman" w:cs="Times New Roman"/>
            </w:rPr>
            <w:t>Costinești</w:t>
          </w:r>
        </w:sdtContent>
      </w:sdt>
      <w:r>
        <w:rPr>
          <w:rFonts w:eastAsia="Times New Roman" w:cs="Times New Roman"/>
        </w:rPr>
        <w:t xml:space="preserve">, Eforie Sud, Eforie Centru, Agigea, Port Tomis – Constanța Port, Mamaia Centru, Mamaia Nord, Stăvilar Edighiol, Stăvilar Periboina)” care </w:t>
      </w:r>
      <w:r>
        <w:rPr>
          <w:rFonts w:eastAsia="Times New Roman" w:cs="Times New Roman"/>
        </w:rPr>
        <w:lastRenderedPageBreak/>
        <w:t>are ca obiect reabilitarea întregului sector sudic al litoralului românesc prin modificarea dimensiunilor celulelor de plaje (îndepărtarea unor structuri existente și execuția unor structuri noi), precum și lucrări de înnisipări ale plajelor realizarea. Prin implementarea acestui proiect se vor produce modificări locale, atât ale condițiilor hidrologice, cât și ale celor hidrodinamice. Acestea apar datorită dispariției celulelor costiere mici, cu dimensiuni de zeci de metri, delimitate de digurile sparge-val scurte existente. Celulele noi vor avea dimensiuni sensibil mai mari, de ordinul a sutelor de metri, delimitate de diguri sparge-val, perpendiculare pe coastă, mai lungi.</w:t>
      </w:r>
    </w:p>
    <w:p w14:paraId="3785C4B7" w14:textId="77777777" w:rsidR="00670FD4" w:rsidRDefault="00670FD4" w:rsidP="00670FD4">
      <w:pPr>
        <w:spacing w:before="0"/>
        <w:ind w:firstLine="567"/>
        <w:rPr>
          <w:rFonts w:eastAsia="Times New Roman" w:cs="Times New Roman"/>
        </w:rPr>
      </w:pPr>
      <w:r>
        <w:rPr>
          <w:rFonts w:eastAsia="Times New Roman" w:cs="Times New Roman"/>
        </w:rPr>
        <w:t>Pe lângă beneficiile majore, respectiv reducerea eroziunii costiere, reducerea riscului prăbușirilor de falze și dezvoltarea turismului costier, acest proiect conduce și la modificări ale regimului curenților marini din zona de țărm (ex. curenți de tip rip) afectând, în sens negativ, habitatele bentale, biodiversitatea, dar și activitatea de turism (implicații asupra siguranței plajelor).</w:t>
      </w:r>
    </w:p>
    <w:p w14:paraId="21D860C5" w14:textId="77777777" w:rsidR="00670FD4" w:rsidRPr="00C0792F" w:rsidRDefault="00670FD4" w:rsidP="00670FD4">
      <w:pPr>
        <w:spacing w:before="0"/>
        <w:rPr>
          <w:rFonts w:eastAsia="Times New Roman" w:cs="Times New Roman"/>
          <w:sz w:val="28"/>
          <w:u w:val="single"/>
        </w:rPr>
      </w:pPr>
      <w:r>
        <w:rPr>
          <w:rFonts w:eastAsia="Times New Roman" w:cs="Times New Roman"/>
        </w:rPr>
        <w:t>Extinderea și înălțarea plajelor modifică zona în care are loc interacțiunea valurilor cu plaja. Astfel, apar modificări locale ale condițiilor de acces, și implicit apare o presiune asupra utilizării plajei. Însă aceste modificări au un caracter temporar, iar profilul plajelor reînnisipate va ajunge la un echilibru relativ stabil după 3-4 cicluri sezoniere după finalizarea lucrărilor.</w:t>
      </w:r>
    </w:p>
    <w:p w14:paraId="05053991" w14:textId="77777777" w:rsidR="00670FD4" w:rsidRDefault="00670FD4" w:rsidP="00670FD4"/>
    <w:p w14:paraId="347E148B" w14:textId="77777777" w:rsidR="00670FD4" w:rsidRDefault="00670FD4" w:rsidP="00670FD4">
      <w:pPr>
        <w:pStyle w:val="Heading2"/>
      </w:pPr>
      <w:bookmarkStart w:id="138" w:name="_Toc150501474"/>
      <w:bookmarkStart w:id="139" w:name="_Toc171084861"/>
      <w:r>
        <w:t>2.6. Scopul și obiectivele planului de management</w:t>
      </w:r>
      <w:bookmarkEnd w:id="138"/>
      <w:bookmarkEnd w:id="139"/>
    </w:p>
    <w:p w14:paraId="63E6DA0E"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b/>
          <w:color w:val="000000"/>
        </w:rPr>
        <w:t xml:space="preserve">Scopul </w:t>
      </w:r>
      <w:r>
        <w:rPr>
          <w:rFonts w:eastAsia="Times New Roman" w:cs="Times New Roman"/>
          <w:color w:val="000000"/>
        </w:rPr>
        <w:t xml:space="preserve">planului de management integrat al zonei costiere este de a defini clar instituțiile responsabile, modul și mijloacele lor de acțiune, precum și resursele necesare pentru implementarea Strategiei naționale privind gospodărirea integrată a zonei costiere în vederea îndeplinirii viziunii strategice pe termen lung de dezvoltare sustenabilă a zonei costiere. </w:t>
      </w:r>
    </w:p>
    <w:p w14:paraId="2A4848D1"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 xml:space="preserve">Astfel, </w:t>
      </w:r>
      <w:r>
        <w:rPr>
          <w:rFonts w:eastAsia="Times New Roman" w:cs="Times New Roman"/>
          <w:b/>
          <w:color w:val="000000"/>
        </w:rPr>
        <w:t xml:space="preserve">obiectivele </w:t>
      </w:r>
      <w:r>
        <w:rPr>
          <w:rFonts w:eastAsia="Times New Roman" w:cs="Times New Roman"/>
          <w:color w:val="000000"/>
        </w:rPr>
        <w:t>planului de management se confundă cu obiectivele generale ale Strategiei Naționale privind gospodărirea integraă a zonei costier și sunt următoarele:</w:t>
      </w:r>
    </w:p>
    <w:p w14:paraId="321E4BD3"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i/>
          <w:color w:val="000000"/>
        </w:rPr>
        <w:t xml:space="preserve">O1. Conservarea valorilor naturale, peisagistice și culturale </w:t>
      </w:r>
    </w:p>
    <w:p w14:paraId="4F4FA595"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bookmarkStart w:id="140" w:name="_heading=h.1664s55" w:colFirst="0" w:colLast="0"/>
      <w:bookmarkEnd w:id="140"/>
      <w:r>
        <w:rPr>
          <w:rFonts w:eastAsia="Times New Roman" w:cs="Times New Roman"/>
          <w:i/>
          <w:color w:val="000000"/>
        </w:rPr>
        <w:t>O2. Prevenirea, reducerea și remedierea poluării</w:t>
      </w:r>
    </w:p>
    <w:p w14:paraId="3D902D5B"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i/>
          <w:color w:val="000000"/>
        </w:rPr>
        <w:t>O3. Planificare spațială și dezvoltare spațială sustenabilă</w:t>
      </w:r>
    </w:p>
    <w:p w14:paraId="5F28C8EF"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i/>
          <w:color w:val="000000"/>
        </w:rPr>
        <w:t>O4. Dezvoltarea durabilă a zonei costiere</w:t>
      </w:r>
    </w:p>
    <w:p w14:paraId="3AB1609A"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i/>
          <w:color w:val="000000"/>
        </w:rPr>
        <w:t>O5. Creșterea eficienței sistemului de management al zonei costiere</w:t>
      </w:r>
    </w:p>
    <w:p w14:paraId="41D3BD60"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i/>
          <w:color w:val="000000"/>
        </w:rPr>
        <w:t xml:space="preserve">O6. Consolidarea resursei umane </w:t>
      </w:r>
    </w:p>
    <w:p w14:paraId="7314E603" w14:textId="77777777" w:rsidR="00670FD4" w:rsidRDefault="00670FD4" w:rsidP="00670FD4">
      <w:pPr>
        <w:pBdr>
          <w:top w:val="nil"/>
          <w:left w:val="nil"/>
          <w:bottom w:val="nil"/>
          <w:right w:val="nil"/>
          <w:between w:val="nil"/>
        </w:pBdr>
        <w:spacing w:before="0"/>
        <w:rPr>
          <w:rFonts w:eastAsia="Times New Roman" w:cs="Times New Roman"/>
          <w:b/>
        </w:rPr>
      </w:pPr>
    </w:p>
    <w:p w14:paraId="03C8EEA4" w14:textId="77777777" w:rsidR="00670FD4" w:rsidRDefault="00670FD4" w:rsidP="00670FD4">
      <w:pPr>
        <w:pBdr>
          <w:top w:val="nil"/>
          <w:left w:val="nil"/>
          <w:bottom w:val="nil"/>
          <w:right w:val="nil"/>
          <w:between w:val="nil"/>
        </w:pBdr>
        <w:spacing w:before="0"/>
        <w:rPr>
          <w:rFonts w:eastAsia="Times New Roman" w:cs="Times New Roman"/>
          <w:b/>
          <w:i/>
        </w:rPr>
      </w:pPr>
      <w:r>
        <w:rPr>
          <w:rFonts w:eastAsia="Times New Roman" w:cs="Times New Roman"/>
          <w:b/>
          <w:i/>
        </w:rPr>
        <w:t>O1. Conservarea valorilor naturale, peisagistice și culturale</w:t>
      </w:r>
    </w:p>
    <w:p w14:paraId="4E77AC45" w14:textId="77777777" w:rsidR="00670FD4" w:rsidRDefault="00670FD4" w:rsidP="00670FD4">
      <w:pPr>
        <w:pBdr>
          <w:top w:val="nil"/>
          <w:left w:val="nil"/>
          <w:bottom w:val="nil"/>
          <w:right w:val="nil"/>
          <w:between w:val="nil"/>
        </w:pBdr>
        <w:spacing w:before="0"/>
        <w:ind w:firstLine="567"/>
        <w:rPr>
          <w:rFonts w:eastAsia="Times New Roman" w:cs="Times New Roman"/>
          <w:i/>
        </w:rPr>
      </w:pPr>
      <w:r>
        <w:rPr>
          <w:rFonts w:eastAsia="Times New Roman" w:cs="Times New Roman"/>
        </w:rPr>
        <w:t xml:space="preserve">Aspectele referitoare la conservarea valorilor naturale, peisagistice și culturale sunt printre cele mai importante aspecte strategice pentru managementul integrat al zonei costiere românești. Valorile naturale, peisagistice și culturale ale zonei costiere reprezintă fundația de care depind păstrarea identității spațiale și a modului de viață al populației din zona costieră. </w:t>
      </w:r>
      <w:r>
        <w:rPr>
          <w:rFonts w:eastAsia="Times New Roman" w:cs="Times New Roman"/>
        </w:rPr>
        <w:lastRenderedPageBreak/>
        <w:t>Astfel, conservarea lor devine un element cheie al politicilor de dezvoltare pentru a asigura stabilitatea ecosistemelor și a serviciilor furnizate de către acestea, păstrarea atractivității zonei costiere, bunăstarea comunităților costiere, precum și în ceea ce privește conservarea abilităților societății și naturii de a se adapta la schimbările climatice.</w:t>
      </w:r>
      <w:r>
        <w:rPr>
          <w:rFonts w:eastAsia="Times New Roman" w:cs="Times New Roman"/>
          <w:i/>
        </w:rPr>
        <w:t xml:space="preserve"> </w:t>
      </w:r>
    </w:p>
    <w:p w14:paraId="6018B0BA"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Obiectivele specifice definite pentru acest obiectiv general sunt:</w:t>
      </w:r>
    </w:p>
    <w:p w14:paraId="2E40AB5C" w14:textId="77777777" w:rsidR="00670FD4" w:rsidRDefault="00670FD4" w:rsidP="00670FD4">
      <w:pPr>
        <w:pBdr>
          <w:top w:val="nil"/>
          <w:left w:val="nil"/>
          <w:bottom w:val="nil"/>
          <w:right w:val="nil"/>
          <w:between w:val="nil"/>
        </w:pBdr>
        <w:spacing w:before="0"/>
        <w:rPr>
          <w:rFonts w:eastAsia="Times New Roman" w:cs="Times New Roman"/>
          <w:i/>
        </w:rPr>
      </w:pPr>
      <w:r>
        <w:rPr>
          <w:rFonts w:eastAsia="Times New Roman" w:cs="Times New Roman"/>
          <w:i/>
        </w:rPr>
        <w:t>O1.1. Protejarea eficientă a valorilor naturale, peisagistice și culturale</w:t>
      </w:r>
    </w:p>
    <w:p w14:paraId="01FAAF75" w14:textId="77777777" w:rsidR="00670FD4" w:rsidRDefault="00670FD4" w:rsidP="00670FD4">
      <w:pPr>
        <w:pBdr>
          <w:top w:val="nil"/>
          <w:left w:val="nil"/>
          <w:bottom w:val="nil"/>
          <w:right w:val="nil"/>
          <w:between w:val="nil"/>
        </w:pBdr>
        <w:spacing w:before="0"/>
        <w:rPr>
          <w:rFonts w:eastAsia="Times New Roman" w:cs="Times New Roman"/>
          <w:i/>
        </w:rPr>
      </w:pPr>
      <w:r>
        <w:rPr>
          <w:rFonts w:eastAsia="Times New Roman" w:cs="Times New Roman"/>
          <w:i/>
        </w:rPr>
        <w:t>O1.2. Îmbunătățirea și valorizarea serviciilor ecosistemice prin crearea unor mecanisme monetare și non-monetare</w:t>
      </w:r>
    </w:p>
    <w:p w14:paraId="0929D67A" w14:textId="77777777" w:rsidR="00670FD4" w:rsidRDefault="00670FD4" w:rsidP="00670FD4">
      <w:pPr>
        <w:pBdr>
          <w:top w:val="nil"/>
          <w:left w:val="nil"/>
          <w:bottom w:val="nil"/>
          <w:right w:val="nil"/>
          <w:between w:val="nil"/>
        </w:pBdr>
        <w:spacing w:before="0"/>
        <w:rPr>
          <w:rFonts w:eastAsia="Times New Roman" w:cs="Times New Roman"/>
          <w:b/>
          <w:i/>
        </w:rPr>
      </w:pPr>
      <w:r>
        <w:rPr>
          <w:rFonts w:eastAsia="Times New Roman" w:cs="Times New Roman"/>
          <w:b/>
          <w:i/>
        </w:rPr>
        <w:t xml:space="preserve">O2. Prevenirea, reducerea și remedierea efectelor schimbărilor climatice și poluării </w:t>
      </w:r>
    </w:p>
    <w:p w14:paraId="2515B7ED"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 xml:space="preserve">Nivelul actual de dezvoltare al infrastructurii de mediu (stații de epurare a apelor uzate, eliminarea deșeurilor, infrastructura de monitorizare a mediului, etc.) nu este pe deplin suficient pentru asigurarea unei calități bune a apelor subterane și de suprafață, a solului și aerului. În plus, infrastructura insuficient dezvoltată limitează și potențialul de dezvoltare socio-economică. În aceste condiții apare necesitatea îmbunătățirii capacităților și calității infrastructurii existente prin investiții semnificative pentru dezvoltarea proiectelor de infrastructură, dar, în același timp, asigurându-se minimizarea impactului negativ asupra mediului datorat dezvoltării infrastructurii. </w:t>
      </w:r>
    </w:p>
    <w:p w14:paraId="4D3DD302"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 xml:space="preserve">În condițiile unei variabilități pronunțate a climei și schimbări climatice, zonele costiere sunt direct expuse hazardelor naturale și impactului acestora. Prin urmare, este necesar un management al riscului la hazarde naturale performant care să limiteze la maximum impactul acestora asupra infrastructurii costiere. </w:t>
      </w:r>
    </w:p>
    <w:p w14:paraId="57D4CF1A"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Obiectivele specifice definite pentru acest obiectiv general sunt:</w:t>
      </w:r>
    </w:p>
    <w:p w14:paraId="1A19F2A9" w14:textId="77777777" w:rsidR="00670FD4" w:rsidRDefault="00670FD4" w:rsidP="00670FD4">
      <w:pPr>
        <w:pBdr>
          <w:top w:val="nil"/>
          <w:left w:val="nil"/>
          <w:bottom w:val="nil"/>
          <w:right w:val="nil"/>
          <w:between w:val="nil"/>
        </w:pBdr>
        <w:spacing w:before="0"/>
        <w:rPr>
          <w:rFonts w:eastAsia="Times New Roman" w:cs="Times New Roman"/>
          <w:i/>
        </w:rPr>
      </w:pPr>
      <w:r>
        <w:rPr>
          <w:rFonts w:eastAsia="Times New Roman" w:cs="Times New Roman"/>
          <w:i/>
        </w:rPr>
        <w:t>O2.1. Atingerea stării ecologice bune a ecosistemelor</w:t>
      </w:r>
    </w:p>
    <w:p w14:paraId="707F0B8B" w14:textId="77777777" w:rsidR="00670FD4" w:rsidRDefault="00670FD4" w:rsidP="00670FD4">
      <w:pPr>
        <w:pBdr>
          <w:top w:val="nil"/>
          <w:left w:val="nil"/>
          <w:bottom w:val="nil"/>
          <w:right w:val="nil"/>
          <w:between w:val="nil"/>
        </w:pBdr>
        <w:spacing w:before="0"/>
        <w:rPr>
          <w:rFonts w:eastAsia="Times New Roman" w:cs="Times New Roman"/>
          <w:i/>
        </w:rPr>
      </w:pPr>
      <w:r>
        <w:rPr>
          <w:rFonts w:eastAsia="Times New Roman" w:cs="Times New Roman"/>
          <w:i/>
        </w:rPr>
        <w:t>O2.2. Gestionarea, revitalizare și reabilitarea zonelor poluate din cauza depozitării, eliminării și tratării inadecvate a deșeurilor (solide și lichide)</w:t>
      </w:r>
    </w:p>
    <w:p w14:paraId="54EABEA5" w14:textId="77777777" w:rsidR="00670FD4" w:rsidRDefault="00670FD4" w:rsidP="00670FD4">
      <w:pPr>
        <w:pBdr>
          <w:top w:val="nil"/>
          <w:left w:val="nil"/>
          <w:bottom w:val="nil"/>
          <w:right w:val="nil"/>
          <w:between w:val="nil"/>
        </w:pBdr>
        <w:spacing w:before="0"/>
        <w:rPr>
          <w:rFonts w:eastAsia="Times New Roman" w:cs="Times New Roman"/>
          <w:i/>
        </w:rPr>
      </w:pPr>
      <w:r>
        <w:rPr>
          <w:rFonts w:eastAsia="Times New Roman" w:cs="Times New Roman"/>
          <w:i/>
        </w:rPr>
        <w:t>O2.3 Stimularea dezvoltării infrastructurii verzi</w:t>
      </w:r>
    </w:p>
    <w:p w14:paraId="4CA09030" w14:textId="77777777" w:rsidR="00670FD4" w:rsidRDefault="00670FD4" w:rsidP="00670FD4">
      <w:pPr>
        <w:pBdr>
          <w:top w:val="nil"/>
          <w:left w:val="nil"/>
          <w:bottom w:val="nil"/>
          <w:right w:val="nil"/>
          <w:between w:val="nil"/>
        </w:pBdr>
        <w:spacing w:before="0"/>
        <w:rPr>
          <w:rFonts w:eastAsia="Times New Roman" w:cs="Times New Roman"/>
          <w:i/>
        </w:rPr>
      </w:pPr>
      <w:r>
        <w:rPr>
          <w:rFonts w:eastAsia="Times New Roman" w:cs="Times New Roman"/>
          <w:i/>
        </w:rPr>
        <w:t>O2.4. Întărirea sistemului de management al riscurilor pentru hazarde naturale și antropice, luând în calcul și impactul schimbărilor climatice</w:t>
      </w:r>
    </w:p>
    <w:p w14:paraId="46C86FE2" w14:textId="77777777" w:rsidR="00670FD4" w:rsidRDefault="00670FD4" w:rsidP="00670FD4">
      <w:pPr>
        <w:pBdr>
          <w:top w:val="nil"/>
          <w:left w:val="nil"/>
          <w:bottom w:val="nil"/>
          <w:right w:val="nil"/>
          <w:between w:val="nil"/>
        </w:pBdr>
        <w:spacing w:before="0"/>
        <w:rPr>
          <w:rFonts w:eastAsia="Times New Roman" w:cs="Times New Roman"/>
          <w:b/>
          <w:i/>
        </w:rPr>
      </w:pPr>
      <w:r>
        <w:rPr>
          <w:rFonts w:eastAsia="Times New Roman" w:cs="Times New Roman"/>
          <w:b/>
          <w:i/>
        </w:rPr>
        <w:t>O3. Planificare spațială și dezvoltare spațială sustenabilă</w:t>
      </w:r>
    </w:p>
    <w:p w14:paraId="127900E7"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Actualele probleme și punctele slabe ale dezvoltării spațiale în zona costieră aparțin în mare măsură unui grup de probleme sistemice în domeniul amenajării teritoriului și urbanismului. În acest context, eforturile de îmbunătățire a sistemului de amenajare a teritoriului și urbanism sunt esențiale deoarece ar trebui să permită integrarea nevoilor și aspirațiilor sectoriale, protecția necondiționată a celor mai semnificative valori naturale, culturale și peisagistice, consumul și utilizarea rațională a spațiului.</w:t>
      </w:r>
    </w:p>
    <w:p w14:paraId="4724628D" w14:textId="77777777" w:rsidR="00670FD4" w:rsidRDefault="00670FD4" w:rsidP="00670FD4">
      <w:pPr>
        <w:pBdr>
          <w:top w:val="nil"/>
          <w:left w:val="nil"/>
          <w:bottom w:val="nil"/>
          <w:right w:val="nil"/>
          <w:between w:val="nil"/>
        </w:pBdr>
        <w:spacing w:before="0"/>
        <w:ind w:firstLine="567"/>
        <w:rPr>
          <w:rFonts w:eastAsia="Times New Roman" w:cs="Times New Roman"/>
          <w:i/>
        </w:rPr>
      </w:pPr>
      <w:r>
        <w:rPr>
          <w:rFonts w:eastAsia="Times New Roman" w:cs="Times New Roman"/>
        </w:rPr>
        <w:t>Obiectivele specifice definite pentru acest obiectiv general sunt:</w:t>
      </w:r>
      <w:r>
        <w:rPr>
          <w:rFonts w:eastAsia="Times New Roman" w:cs="Times New Roman"/>
          <w:i/>
        </w:rPr>
        <w:t xml:space="preserve"> </w:t>
      </w:r>
    </w:p>
    <w:p w14:paraId="59E5A3BF" w14:textId="77777777" w:rsidR="00670FD4" w:rsidRDefault="00670FD4" w:rsidP="00670FD4">
      <w:pPr>
        <w:pBdr>
          <w:top w:val="nil"/>
          <w:left w:val="nil"/>
          <w:bottom w:val="nil"/>
          <w:right w:val="nil"/>
          <w:between w:val="nil"/>
        </w:pBdr>
        <w:spacing w:before="0"/>
        <w:rPr>
          <w:rFonts w:eastAsia="Times New Roman" w:cs="Times New Roman"/>
          <w:i/>
        </w:rPr>
      </w:pPr>
      <w:r>
        <w:rPr>
          <w:rFonts w:eastAsia="Times New Roman" w:cs="Times New Roman"/>
          <w:i/>
        </w:rPr>
        <w:t>O3.1 Punerea în practică a planurilor de amenajare spațială a zonei costiere în coordonare cu planurile statelor vecine</w:t>
      </w:r>
    </w:p>
    <w:p w14:paraId="59C7BF23" w14:textId="77777777" w:rsidR="00670FD4" w:rsidRDefault="00670FD4" w:rsidP="00670FD4">
      <w:pPr>
        <w:pBdr>
          <w:top w:val="nil"/>
          <w:left w:val="nil"/>
          <w:bottom w:val="nil"/>
          <w:right w:val="nil"/>
          <w:between w:val="nil"/>
        </w:pBdr>
        <w:spacing w:before="0"/>
        <w:rPr>
          <w:rFonts w:eastAsia="Times New Roman" w:cs="Times New Roman"/>
          <w:i/>
        </w:rPr>
      </w:pPr>
      <w:r>
        <w:rPr>
          <w:rFonts w:eastAsia="Times New Roman" w:cs="Times New Roman"/>
          <w:i/>
        </w:rPr>
        <w:lastRenderedPageBreak/>
        <w:t>O3.2. Stabilirea unui sistem performant de supraveghere a eficienței implementării planificării spațiale prin realizarea Geamănului Digital (Digital Twin) a litoralului românesc</w:t>
      </w:r>
    </w:p>
    <w:p w14:paraId="5EFC7901" w14:textId="77777777" w:rsidR="00670FD4" w:rsidRDefault="00670FD4" w:rsidP="00670FD4">
      <w:pPr>
        <w:pBdr>
          <w:top w:val="nil"/>
          <w:left w:val="nil"/>
          <w:bottom w:val="nil"/>
          <w:right w:val="nil"/>
          <w:between w:val="nil"/>
        </w:pBdr>
        <w:spacing w:before="0"/>
        <w:rPr>
          <w:rFonts w:eastAsia="Times New Roman" w:cs="Times New Roman"/>
          <w:i/>
        </w:rPr>
      </w:pPr>
      <w:r>
        <w:rPr>
          <w:rFonts w:eastAsia="Times New Roman" w:cs="Times New Roman"/>
          <w:i/>
        </w:rPr>
        <w:t>O3.3. Planificare și dezvoltare spațială integrată și durabilă a zonelor metropolitane, periurbane și rurale din zona costieră</w:t>
      </w:r>
    </w:p>
    <w:p w14:paraId="16BB0CA8" w14:textId="77777777" w:rsidR="00670FD4" w:rsidRDefault="00670FD4" w:rsidP="00670FD4">
      <w:pPr>
        <w:pBdr>
          <w:top w:val="nil"/>
          <w:left w:val="nil"/>
          <w:bottom w:val="nil"/>
          <w:right w:val="nil"/>
          <w:between w:val="nil"/>
        </w:pBdr>
        <w:spacing w:before="0"/>
        <w:rPr>
          <w:rFonts w:eastAsia="Times New Roman" w:cs="Times New Roman"/>
          <w:b/>
          <w:i/>
        </w:rPr>
      </w:pPr>
      <w:r>
        <w:rPr>
          <w:rFonts w:eastAsia="Times New Roman" w:cs="Times New Roman"/>
          <w:b/>
          <w:i/>
        </w:rPr>
        <w:t>O4. Dezvoltarea durabilă a zonei costiere</w:t>
      </w:r>
    </w:p>
    <w:p w14:paraId="20E15516"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 xml:space="preserve">O preocupare centrală în managementul integrat al zonei costiere este legată de îmbunătățirea performanțelor economice prin depășirea deficiențelor care caracterizează starea existentă a dezvoltării socio-economice a zonei costiere, în primul rând a celor cauzate de nivelul relativ scăzut de diversificare a unor sectoare economice (turismul, producerea de energie, etc.) și de impactul negativ al acestora asupra calității mediului. Valorile naturale, culturale și peisagistice, resursele biotice și cele minerale, oferă zonei costiere un potențial de dezvoltare economică ridicat, respectiv îmbunătățirea ofertei de turism de înaltă calitate și diversificat, precum și a producției agricole ecologice autohtone. De asemenea, prin poziția sa geografică, zona costieră oferă un potențial ridicat pentru producerea de energie alternativă. În același timp însă, sunt evidente numeroase efecte negative asupra mediului ale dezvoltării activităților economice (în special dezvoltarea urbană, turismul, transporturile). </w:t>
      </w:r>
    </w:p>
    <w:p w14:paraId="7F89EE7A"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De aceea, nevoile prioritare în contextul creșterii economice durabile a zonei costiere necesită, printre altele, stimulente pentru dezvoltarea turismului durabil, dezvoltarea agriculturii și pescuitului sustenabile, utilizarea zonelor rurale, unele dintre ele neglijate în prezent, precum și stimulente pentru alte dezvoltarea sectoarelor emergente ale economiei albastre (acvacultura, biotehnologii, etc.).</w:t>
      </w:r>
    </w:p>
    <w:p w14:paraId="698EB514"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Obiectivele specifice definite pentru acest obiectiv general sunt:</w:t>
      </w:r>
    </w:p>
    <w:p w14:paraId="22C5BCB9" w14:textId="77777777" w:rsidR="00670FD4" w:rsidRDefault="00670FD4" w:rsidP="00670FD4">
      <w:pPr>
        <w:pBdr>
          <w:top w:val="nil"/>
          <w:left w:val="nil"/>
          <w:bottom w:val="nil"/>
          <w:right w:val="nil"/>
          <w:between w:val="nil"/>
        </w:pBdr>
        <w:spacing w:before="0"/>
        <w:rPr>
          <w:rFonts w:eastAsia="Times New Roman" w:cs="Times New Roman"/>
          <w:i/>
        </w:rPr>
      </w:pPr>
      <w:r>
        <w:rPr>
          <w:rFonts w:eastAsia="Times New Roman" w:cs="Times New Roman"/>
          <w:i/>
        </w:rPr>
        <w:t xml:space="preserve">O4.1 Gestionarea durabilă a resurselor zonei de coastă </w:t>
      </w:r>
    </w:p>
    <w:p w14:paraId="16E5D3BC" w14:textId="77777777" w:rsidR="00670FD4" w:rsidRDefault="00670FD4" w:rsidP="00670FD4">
      <w:pPr>
        <w:pBdr>
          <w:top w:val="nil"/>
          <w:left w:val="nil"/>
          <w:bottom w:val="nil"/>
          <w:right w:val="nil"/>
          <w:between w:val="nil"/>
        </w:pBdr>
        <w:spacing w:before="0"/>
        <w:rPr>
          <w:rFonts w:eastAsia="Times New Roman" w:cs="Times New Roman"/>
          <w:i/>
        </w:rPr>
      </w:pPr>
      <w:r>
        <w:rPr>
          <w:rFonts w:eastAsia="Times New Roman" w:cs="Times New Roman"/>
          <w:i/>
        </w:rPr>
        <w:t>O4.2 Dezvoltarea “verde” a zonei costiere</w:t>
      </w:r>
    </w:p>
    <w:p w14:paraId="09F89490" w14:textId="77777777" w:rsidR="00670FD4" w:rsidRDefault="00670FD4" w:rsidP="00670FD4">
      <w:pPr>
        <w:pBdr>
          <w:top w:val="nil"/>
          <w:left w:val="nil"/>
          <w:bottom w:val="nil"/>
          <w:right w:val="nil"/>
          <w:between w:val="nil"/>
        </w:pBdr>
        <w:spacing w:before="0"/>
        <w:rPr>
          <w:rFonts w:eastAsia="Times New Roman" w:cs="Times New Roman"/>
          <w:i/>
        </w:rPr>
      </w:pPr>
      <w:r>
        <w:rPr>
          <w:rFonts w:eastAsia="Times New Roman" w:cs="Times New Roman"/>
          <w:i/>
        </w:rPr>
        <w:t xml:space="preserve">O4.3 Valorificarea resurselor energetice regenerabile </w:t>
      </w:r>
    </w:p>
    <w:p w14:paraId="206813CF" w14:textId="77777777" w:rsidR="00670FD4" w:rsidRDefault="00670FD4" w:rsidP="00670FD4">
      <w:pPr>
        <w:pBdr>
          <w:top w:val="nil"/>
          <w:left w:val="nil"/>
          <w:bottom w:val="nil"/>
          <w:right w:val="nil"/>
          <w:between w:val="nil"/>
        </w:pBdr>
        <w:spacing w:before="0"/>
        <w:rPr>
          <w:rFonts w:eastAsia="Times New Roman" w:cs="Times New Roman"/>
          <w:i/>
        </w:rPr>
      </w:pPr>
      <w:r>
        <w:rPr>
          <w:rFonts w:eastAsia="Times New Roman" w:cs="Times New Roman"/>
          <w:i/>
        </w:rPr>
        <w:t>O4.4. Atragerea investițiilor în biotehnologii pentru recuperarea, remedierea, îmbunătățirea sanatatii umane si a mediului, în acord cu strategiile europene de promovare a Economiei Albastre și de atingere a obiectivelor Pactului Verde European și a Strategiei de la Ferma direct în Farfurie.</w:t>
      </w:r>
    </w:p>
    <w:p w14:paraId="53CCA837" w14:textId="77777777" w:rsidR="00670FD4" w:rsidRDefault="00670FD4" w:rsidP="00670FD4">
      <w:pPr>
        <w:pBdr>
          <w:top w:val="nil"/>
          <w:left w:val="nil"/>
          <w:bottom w:val="nil"/>
          <w:right w:val="nil"/>
          <w:between w:val="nil"/>
        </w:pBdr>
        <w:spacing w:before="0"/>
        <w:rPr>
          <w:rFonts w:eastAsia="Times New Roman" w:cs="Times New Roman"/>
          <w:b/>
          <w:i/>
        </w:rPr>
      </w:pPr>
      <w:r>
        <w:rPr>
          <w:rFonts w:eastAsia="Times New Roman" w:cs="Times New Roman"/>
          <w:b/>
          <w:i/>
        </w:rPr>
        <w:t>O5. Creșterea eficienței sistemului de management al zonei costiere</w:t>
      </w:r>
    </w:p>
    <w:p w14:paraId="6D5E32C6"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Acest obiectiv general a fost definit în contextul în care un mecanism funcțional de coordonare și cooperare reprezintă o nevoie urgentă a actualului sistem de management al zonei costiere. O contribuție importantă la dezvoltarea sustenabilă a zonei costiere trebuie să fie adusă prin consolidarea cooperării și coordonării între părțile interesate, includerea eficientă a publicului în procesele de luare a deciziilor și utilizarea tuturor cunoștințelor disponibile.</w:t>
      </w:r>
    </w:p>
    <w:p w14:paraId="51CECC3E"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Obiectivele specifice urmărite pentru atingerea acestui obiectiv general sunt:</w:t>
      </w:r>
    </w:p>
    <w:p w14:paraId="057E392C" w14:textId="77777777" w:rsidR="00670FD4" w:rsidRDefault="00670FD4" w:rsidP="00670FD4">
      <w:pPr>
        <w:pBdr>
          <w:top w:val="nil"/>
          <w:left w:val="nil"/>
          <w:bottom w:val="nil"/>
          <w:right w:val="nil"/>
          <w:between w:val="nil"/>
        </w:pBdr>
        <w:spacing w:before="0"/>
        <w:rPr>
          <w:rFonts w:eastAsia="Times New Roman" w:cs="Times New Roman"/>
          <w:i/>
        </w:rPr>
      </w:pPr>
      <w:r>
        <w:rPr>
          <w:rFonts w:eastAsia="Times New Roman" w:cs="Times New Roman"/>
          <w:i/>
        </w:rPr>
        <w:t>O5.1. Stabilirea / consolidarea mecanismului de coordonare a managementului integrat al zonei de coastă care să aducă împreună toate instituțiile responsabile ale statului român</w:t>
      </w:r>
    </w:p>
    <w:p w14:paraId="56640DDF" w14:textId="77777777" w:rsidR="00670FD4" w:rsidRDefault="00670FD4" w:rsidP="00670FD4">
      <w:pPr>
        <w:pBdr>
          <w:top w:val="nil"/>
          <w:left w:val="nil"/>
          <w:bottom w:val="nil"/>
          <w:right w:val="nil"/>
          <w:between w:val="nil"/>
        </w:pBdr>
        <w:spacing w:before="0"/>
        <w:rPr>
          <w:rFonts w:eastAsia="Times New Roman" w:cs="Times New Roman"/>
          <w:i/>
        </w:rPr>
      </w:pPr>
      <w:r>
        <w:rPr>
          <w:rFonts w:eastAsia="Times New Roman" w:cs="Times New Roman"/>
          <w:i/>
        </w:rPr>
        <w:lastRenderedPageBreak/>
        <w:t>O5.2. Consolidarea capacităţii administrației publice</w:t>
      </w:r>
    </w:p>
    <w:p w14:paraId="57750963" w14:textId="77777777" w:rsidR="00670FD4" w:rsidRDefault="00670FD4" w:rsidP="00670FD4">
      <w:pPr>
        <w:pBdr>
          <w:top w:val="nil"/>
          <w:left w:val="nil"/>
          <w:bottom w:val="nil"/>
          <w:right w:val="nil"/>
          <w:between w:val="nil"/>
        </w:pBdr>
        <w:spacing w:before="0"/>
        <w:rPr>
          <w:rFonts w:eastAsia="Times New Roman" w:cs="Times New Roman"/>
          <w:i/>
        </w:rPr>
      </w:pPr>
      <w:r>
        <w:rPr>
          <w:rFonts w:eastAsia="Times New Roman" w:cs="Times New Roman"/>
          <w:i/>
        </w:rPr>
        <w:t>O5.3. Întărirea aplicării normelor specifice sectoarelor economice din zona costieră</w:t>
      </w:r>
    </w:p>
    <w:p w14:paraId="3FF611F4" w14:textId="77777777" w:rsidR="00670FD4" w:rsidRDefault="00670FD4" w:rsidP="00670FD4">
      <w:pPr>
        <w:pBdr>
          <w:top w:val="nil"/>
          <w:left w:val="nil"/>
          <w:bottom w:val="nil"/>
          <w:right w:val="nil"/>
          <w:between w:val="nil"/>
        </w:pBdr>
        <w:spacing w:before="0"/>
        <w:rPr>
          <w:rFonts w:eastAsia="Times New Roman" w:cs="Times New Roman"/>
          <w:b/>
          <w:i/>
        </w:rPr>
      </w:pPr>
      <w:r>
        <w:rPr>
          <w:rFonts w:eastAsia="Times New Roman" w:cs="Times New Roman"/>
          <w:b/>
          <w:i/>
        </w:rPr>
        <w:t>O6. Consolidarea resursei umane și coeziunii sociale</w:t>
      </w:r>
    </w:p>
    <w:p w14:paraId="5E1B8233"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Societățile care prețuiesc cunoștințele și aptitudinile, care reușesc să mobilizeze potențialul diferitelor grupuri sociale și să ofere beneficii ale dezvoltării tuturor membrilor lor, sunt societăți care se află pe calea dezvoltării durabile. Resursele umane disponibile – cunoștințe, abilități și capital social (legături reciproce și cooperare între părțile interesate) – reprezintă unul dintre cei mai importanți factori de dezvoltare. Consolidarea resurselor umane nu poate fi realizată optim fără o restructurare organizațională adecvată și dezvoltarea capacităților în cadrul instituțiilor administrației publice. În consecință, îmbunătățirea sistemului (instituțional) de management al zonei costiere nu este posibilă fără a investi în același timp în dezvoltarea capacităților funcționarilor publici și experților de a îndeplini sarcinile atribuite în mod eficient și eficace.</w:t>
      </w:r>
    </w:p>
    <w:p w14:paraId="605EC015"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Obiectivele specifice definite pentru acest obiectiv general sunt:</w:t>
      </w:r>
    </w:p>
    <w:p w14:paraId="2DFBD280" w14:textId="77777777" w:rsidR="00670FD4" w:rsidRDefault="00670FD4" w:rsidP="00670FD4">
      <w:pPr>
        <w:spacing w:before="0"/>
        <w:rPr>
          <w:rFonts w:eastAsia="Times New Roman" w:cs="Times New Roman"/>
          <w:i/>
        </w:rPr>
      </w:pPr>
      <w:r>
        <w:rPr>
          <w:rFonts w:eastAsia="Times New Roman" w:cs="Times New Roman"/>
          <w:i/>
        </w:rPr>
        <w:t>O6.1. Crearea unui proces real participativ în gestionarea integrată a zonei costiere</w:t>
      </w:r>
    </w:p>
    <w:p w14:paraId="30C74F6B" w14:textId="77777777" w:rsidR="00670FD4" w:rsidRDefault="00670FD4" w:rsidP="00670FD4">
      <w:pPr>
        <w:spacing w:before="0"/>
        <w:rPr>
          <w:rFonts w:eastAsia="Times New Roman" w:cs="Times New Roman"/>
          <w:i/>
        </w:rPr>
      </w:pPr>
      <w:r>
        <w:rPr>
          <w:rFonts w:eastAsia="Times New Roman" w:cs="Times New Roman"/>
          <w:i/>
        </w:rPr>
        <w:t>O6.2 Creșterea gradului de conștientizare cu privire la necesitatea de a păstra și îmbunătăți resursele zonei de coastă</w:t>
      </w:r>
    </w:p>
    <w:p w14:paraId="693E8A52" w14:textId="77777777" w:rsidR="00670FD4" w:rsidRDefault="00670FD4" w:rsidP="00670FD4">
      <w:pPr>
        <w:spacing w:before="0"/>
        <w:rPr>
          <w:rFonts w:eastAsia="Times New Roman" w:cs="Times New Roman"/>
          <w:i/>
        </w:rPr>
      </w:pPr>
      <w:r>
        <w:rPr>
          <w:rFonts w:eastAsia="Times New Roman" w:cs="Times New Roman"/>
          <w:i/>
        </w:rPr>
        <w:t>O6.3. Implicarea cetățenilor în monitorizarea stării de sănătate a mediului costier (Citizen-science).</w:t>
      </w:r>
    </w:p>
    <w:p w14:paraId="1F4D4C73" w14:textId="77777777" w:rsidR="00670FD4" w:rsidRDefault="00670FD4" w:rsidP="00670FD4"/>
    <w:p w14:paraId="737A9763" w14:textId="77777777" w:rsidR="00670FD4" w:rsidRDefault="00670FD4" w:rsidP="00670FD4">
      <w:pPr>
        <w:pStyle w:val="Heading2"/>
      </w:pPr>
      <w:bookmarkStart w:id="141" w:name="_Toc150501475"/>
      <w:bookmarkStart w:id="142" w:name="_Toc171084862"/>
      <w:r>
        <w:t>2.7. Programe de măsuri</w:t>
      </w:r>
      <w:bookmarkEnd w:id="141"/>
      <w:bookmarkEnd w:id="142"/>
      <w:r>
        <w:t> </w:t>
      </w:r>
    </w:p>
    <w:p w14:paraId="410EB956" w14:textId="77777777" w:rsidR="00670FD4" w:rsidRDefault="00670FD4" w:rsidP="00670FD4">
      <w:pPr>
        <w:pBdr>
          <w:top w:val="nil"/>
          <w:left w:val="nil"/>
          <w:bottom w:val="nil"/>
          <w:right w:val="nil"/>
          <w:between w:val="nil"/>
        </w:pBdr>
        <w:spacing w:before="0"/>
        <w:rPr>
          <w:rFonts w:eastAsia="Times New Roman" w:cs="Times New Roman"/>
          <w:b/>
          <w:color w:val="000000"/>
        </w:rPr>
      </w:pPr>
      <w:r>
        <w:rPr>
          <w:rFonts w:eastAsia="Times New Roman" w:cs="Times New Roman"/>
          <w:b/>
        </w:rPr>
        <w:t xml:space="preserve">M1. Măsuri vizând cadrul legislativ și instituțional </w:t>
      </w:r>
    </w:p>
    <w:p w14:paraId="6CE8E232" w14:textId="77777777" w:rsidR="00670FD4" w:rsidRDefault="00670FD4" w:rsidP="00670FD4">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Implementarea cu succes a Planului de management integrat al zonei costiere impune implementarea, cu prioritate, a unor măsuri / acțiuni ce vizează modificarea actualului cadru instituțional și a celui legislativ care să conducă la consolidarea sistemului de management al zonei costiere. Aceste măsuri / acțiuni se referă la:</w:t>
      </w:r>
    </w:p>
    <w:p w14:paraId="3D3A7CB8" w14:textId="77777777" w:rsidR="00670FD4" w:rsidRDefault="00670FD4" w:rsidP="00670FD4">
      <w:pPr>
        <w:pBdr>
          <w:top w:val="nil"/>
          <w:left w:val="nil"/>
          <w:bottom w:val="nil"/>
          <w:right w:val="nil"/>
          <w:between w:val="nil"/>
        </w:pBdr>
        <w:spacing w:before="0"/>
        <w:rPr>
          <w:rFonts w:eastAsia="Times New Roman" w:cs="Times New Roman"/>
          <w:b/>
          <w:i/>
          <w:color w:val="000000"/>
        </w:rPr>
      </w:pPr>
      <w:r>
        <w:rPr>
          <w:rFonts w:eastAsia="Times New Roman" w:cs="Times New Roman"/>
          <w:b/>
          <w:i/>
          <w:color w:val="000000"/>
        </w:rPr>
        <w:t xml:space="preserve">M 1.1 Consolidarea mecanismului instituțional </w:t>
      </w:r>
    </w:p>
    <w:p w14:paraId="07CF6FB2" w14:textId="77777777" w:rsidR="00670FD4" w:rsidRDefault="00670FD4" w:rsidP="00670FD4">
      <w:pPr>
        <w:spacing w:before="0"/>
        <w:ind w:firstLine="540"/>
        <w:rPr>
          <w:rFonts w:eastAsia="Times New Roman" w:cs="Times New Roman"/>
        </w:rPr>
      </w:pPr>
      <w:r>
        <w:rPr>
          <w:rFonts w:eastAsia="Times New Roman" w:cs="Times New Roman"/>
        </w:rPr>
        <w:t xml:space="preserve">Având în vedere problemele identificate în urma analizei situației actuale a sistemului instituțional, această măsură va fi aplicată cu prioritate pentru conferi CNZC suficientă autoritate pentru a asigura o coordonare </w:t>
      </w:r>
      <w:sdt>
        <w:sdtPr>
          <w:tag w:val="goog_rdk_51"/>
          <w:id w:val="-1199857615"/>
        </w:sdtPr>
        <w:sdtContent>
          <w:r>
            <w:rPr>
              <w:rFonts w:eastAsia="Times New Roman" w:cs="Times New Roman"/>
            </w:rPr>
            <w:t>interministerială</w:t>
          </w:r>
        </w:sdtContent>
      </w:sdt>
      <w:r>
        <w:rPr>
          <w:rFonts w:eastAsia="Times New Roman" w:cs="Times New Roman"/>
        </w:rPr>
        <w:t xml:space="preserve"> eficientă la nivel de implementare a politicii MIZC, precum și înființarea și implementarea unor mecanisme de coordonare instituțională, organizate pe verticală și orizontală, între autoritățile și instituțiile competente atât la nivel național, cât și local. De asemnea, prin implementarea acestei măsuri se va restructura componența CNZC astfel încât acesta să aibă o mai bună reprezentativitate (să includă toate categoriile de factori interesați) și să funcționeze mai eficace și mai eficient.</w:t>
      </w:r>
    </w:p>
    <w:p w14:paraId="3BFCB2C4" w14:textId="77777777" w:rsidR="00670FD4" w:rsidRDefault="00670FD4" w:rsidP="00670FD4">
      <w:pPr>
        <w:spacing w:before="0"/>
        <w:ind w:firstLine="540"/>
        <w:rPr>
          <w:rFonts w:eastAsia="Times New Roman" w:cs="Times New Roman"/>
        </w:rPr>
      </w:pPr>
      <w:r>
        <w:rPr>
          <w:rFonts w:eastAsia="Times New Roman" w:cs="Times New Roman"/>
        </w:rPr>
        <w:t xml:space="preserve">Mai mult, implementarea acestei măsuri va determina și o reorganizare la nivelul MMAP, instituția responsabilă pentru elaborarea și implementarea procesului MIZC, în sensul </w:t>
      </w:r>
      <w:r>
        <w:rPr>
          <w:rFonts w:eastAsia="Times New Roman" w:cs="Times New Roman"/>
        </w:rPr>
        <w:lastRenderedPageBreak/>
        <w:t xml:space="preserve">constituirii unei departament / compartiment (Secretariatul tehnic administrativ al zonei costiere) ce va sprijini buna funcționare a CNZC, inclusiv prin implementarea unui management al datelor funcțional prin înființarea unui Observator al Zonei Costiere. </w:t>
      </w:r>
    </w:p>
    <w:p w14:paraId="6862DE65" w14:textId="77777777" w:rsidR="00670FD4" w:rsidRDefault="00670FD4" w:rsidP="00670FD4">
      <w:pPr>
        <w:spacing w:before="0"/>
        <w:ind w:firstLine="540"/>
        <w:rPr>
          <w:rFonts w:eastAsia="Times New Roman" w:cs="Times New Roman"/>
        </w:rPr>
      </w:pPr>
      <w:r>
        <w:rPr>
          <w:rFonts w:eastAsia="Times New Roman" w:cs="Times New Roman"/>
        </w:rPr>
        <w:t xml:space="preserve">În prezent, colectarea datelor și informațiilor este destul de anevoioasă, nu toate organizațiile cu atribuții în managementul integrat al zonei costiere arătându-și disponibilitatea de a furniza date, în special în lipsa unor reglementări clare referitoare la managementul datelor și informațiilor. De altfel, nu există în prezent o baza de date la nivel național, datele și informațiile fiind dispersate la mai multe organizații / instituții. Prin implementarea acestei măsuri, respectiv prin dezvoltarea Observatorului Zonei Costiere, se va asigura creșterea gradului de colectare a datelor și informațiilor, precum și a disponibilității acestora, evident în condiții bine reglementate. </w:t>
      </w:r>
    </w:p>
    <w:p w14:paraId="33FAB6B0" w14:textId="77777777" w:rsidR="00670FD4" w:rsidRDefault="00670FD4" w:rsidP="00670FD4">
      <w:pPr>
        <w:spacing w:before="0"/>
        <w:ind w:firstLine="540"/>
        <w:rPr>
          <w:rFonts w:eastAsia="Times New Roman" w:cs="Times New Roman"/>
        </w:rPr>
      </w:pPr>
      <w:r>
        <w:rPr>
          <w:rFonts w:eastAsia="Times New Roman" w:cs="Times New Roman"/>
        </w:rPr>
        <w:t xml:space="preserve">Implementarea acestei măsuri este prioritară și va fi finanțată din bugetul propriu al MMAP. </w:t>
      </w:r>
    </w:p>
    <w:p w14:paraId="343F4A4A" w14:textId="77777777" w:rsidR="00670FD4" w:rsidRDefault="00670FD4" w:rsidP="00670FD4">
      <w:pPr>
        <w:spacing w:before="0"/>
        <w:ind w:firstLine="540"/>
        <w:rPr>
          <w:rFonts w:eastAsia="Times New Roman" w:cs="Times New Roman"/>
          <w:b/>
          <w:i/>
        </w:rPr>
      </w:pPr>
      <w:r>
        <w:rPr>
          <w:rFonts w:eastAsia="Times New Roman" w:cs="Times New Roman"/>
        </w:rPr>
        <w:t xml:space="preserve">Implementarea acestei măsuri este prioritară și va fi finanțată din bugetul propriu al MMAP. </w:t>
      </w:r>
    </w:p>
    <w:p w14:paraId="7B11D63D" w14:textId="77777777" w:rsidR="00670FD4" w:rsidRDefault="00670FD4" w:rsidP="00670FD4">
      <w:pPr>
        <w:pBdr>
          <w:top w:val="nil"/>
          <w:left w:val="nil"/>
          <w:bottom w:val="nil"/>
          <w:right w:val="nil"/>
          <w:between w:val="nil"/>
        </w:pBdr>
        <w:spacing w:before="0"/>
        <w:rPr>
          <w:rFonts w:eastAsia="Times New Roman" w:cs="Times New Roman"/>
          <w:b/>
          <w:i/>
          <w:color w:val="000000"/>
        </w:rPr>
      </w:pPr>
      <w:r>
        <w:rPr>
          <w:rFonts w:eastAsia="Times New Roman" w:cs="Times New Roman"/>
          <w:b/>
          <w:i/>
          <w:color w:val="000000"/>
        </w:rPr>
        <w:t>M 1.2 Revizuirea cadrului legislativ referitor la delimitarea zonei costiere</w:t>
      </w:r>
    </w:p>
    <w:p w14:paraId="7654EECC" w14:textId="77777777" w:rsidR="00670FD4" w:rsidRDefault="00670FD4" w:rsidP="00670FD4">
      <w:pPr>
        <w:spacing w:before="0"/>
        <w:ind w:firstLine="540"/>
        <w:rPr>
          <w:rFonts w:eastAsia="Times New Roman" w:cs="Times New Roman"/>
        </w:rPr>
      </w:pPr>
      <w:r>
        <w:rPr>
          <w:rFonts w:eastAsia="Times New Roman" w:cs="Times New Roman"/>
        </w:rPr>
        <w:t>Având în vedere redefinirea zonei costiere ca spațiul geografic care cuprinde spațiul maritim în limita a 12 mile marine și teritoriul UAT-urilor limitrofe zonei costiere, inclusiv UAT Techirghiol, se impune revizuirea corespunzătoare a modului de delimitare a zonei costiere din OUG 202/2002. În același timp, pentru protejarea și gestionarea durabilă a zonei costiere astfel delimitată, se impune definirea unor spații/zone costiere critice</w:t>
      </w:r>
      <w:r>
        <w:rPr>
          <w:rFonts w:eastAsia="Times New Roman" w:cs="Times New Roman"/>
          <w:b/>
        </w:rPr>
        <w:t xml:space="preserve">. </w:t>
      </w:r>
      <w:r>
        <w:rPr>
          <w:rFonts w:eastAsia="Times New Roman" w:cs="Times New Roman"/>
        </w:rPr>
        <w:t>Aceste spații sensibile și cu risc potențial ridicat din punctul de vedere al mediului, cât și din punct de vedere economic și social, sunt apele din zona de coastă, precum și teritoriile adiacente acestora, situate în spațiul geografic al zonei costiere în care orice nouă utilizare a terenurilor sau orice extindere a utilizărilor existente, fac obiectul avizării de către structurile MMAP stabilite prin reglementări legale primare și în conformitate cu metodologia aprobată prin reglementările subsecvente. Delimitarea acestor spații costiere critice este în sarcina UAT-urilor și se realizează prin documentațiile de urbanism.</w:t>
      </w:r>
    </w:p>
    <w:p w14:paraId="335A0611" w14:textId="77777777" w:rsidR="00670FD4" w:rsidRDefault="00670FD4" w:rsidP="00670FD4">
      <w:pPr>
        <w:spacing w:before="0"/>
        <w:ind w:firstLine="540"/>
        <w:rPr>
          <w:rFonts w:eastAsia="Times New Roman" w:cs="Times New Roman"/>
          <w:highlight w:val="white"/>
        </w:rPr>
      </w:pPr>
      <w:r>
        <w:rPr>
          <w:rFonts w:eastAsia="Times New Roman" w:cs="Times New Roman"/>
        </w:rPr>
        <w:t xml:space="preserve">Reconsiderarea modului de delimitare a zonei costiere precum și delimitarea în cadrul acesteia a spațiilor critice presupune revizuirea actelor normative subsecvente OUG 202/2002, și anume </w:t>
      </w:r>
      <w:r>
        <w:rPr>
          <w:rFonts w:eastAsia="Times New Roman" w:cs="Times New Roman"/>
          <w:highlight w:val="white"/>
        </w:rPr>
        <w:t>Legea 597/31.10.2001 privind unele măsuri de protecţie şi autorizare a construcţiilor în zona de coastă a Mării Negre, H.G. 546/07.04.2004 privind aprobarea metodologiei pentru delimitarea domeniului public al statului în zona costieră și H.G 749/14.05.2004 privind stabilirea responsabilităților, criteriilor şi modului de delimitare a fâșiei de teren aflate în imediata apropiere a zonei costiere, în scopul conservării condiţiilor ambientale şi valorii patrimoniale şi peisagistice din zonele situate în apropierea tarmului.</w:t>
      </w:r>
    </w:p>
    <w:p w14:paraId="1FA77AB1" w14:textId="77777777" w:rsidR="00670FD4" w:rsidRDefault="00670FD4" w:rsidP="00670FD4">
      <w:pPr>
        <w:spacing w:before="0"/>
        <w:ind w:firstLine="540"/>
        <w:rPr>
          <w:rFonts w:eastAsia="Times New Roman" w:cs="Times New Roman"/>
        </w:rPr>
      </w:pPr>
      <w:r>
        <w:rPr>
          <w:rFonts w:eastAsia="Times New Roman" w:cs="Times New Roman"/>
          <w:highlight w:val="white"/>
        </w:rPr>
        <w:t xml:space="preserve">O situație particulară care trebuie să facă obiectul revizuirii H.G. 749/2004 este aceea </w:t>
      </w:r>
      <w:r>
        <w:rPr>
          <w:rFonts w:eastAsia="Times New Roman" w:cs="Times New Roman"/>
        </w:rPr>
        <w:t>referitoare la modul de delimitare a fâșiei de teren aflate în imediata apropiere a zonei costiere, în condițiile finalizări lucrărilor de înnisipare și lărgirea plajei.</w:t>
      </w:r>
    </w:p>
    <w:p w14:paraId="771A9AD6" w14:textId="77777777" w:rsidR="00670FD4" w:rsidRDefault="00670FD4" w:rsidP="00670FD4">
      <w:pPr>
        <w:spacing w:before="0"/>
        <w:ind w:firstLine="540"/>
        <w:rPr>
          <w:rFonts w:eastAsia="Times New Roman" w:cs="Times New Roman"/>
        </w:rPr>
      </w:pPr>
      <w:r>
        <w:rPr>
          <w:rFonts w:eastAsia="Times New Roman" w:cs="Times New Roman"/>
        </w:rPr>
        <w:t>Instituțiile responsabile pentru implementarea acestei măsuri vor fi MMAP și MDLPA, care vor asigura și resursele financiare necesare.</w:t>
      </w:r>
    </w:p>
    <w:p w14:paraId="52B2E8F8" w14:textId="77777777" w:rsidR="00670FD4" w:rsidRDefault="00670FD4" w:rsidP="00670FD4">
      <w:pPr>
        <w:pBdr>
          <w:top w:val="nil"/>
          <w:left w:val="nil"/>
          <w:bottom w:val="nil"/>
          <w:right w:val="nil"/>
          <w:between w:val="nil"/>
        </w:pBdr>
        <w:spacing w:before="0"/>
        <w:rPr>
          <w:rFonts w:eastAsia="Times New Roman" w:cs="Times New Roman"/>
          <w:color w:val="000000"/>
        </w:rPr>
      </w:pPr>
      <w:r>
        <w:rPr>
          <w:rFonts w:eastAsia="Times New Roman" w:cs="Times New Roman"/>
          <w:b/>
          <w:i/>
          <w:color w:val="000000"/>
        </w:rPr>
        <w:lastRenderedPageBreak/>
        <w:t>M 1.3. Consolidarea capacității umane a aparatului administrativ</w:t>
      </w:r>
      <w:r>
        <w:rPr>
          <w:rFonts w:eastAsia="Times New Roman" w:cs="Times New Roman"/>
          <w:color w:val="000000"/>
        </w:rPr>
        <w:t xml:space="preserve">, care se va realiza prin implementarea de programe pentru furnizarea de Asistență Tehnică. Prin această măsură se urmărește nu doar consolidarea capacității profesionale, ci și creșterea motivației și interesului personalului administrativ al organizațiilor implicate în MIZC. Instituția responsabilă pentru implementarea acestei măsuri va fi MMAP, iar rezultatul așteptat este creșterea semnificativă a beneficiarilor acestor programe de Asistență Tehnică. Resursele financiare și logistice necesare </w:t>
      </w:r>
      <w:r>
        <w:rPr>
          <w:rFonts w:eastAsia="Times New Roman" w:cs="Times New Roman"/>
        </w:rPr>
        <w:t>implementării</w:t>
      </w:r>
      <w:r>
        <w:rPr>
          <w:rFonts w:eastAsia="Times New Roman" w:cs="Times New Roman"/>
          <w:color w:val="000000"/>
        </w:rPr>
        <w:t xml:space="preserve"> acestei măsuri vor fi asigurate din bugetul MMAP.</w:t>
      </w:r>
    </w:p>
    <w:p w14:paraId="34A05B38" w14:textId="77777777" w:rsidR="00670FD4" w:rsidRDefault="00670FD4" w:rsidP="00670FD4">
      <w:pPr>
        <w:spacing w:before="0"/>
        <w:rPr>
          <w:rFonts w:eastAsia="Times New Roman" w:cs="Times New Roman"/>
          <w:b/>
          <w:i/>
        </w:rPr>
      </w:pPr>
      <w:r>
        <w:rPr>
          <w:rFonts w:eastAsia="Times New Roman" w:cs="Times New Roman"/>
          <w:b/>
          <w:i/>
        </w:rPr>
        <w:t>M 1.4 Creșterea gradului de participare a tuturor factorilor implicați în gestionarea zonei costiere</w:t>
      </w:r>
    </w:p>
    <w:p w14:paraId="06D8471E" w14:textId="77777777" w:rsidR="00670FD4" w:rsidRDefault="00670FD4" w:rsidP="00670FD4">
      <w:pPr>
        <w:spacing w:before="0"/>
        <w:ind w:firstLine="540"/>
        <w:rPr>
          <w:rFonts w:eastAsia="Times New Roman" w:cs="Times New Roman"/>
        </w:rPr>
      </w:pPr>
      <w:r>
        <w:rPr>
          <w:rFonts w:eastAsia="Times New Roman" w:cs="Times New Roman"/>
        </w:rPr>
        <w:t>Implementarea acestei măsuri presupune elaborarea și implementarea Planului de Comunicare al Strategiei Naționale privind gospodărirea integrată a zonei costiere și a Planului de management integrat al zonei costiere, precum și promovarea și implementarea unui instrument de tip citizen-science în vederea implicării directe a cetățenilor în procesul MIZC.</w:t>
      </w:r>
    </w:p>
    <w:p w14:paraId="322D0039" w14:textId="77777777" w:rsidR="00670FD4" w:rsidRDefault="00670FD4" w:rsidP="00670FD4">
      <w:pPr>
        <w:spacing w:before="0"/>
        <w:ind w:firstLine="540"/>
        <w:rPr>
          <w:rFonts w:eastAsia="Times New Roman" w:cs="Times New Roman"/>
        </w:rPr>
      </w:pPr>
      <w:r>
        <w:rPr>
          <w:rFonts w:eastAsia="Times New Roman" w:cs="Times New Roman"/>
        </w:rPr>
        <w:t>Necesitatea elaborării și implementării unui Plan de comunicare al Strategiei naționale pentru godpodărirea integrată al zonei costiere derivă din două dintre principiile fundamentale pe care este fundamentată această strategie, și anume:</w:t>
      </w:r>
    </w:p>
    <w:p w14:paraId="036E58A3" w14:textId="77777777" w:rsidR="00670FD4" w:rsidRDefault="00670FD4" w:rsidP="00670FD4">
      <w:pPr>
        <w:spacing w:before="0"/>
        <w:ind w:firstLine="540"/>
        <w:rPr>
          <w:rFonts w:eastAsia="Times New Roman" w:cs="Times New Roman"/>
        </w:rPr>
      </w:pPr>
      <w:r>
        <w:rPr>
          <w:rFonts w:eastAsia="Times New Roman" w:cs="Times New Roman"/>
        </w:rPr>
        <w:t>- principiul participării care se referă la procesele consultative ce implică autorități ale administrației publice centrale și/sau locale, organizații neguvernamentale, parteneri sociali, asociaţii profesionale, reprezentanţi ai sectorului privat;</w:t>
      </w:r>
    </w:p>
    <w:p w14:paraId="3B4B1518" w14:textId="77777777" w:rsidR="00670FD4" w:rsidRDefault="00670FD4" w:rsidP="00670FD4">
      <w:pPr>
        <w:spacing w:before="0"/>
        <w:ind w:firstLine="540"/>
        <w:rPr>
          <w:rFonts w:eastAsia="Times New Roman" w:cs="Times New Roman"/>
        </w:rPr>
      </w:pPr>
      <w:r>
        <w:rPr>
          <w:rFonts w:eastAsia="Times New Roman" w:cs="Times New Roman"/>
        </w:rPr>
        <w:t>- principiul transparenței.</w:t>
      </w:r>
    </w:p>
    <w:p w14:paraId="4A75162E" w14:textId="77777777" w:rsidR="00670FD4" w:rsidRDefault="00670FD4" w:rsidP="00670FD4">
      <w:pPr>
        <w:spacing w:before="0"/>
        <w:ind w:firstLine="540"/>
        <w:rPr>
          <w:rFonts w:eastAsia="Times New Roman" w:cs="Times New Roman"/>
        </w:rPr>
      </w:pPr>
      <w:r>
        <w:rPr>
          <w:rFonts w:eastAsia="Times New Roman" w:cs="Times New Roman"/>
        </w:rPr>
        <w:t>Promovarea unui instrument de tip citizen-science în vederea implicării directe a cetățenilor în acțiuni de monitorizare a stării și proceselor din zona costieră poate contribui la creșterea gradului de conștientizare și implicare a comunității locale în protejarea și gestionarea durabilă a zonei costiere. Aceasta poate genera date și informații relevante pentru luarea deciziilor și pentru îmbunătățirea gestionării zonei costiere, iar cetățenii pot astfel deveni parteneri activi în procesul de monitorizare și protecție a acestui important ecosistem. Există în prezent o disponibilitate a unei părți a publicului larg, mai educate, mai preocupate, către participarea activă în monitorizarea unor factori de mediu, ceea ce poate veni în sprijinul autorităților, acestea beneficiind astfel de date și informații suplimentare fără un efort uman și financiar considerabil.</w:t>
      </w:r>
    </w:p>
    <w:p w14:paraId="08E0C219" w14:textId="77777777" w:rsidR="00670FD4" w:rsidRDefault="00670FD4" w:rsidP="00670FD4">
      <w:pPr>
        <w:spacing w:before="0"/>
        <w:ind w:firstLine="540"/>
        <w:rPr>
          <w:rFonts w:eastAsia="Times New Roman" w:cs="Times New Roman"/>
        </w:rPr>
      </w:pPr>
      <w:r>
        <w:rPr>
          <w:rFonts w:eastAsia="Times New Roman" w:cs="Times New Roman"/>
        </w:rPr>
        <w:t>Instituția responsabilă pentru implementarea acestei măsuri este MMAP, iar fondurile necesare vor fi asigurate în principal din bugetul propriu al MMAP, dar alte posibile surse de finanțare, în special pentru organizarea și participarea la diverse evenimente, pot fi proiectele naționale și cele europene.</w:t>
      </w:r>
    </w:p>
    <w:p w14:paraId="3182F553" w14:textId="77777777" w:rsidR="00670FD4" w:rsidRDefault="00670FD4" w:rsidP="00670FD4">
      <w:pPr>
        <w:spacing w:before="0"/>
        <w:rPr>
          <w:rFonts w:eastAsia="Times New Roman" w:cs="Times New Roman"/>
          <w:b/>
          <w:i/>
        </w:rPr>
      </w:pPr>
      <w:r>
        <w:rPr>
          <w:rFonts w:eastAsia="Times New Roman" w:cs="Times New Roman"/>
          <w:b/>
          <w:i/>
        </w:rPr>
        <w:t>M 1.5 Creșterea eficienței supravegherii și controlului utilizării resurselor zonei costiere</w:t>
      </w:r>
    </w:p>
    <w:p w14:paraId="080A4C7E" w14:textId="77777777" w:rsidR="00670FD4" w:rsidRDefault="00670FD4" w:rsidP="00670FD4">
      <w:pPr>
        <w:spacing w:before="0"/>
        <w:ind w:firstLine="540"/>
        <w:rPr>
          <w:rFonts w:eastAsia="Times New Roman" w:cs="Times New Roman"/>
          <w:color w:val="000000"/>
        </w:rPr>
      </w:pPr>
      <w:r>
        <w:rPr>
          <w:rFonts w:eastAsia="Times New Roman" w:cs="Times New Roman"/>
        </w:rPr>
        <w:t xml:space="preserve">Exploatarea resurselor zonei costiere este relativ bine reglementată, prin diverse acte normative sectoriale, în scopul asigurării sustenabilității. Totuși, sunt destul de des semnalate situații în care reglementările în vigoare nu sunt respectate datorită, pe de o parte sancțiunilor </w:t>
      </w:r>
      <w:r>
        <w:rPr>
          <w:rFonts w:eastAsia="Times New Roman" w:cs="Times New Roman"/>
        </w:rPr>
        <w:lastRenderedPageBreak/>
        <w:t xml:space="preserve">mult prea mici, iar pe de altă parte capacității (umane și tehnice) reduse a organismelor de control și supraveghere, a unei eficiențe scăzute, dar și a lipsei de interes și motivație a personalului de control din organizațiilor responsabile. Prin implementarea acestei măsuri se urmărește creșterea coordonării și cooperării între organizațiile responsabile, precum și o consolidare a capacității umane și a infrastructurii în cadrul acestor organizații. Principala instituție responsabilă pentru implementarea acestei măsuri este MMAP, dar aceasta va fi sprijinită considerabil de către MDLPA, MADR, MAI și ANMR. Finanțarea ve fi asigurată din bugetele proprii ale MMAP, MADR (ANPA), MAI și ANMR. </w:t>
      </w:r>
    </w:p>
    <w:p w14:paraId="0E25415D" w14:textId="77777777" w:rsidR="00670FD4" w:rsidRDefault="00670FD4" w:rsidP="00670FD4">
      <w:pPr>
        <w:pBdr>
          <w:top w:val="nil"/>
          <w:left w:val="nil"/>
          <w:bottom w:val="nil"/>
          <w:right w:val="nil"/>
          <w:between w:val="nil"/>
        </w:pBdr>
        <w:spacing w:before="0"/>
        <w:rPr>
          <w:rFonts w:eastAsia="Times New Roman" w:cs="Times New Roman"/>
          <w:b/>
          <w:i/>
          <w:color w:val="000000"/>
        </w:rPr>
      </w:pPr>
    </w:p>
    <w:p w14:paraId="46493A1E" w14:textId="77777777" w:rsidR="00670FD4" w:rsidRDefault="00670FD4" w:rsidP="00670FD4">
      <w:pPr>
        <w:pBdr>
          <w:top w:val="nil"/>
          <w:left w:val="nil"/>
          <w:bottom w:val="nil"/>
          <w:right w:val="nil"/>
          <w:between w:val="nil"/>
        </w:pBdr>
        <w:spacing w:before="0"/>
        <w:rPr>
          <w:rFonts w:eastAsia="Times New Roman" w:cs="Times New Roman"/>
          <w:b/>
        </w:rPr>
      </w:pPr>
      <w:r>
        <w:rPr>
          <w:rFonts w:eastAsia="Times New Roman" w:cs="Times New Roman"/>
          <w:b/>
        </w:rPr>
        <w:t>M2. Măsuri de protecție și conservare a patrimoniul natural și cultural</w:t>
      </w:r>
    </w:p>
    <w:p w14:paraId="0247669F" w14:textId="77777777" w:rsidR="00670FD4" w:rsidRDefault="00670FD4" w:rsidP="00670FD4">
      <w:pPr>
        <w:spacing w:before="0"/>
        <w:rPr>
          <w:rFonts w:eastAsia="Times New Roman" w:cs="Times New Roman"/>
          <w:b/>
          <w:i/>
        </w:rPr>
      </w:pPr>
      <w:r>
        <w:rPr>
          <w:rFonts w:eastAsia="Times New Roman" w:cs="Times New Roman"/>
          <w:b/>
          <w:i/>
        </w:rPr>
        <w:t>M2.1 Creșterea eficienței acțiunilor de protecție și conservare a patrimoniul cultural</w:t>
      </w:r>
    </w:p>
    <w:p w14:paraId="08388D73" w14:textId="77777777" w:rsidR="00670FD4" w:rsidRDefault="00670FD4" w:rsidP="00670FD4">
      <w:pPr>
        <w:spacing w:before="0"/>
        <w:ind w:firstLine="561"/>
        <w:rPr>
          <w:rFonts w:eastAsia="Times New Roman" w:cs="Times New Roman"/>
        </w:rPr>
      </w:pPr>
      <w:r>
        <w:rPr>
          <w:rFonts w:eastAsia="Times New Roman" w:cs="Times New Roman"/>
          <w:color w:val="000000"/>
        </w:rPr>
        <w:t xml:space="preserve">Această măsură este menită să răspundă nevoii de a impune reglementări mai stricte privind controlul acțiunilor de protecție a patrimoniului cultural, pe de o parte, cât și în ceea ce privește implementarea măsurilor de conservare conform legislației actuale referitoare la patrimoniul cultural, pe de altă parte. La ora actuală, cu excepția zonei costiere nordice care beneficiază de protecție și conservare datorită statutului special al Deltei Dunării de Rezervație aflată în patrimoniul UNESCO (deși constant amenințată de activitățile de turism și braconaj), zona sudică suferă de un proces intens de urbanizare, care afectează atât patrimoniul cultural cât și pe cel natural. Astfel, </w:t>
      </w:r>
      <w:r>
        <w:rPr>
          <w:rFonts w:eastAsia="Times New Roman" w:cs="Times New Roman"/>
        </w:rPr>
        <w:t>această</w:t>
      </w:r>
      <w:r>
        <w:rPr>
          <w:rFonts w:eastAsia="Times New Roman" w:cs="Times New Roman"/>
          <w:color w:val="000000"/>
        </w:rPr>
        <w:t xml:space="preserve"> măsură prevede îmbunătățirea cadrului legislativ (ex. Codul Patrimoniului cultural), cât și a celui instituțional (organizarea acțiunilor de control de către autoritățile competente) și decizional (impunerea regulilor și regulamentelor de luare a măsurilor de conservare și protecție a patrimoniului și monitorizare a implementării acestora). </w:t>
      </w:r>
    </w:p>
    <w:p w14:paraId="7C972448" w14:textId="77777777" w:rsidR="00670FD4" w:rsidRDefault="00670FD4" w:rsidP="00670FD4">
      <w:pPr>
        <w:spacing w:before="0"/>
        <w:ind w:firstLine="561"/>
        <w:rPr>
          <w:rFonts w:eastAsia="Times New Roman" w:cs="Times New Roman"/>
        </w:rPr>
      </w:pPr>
      <w:r>
        <w:rPr>
          <w:rFonts w:eastAsia="Times New Roman" w:cs="Times New Roman"/>
          <w:color w:val="000000"/>
        </w:rPr>
        <w:t>Principalele organisme responsabile de implementarea acestei măsuri sunt: MC (prin INP), Consiliul Județean Constanța (prin</w:t>
      </w:r>
      <w:hyperlink r:id="rId65">
        <w:r>
          <w:rPr>
            <w:rFonts w:eastAsia="Times New Roman" w:cs="Times New Roman"/>
            <w:color w:val="000000"/>
          </w:rPr>
          <w:t xml:space="preserve"> </w:t>
        </w:r>
      </w:hyperlink>
      <w:hyperlink r:id="rId66">
        <w:r>
          <w:rPr>
            <w:rFonts w:eastAsia="Times New Roman" w:cs="Times New Roman"/>
            <w:color w:val="000000"/>
            <w:highlight w:val="white"/>
          </w:rPr>
          <w:t>MINA</w:t>
        </w:r>
      </w:hyperlink>
      <w:hyperlink r:id="rId67">
        <w:r>
          <w:rPr>
            <w:rFonts w:eastAsia="Times New Roman" w:cs="Times New Roman"/>
            <w:highlight w:val="white"/>
          </w:rPr>
          <w:t>C</w:t>
        </w:r>
      </w:hyperlink>
      <w:r>
        <w:rPr>
          <w:rFonts w:eastAsia="Times New Roman" w:cs="Times New Roman"/>
          <w:color w:val="000000"/>
        </w:rPr>
        <w:t xml:space="preserve">), Consiliul Județean Tulcea (prin </w:t>
      </w:r>
      <w:r>
        <w:rPr>
          <w:rFonts w:eastAsia="Times New Roman" w:cs="Times New Roman"/>
          <w:color w:val="000000"/>
          <w:highlight w:val="white"/>
        </w:rPr>
        <w:t>ICEM Gavrilă Simion), MDLPA, MCID</w:t>
      </w:r>
      <w:r>
        <w:rPr>
          <w:rFonts w:eastAsia="Times New Roman" w:cs="Times New Roman"/>
          <w:color w:val="000000"/>
        </w:rPr>
        <w:t xml:space="preserve"> (INCD GeoEcoMar).</w:t>
      </w:r>
    </w:p>
    <w:p w14:paraId="4D57D522" w14:textId="77777777" w:rsidR="00670FD4" w:rsidRDefault="00670FD4" w:rsidP="00670FD4">
      <w:pPr>
        <w:spacing w:before="0"/>
        <w:rPr>
          <w:rFonts w:eastAsia="Times New Roman" w:cs="Times New Roman"/>
          <w:b/>
          <w:i/>
        </w:rPr>
      </w:pPr>
      <w:r>
        <w:rPr>
          <w:rFonts w:eastAsia="Times New Roman" w:cs="Times New Roman"/>
          <w:b/>
          <w:i/>
        </w:rPr>
        <w:t>M.2.2. Alcătuirea cadastrului monumentelor și siturilor arheologice</w:t>
      </w:r>
    </w:p>
    <w:p w14:paraId="3D985524" w14:textId="77777777" w:rsidR="00670FD4" w:rsidRDefault="00670FD4" w:rsidP="00670FD4">
      <w:pPr>
        <w:spacing w:before="0"/>
        <w:ind w:firstLine="567"/>
        <w:rPr>
          <w:rFonts w:eastAsia="Times New Roman" w:cs="Times New Roman"/>
        </w:rPr>
      </w:pPr>
      <w:r>
        <w:rPr>
          <w:rFonts w:eastAsia="Times New Roman" w:cs="Times New Roman"/>
        </w:rPr>
        <w:t>Zona costieră prezintă un potenţial patrimonial cultural cu totul remarcabil, compus din 426 de monumente, foruri publice, memorial funerare şi situri arheologice (inclusiv cel situat pe platforma continentală românească a Mării Negre), datoritǎ prezenței și dezvoltării comunităților și așezărilor umane încă din cele mai vechi timpuri, îmbinării elementelor originare cu influențe culturale rezultate din coabitarea mai multor comunități etnice, diversității stilistice și funcționale. Protecția bunurilor ce compun patrimoniul cultural trebuie impusă prin documentele de amenajare a teritoriului și urbanism, esențială fiind actualizarea PUG-urilor și preluarea informațiilor privitoare la existența și localizarea bunurilor de patrimoniu ca urmare a unor noi descoperiri sau cercetări.</w:t>
      </w:r>
    </w:p>
    <w:p w14:paraId="18070D1D" w14:textId="77777777" w:rsidR="00670FD4" w:rsidRDefault="00670FD4" w:rsidP="00670FD4">
      <w:pPr>
        <w:spacing w:before="0"/>
        <w:ind w:firstLine="567"/>
        <w:rPr>
          <w:rFonts w:eastAsia="Times New Roman" w:cs="Times New Roman"/>
        </w:rPr>
      </w:pPr>
      <w:r>
        <w:rPr>
          <w:rFonts w:eastAsia="Times New Roman" w:cs="Times New Roman"/>
        </w:rPr>
        <w:t xml:space="preserve">Organizațiile responsabile pentru implementarea acestei măsuri sunt MC (prin INP), Consiliul Județean Constanța (prin MINAC), Consiliul Județean Tulcea (prin Institutul de Cercetări Eco-Muzeale ”Gavrilă Simion”), Consiliul local al municipiului Mangalia (prin Muzeul de arheologie Callatis Mangalia), MDLPA și ANCPI. Bugetul necesar punerii în aplicare a măsurii poate proveni din fonduri proprii ale MC și / sau prin accesarea programelor </w:t>
      </w:r>
      <w:r>
        <w:rPr>
          <w:rFonts w:eastAsia="Times New Roman" w:cs="Times New Roman"/>
        </w:rPr>
        <w:lastRenderedPageBreak/>
        <w:t>naționale, precum Programul Național de Cadastru și Carte Funciară, Programul Național de Restaurare a Monumentelor sau/și europene (Programul Regional Sud-Est).</w:t>
      </w:r>
    </w:p>
    <w:p w14:paraId="618ECC81" w14:textId="77777777" w:rsidR="00670FD4" w:rsidRDefault="00670FD4" w:rsidP="00670FD4">
      <w:pPr>
        <w:spacing w:before="0"/>
        <w:rPr>
          <w:rFonts w:eastAsia="Times New Roman" w:cs="Times New Roman"/>
          <w:b/>
          <w:i/>
        </w:rPr>
      </w:pPr>
      <w:r>
        <w:rPr>
          <w:rFonts w:eastAsia="Times New Roman" w:cs="Times New Roman"/>
          <w:b/>
          <w:i/>
        </w:rPr>
        <w:t>M2.3 Inventarierea, cercetarea și punerea în valoare a patrimoniului cultural subacvatic</w:t>
      </w:r>
    </w:p>
    <w:p w14:paraId="3E4848D4" w14:textId="77777777" w:rsidR="00670FD4" w:rsidRDefault="00670FD4" w:rsidP="00670FD4">
      <w:pPr>
        <w:spacing w:before="0"/>
        <w:ind w:firstLine="567"/>
        <w:rPr>
          <w:rFonts w:eastAsia="Times New Roman" w:cs="Times New Roman"/>
        </w:rPr>
      </w:pPr>
      <w:r>
        <w:rPr>
          <w:rFonts w:eastAsia="Times New Roman" w:cs="Times New Roman"/>
        </w:rPr>
        <w:t xml:space="preserve">Convenția UNESCO privind protecția patrimoniului cultural subacvatic, Paris, 2001, adoptată în România prin Legea 99/2007, a stabilit un cadru legal cuprinzător pentru cercetarea, conservarea, protecția și gestionarea patrimoniului cultural subacvatic. Datele privind patrimoniul cultural subacvatic disponibile în prezent în România sunt departe de a fi complete, deoarece nu s-au efectuat anchete sistematice în zona maritimă. De a lungul timpului au fost implementate proiecte de cercetare (HERAS, Underwater routes) prin care s-a început o inventariere a patrimoniului cultural subacvatic și s-a propus o valorificare a acestuia, în special în scopuri turistice </w:t>
      </w:r>
    </w:p>
    <w:p w14:paraId="761ED04B" w14:textId="77777777" w:rsidR="00670FD4" w:rsidRDefault="00670FD4" w:rsidP="00670FD4">
      <w:pPr>
        <w:spacing w:before="0"/>
        <w:ind w:firstLine="567"/>
        <w:rPr>
          <w:rFonts w:eastAsia="Times New Roman" w:cs="Times New Roman"/>
        </w:rPr>
      </w:pPr>
      <w:r>
        <w:rPr>
          <w:rFonts w:eastAsia="Times New Roman" w:cs="Times New Roman"/>
        </w:rPr>
        <w:t>Măsura propusă este în concordanță cu obiectivele și acțiunile Planului de Amenajare a Spațiului Maritim și va fi implementată de către MC (prin INP), MCID (prin INCD GeoEcoMar), autorități locale, precum și MApN (prin Centrul de Scafandri și DHM). Bugetul necesar implementării acestei măsuri va fi asigurat din fonduri proprii ale MC, precum și prin accesarea programelor europene (Horizon Europe, Programul Regional Sud-Est) și naționale (PNCDI IV).</w:t>
      </w:r>
    </w:p>
    <w:p w14:paraId="1729C0F0" w14:textId="77777777" w:rsidR="00670FD4" w:rsidRDefault="00670FD4" w:rsidP="00670FD4">
      <w:pPr>
        <w:spacing w:before="0"/>
        <w:rPr>
          <w:rFonts w:eastAsia="Times New Roman" w:cs="Times New Roman"/>
          <w:b/>
          <w:i/>
        </w:rPr>
      </w:pPr>
      <w:r>
        <w:rPr>
          <w:rFonts w:eastAsia="Times New Roman" w:cs="Times New Roman"/>
          <w:b/>
          <w:i/>
        </w:rPr>
        <w:t>M2.4 Inventarierea și evaluarea peisajului în zona costieră</w:t>
      </w:r>
    </w:p>
    <w:p w14:paraId="37DB7C0C" w14:textId="77777777" w:rsidR="00670FD4" w:rsidRDefault="00670FD4" w:rsidP="00670FD4">
      <w:pPr>
        <w:spacing w:before="0"/>
        <w:ind w:firstLine="567"/>
        <w:rPr>
          <w:rFonts w:eastAsia="Times New Roman" w:cs="Times New Roman"/>
        </w:rPr>
      </w:pPr>
      <w:r>
        <w:rPr>
          <w:rFonts w:eastAsia="Times New Roman" w:cs="Times New Roman"/>
        </w:rPr>
        <w:t>În ultimii ani, politicile UE privind peisajul costier au devenit mai bine definite, impunându-se necesitatea unor stabilirea unor indicatori pentru evaluarea și monitorizarea efectelor politicilor și planurilor în zona costieră. Însă peisajul reprezintă una dintre componentele dificil de măsurat folosind metode cantitative. Pentru a aborda diversele dimensiuni ale peisajului costier (a cărui complexitate este binecunoscută având în vedere interacțiunea usacat-mare), este nevoie să se solicite o implicare multidisciplinară, cu expertiză în ecologia peisajului, istoria peisajului, percepția peisajului, planificarea regională, evaluarea strategică a mediului și procedurile de evaluare a impactului asupra mediului costier și marin.</w:t>
      </w:r>
    </w:p>
    <w:p w14:paraId="7A32AF6C" w14:textId="77777777" w:rsidR="00670FD4" w:rsidRDefault="00670FD4" w:rsidP="00670FD4">
      <w:pPr>
        <w:spacing w:before="0"/>
        <w:ind w:firstLine="567"/>
        <w:rPr>
          <w:rFonts w:eastAsia="Times New Roman" w:cs="Times New Roman"/>
        </w:rPr>
      </w:pPr>
      <w:r>
        <w:rPr>
          <w:rFonts w:eastAsia="Times New Roman" w:cs="Times New Roman"/>
        </w:rPr>
        <w:t>Prin implementarea acestei măsuri se urmărește susținerea proceselor de elaborarea a activităților de planificare spațială a teritoriului, precum și a programelor de conservare / restaurare / reabilitare / valorificare a peisajului costier.</w:t>
      </w:r>
    </w:p>
    <w:p w14:paraId="0580C4FD" w14:textId="77777777" w:rsidR="00670FD4" w:rsidRDefault="00670FD4" w:rsidP="00670FD4">
      <w:pPr>
        <w:spacing w:before="0"/>
        <w:ind w:firstLine="567"/>
        <w:rPr>
          <w:rFonts w:eastAsia="Times New Roman" w:cs="Times New Roman"/>
        </w:rPr>
      </w:pPr>
      <w:r>
        <w:rPr>
          <w:rFonts w:eastAsia="Times New Roman" w:cs="Times New Roman"/>
        </w:rPr>
        <w:t>Principala organizație responsabilă este Ministerul Dezvoltării, Lucrărilor Publice și Administrației, dar contribuții semnificative se așteaptă de la MCID (prin Institutele Naționale de Cercetare-Dezvoltare) și MEC (universități). Bugetul necesar implementării măsurii va fi asigurat din fonduri proprii ale MDLPA și / sau prin accesarea programelor naționale, precum Programul Național de Cadastru și Carte Funciară, PNCDI IV și europene, precum Programul Regional Sud-Est, PNRR, etc.</w:t>
      </w:r>
    </w:p>
    <w:p w14:paraId="3811D00A" w14:textId="77777777" w:rsidR="00670FD4" w:rsidRDefault="00670FD4" w:rsidP="00670FD4">
      <w:pPr>
        <w:spacing w:before="0"/>
        <w:ind w:firstLine="567"/>
        <w:rPr>
          <w:rFonts w:eastAsia="Times New Roman" w:cs="Times New Roman"/>
        </w:rPr>
      </w:pPr>
    </w:p>
    <w:p w14:paraId="1E66D6F8" w14:textId="77777777" w:rsidR="00670FD4" w:rsidRDefault="00670FD4" w:rsidP="00670FD4">
      <w:pPr>
        <w:spacing w:before="0"/>
        <w:rPr>
          <w:rFonts w:eastAsia="Times New Roman" w:cs="Times New Roman"/>
          <w:b/>
        </w:rPr>
      </w:pPr>
      <w:r>
        <w:rPr>
          <w:rFonts w:eastAsia="Times New Roman" w:cs="Times New Roman"/>
          <w:b/>
        </w:rPr>
        <w:t>M.3 Măsuri pentru conservarea și protecția biodiversității și habitatelor zonei costiere</w:t>
      </w:r>
    </w:p>
    <w:p w14:paraId="6A519892" w14:textId="77777777" w:rsidR="00670FD4" w:rsidRDefault="00670FD4" w:rsidP="00670FD4">
      <w:pPr>
        <w:spacing w:before="0"/>
        <w:rPr>
          <w:rFonts w:eastAsia="Times New Roman" w:cs="Times New Roman"/>
          <w:b/>
          <w:i/>
        </w:rPr>
      </w:pPr>
      <w:r>
        <w:rPr>
          <w:rFonts w:eastAsia="Times New Roman" w:cs="Times New Roman"/>
          <w:b/>
          <w:i/>
        </w:rPr>
        <w:t xml:space="preserve">M3.1 Creșterea gradului de protecție și conservare a habitatelor zonei costiere </w:t>
      </w:r>
    </w:p>
    <w:p w14:paraId="575706E2" w14:textId="77777777" w:rsidR="00670FD4" w:rsidRDefault="00670FD4" w:rsidP="00670FD4">
      <w:pPr>
        <w:spacing w:before="0"/>
        <w:ind w:firstLine="567"/>
        <w:rPr>
          <w:rFonts w:eastAsia="Times New Roman" w:cs="Times New Roman"/>
        </w:rPr>
      </w:pPr>
      <w:r>
        <w:rPr>
          <w:rFonts w:eastAsia="Times New Roman" w:cs="Times New Roman"/>
        </w:rPr>
        <w:lastRenderedPageBreak/>
        <w:t xml:space="preserve">Prin această măsură se urmărește atingerea stării ecologice bune pentru habitatele aflate în regim de protecție. În acest scop, este necesară monitorizarea atentă, investigarea cauzelor și aplicarea acțiunilor de prevenire a deteriorării stării acestora, prin reducerea presiunilor cu impact negativ (ex., habitatele costiere afectate de lucrările de înnisipare, lagunele și lacurile urbane/periurbane - ex. ROSPA0057 Siutghiol). </w:t>
      </w:r>
    </w:p>
    <w:p w14:paraId="40AFF0E1" w14:textId="77777777" w:rsidR="00670FD4" w:rsidRDefault="00670FD4" w:rsidP="00670FD4">
      <w:pPr>
        <w:spacing w:before="0"/>
        <w:ind w:firstLine="567"/>
        <w:rPr>
          <w:rFonts w:eastAsia="Times New Roman" w:cs="Times New Roman"/>
        </w:rPr>
      </w:pPr>
      <w:r>
        <w:rPr>
          <w:rFonts w:eastAsia="Times New Roman" w:cs="Times New Roman"/>
        </w:rPr>
        <w:t>Această măsură vine în sprijinul implementării Strategiei Naționale și Planului de Acțiune pentru conservarea biodiversității 2014-2020 (SNPACB 2014-2020) (în curs de actualizare), Strategiei Naționale pentru Dezvoltarea Durabilă a României 2030 (SNDDR), dar este în concordanță și cu țintele Politicilor Europene (Convenția pentru Diversitatea Biologică, Directiva Cadru privind Strategia pentru mediul Marin, Directiva Habitate, Directiva Păsări, etc.).</w:t>
      </w:r>
    </w:p>
    <w:p w14:paraId="38B8CD58" w14:textId="77777777" w:rsidR="00670FD4" w:rsidRDefault="00670FD4" w:rsidP="00670FD4">
      <w:pPr>
        <w:spacing w:before="0"/>
        <w:ind w:firstLine="567"/>
        <w:rPr>
          <w:rFonts w:eastAsia="Times New Roman" w:cs="Times New Roman"/>
        </w:rPr>
      </w:pPr>
      <w:r>
        <w:rPr>
          <w:rFonts w:eastAsia="Times New Roman" w:cs="Times New Roman"/>
        </w:rPr>
        <w:t xml:space="preserve"> Instituțiile responsabile de implementarea acestei măsuri sunt MMAP (prin ANANP și ARBDD), MCID (INCD GeoEcoMar, INCDM Grigore Antipa, INCDDD) și ME (Universitatea Ovidius Constanța, Universitatea din București, Universitatea Alexandru Ioan Cuza din Iași).</w:t>
      </w:r>
      <w:r>
        <w:t xml:space="preserve"> </w:t>
      </w:r>
      <w:r>
        <w:rPr>
          <w:rFonts w:eastAsia="Times New Roman" w:cs="Times New Roman"/>
        </w:rPr>
        <w:t xml:space="preserve">Finanțarea implementării acestei măsuri poate fi asigurată atât din bugetul propriu al MMAP, dar și prin accesarea programelor europene, precum Programul de Dezvoltare Durabilă, LIFE, PNRR și Horizon Europe și programelor naționale, precum Planul Național de Cercetare Dezvoltare și Inovare 2022-2027 (PNCDI IV). </w:t>
      </w:r>
    </w:p>
    <w:p w14:paraId="24AA6823" w14:textId="77777777" w:rsidR="00670FD4" w:rsidRDefault="00670FD4" w:rsidP="00670FD4">
      <w:pPr>
        <w:spacing w:before="0"/>
        <w:rPr>
          <w:rFonts w:eastAsia="Times New Roman" w:cs="Times New Roman"/>
          <w:b/>
          <w:i/>
        </w:rPr>
      </w:pPr>
      <w:r>
        <w:rPr>
          <w:rFonts w:eastAsia="Times New Roman" w:cs="Times New Roman"/>
          <w:b/>
          <w:i/>
        </w:rPr>
        <w:t>M3.2 Elaborarea sau actualizarea, după caz, a Planurilor de Management pentru ariile naturale protejate din zona costieră</w:t>
      </w:r>
    </w:p>
    <w:p w14:paraId="3869BEE9" w14:textId="77777777" w:rsidR="00670FD4" w:rsidRDefault="00670FD4" w:rsidP="00670FD4">
      <w:pPr>
        <w:spacing w:before="0"/>
        <w:ind w:firstLine="567"/>
        <w:rPr>
          <w:rFonts w:eastAsia="Times New Roman" w:cs="Times New Roman"/>
        </w:rPr>
      </w:pPr>
      <w:bookmarkStart w:id="143" w:name="_heading=h.25b2l0r" w:colFirst="0" w:colLast="0"/>
      <w:bookmarkEnd w:id="143"/>
      <w:r>
        <w:rPr>
          <w:rFonts w:eastAsia="Times New Roman" w:cs="Times New Roman"/>
        </w:rPr>
        <w:t>Conservarea biodiversității reprezintă obiectivul major al implementării la nivel european a rețelei Natura 2000. Datorită importanței economice a Zonei Costiere, existenței ariilor protejate terestre și marine și a poziției geografice sunt necesare, în continuarea de măsuri de management adecvate dezvoltării durabile. Existența ariilor protejate în zona costieră trebuie conștientizată ca atare, iar planificarea activităților de orice natură în zonele protejate sau în vecinătatea acestora trebuie să aibă în vedere în mod expres principiul conservării biodiversității.</w:t>
      </w:r>
    </w:p>
    <w:p w14:paraId="4BCDD353" w14:textId="77777777" w:rsidR="00670FD4" w:rsidRDefault="00670FD4" w:rsidP="00670FD4">
      <w:pPr>
        <w:spacing w:before="0"/>
        <w:ind w:firstLine="567"/>
        <w:rPr>
          <w:rFonts w:eastAsia="Times New Roman" w:cs="Times New Roman"/>
        </w:rPr>
      </w:pPr>
      <w:r>
        <w:rPr>
          <w:rFonts w:eastAsia="Times New Roman" w:cs="Times New Roman"/>
        </w:rPr>
        <w:t>Numărul redus de evaluări ale speciilor și habitatelor cu "statutul de conservare favorabil" indică faptul că managementul actual al ariilor marine protejate nu este eficace. Până în prezent, nu există o imagine de ansamblu coerentă privind managementul eficient al Rețelei Natura 2000. Prin urmare, prin această măsură se urmărește actualizarea informațiilor privind ariile naturale protejate din zona costieră, evaluarea eficienței Rețelei Natura 2000 și anume dacă aceasta contribuie la atingerea "stării favorabile de conservare" pentru specii și habitate, dar și la "starea ecologică bună" a ecosistemului Mării Negre în general.</w:t>
      </w:r>
    </w:p>
    <w:p w14:paraId="3230F976" w14:textId="77777777" w:rsidR="00670FD4" w:rsidRDefault="00670FD4" w:rsidP="00670FD4">
      <w:pPr>
        <w:spacing w:before="0"/>
        <w:ind w:firstLine="567"/>
        <w:rPr>
          <w:rFonts w:eastAsia="Times New Roman" w:cs="Times New Roman"/>
        </w:rPr>
      </w:pPr>
      <w:r>
        <w:rPr>
          <w:rFonts w:eastAsia="Times New Roman" w:cs="Times New Roman"/>
        </w:rPr>
        <w:t xml:space="preserve">Instituțiile responsabile de implementarea acestei măsuri sunt MMAP (prin ANANP și ARBDD), MCID (INCD GeoEcoMar, INCDM Grigore Antipa, INCDDD) și ME (Universitatea Ovidius Constanța, Universitatea din București, Universitatea Alexandru Ioan Cuza din Iași). Finanțarea implementării acestei măsuri poate fi asigurată atât din bugetul propriu al MMAP, dar și prin accesarea programelor europene, precum Programul de Dezvoltare Durabilă, LIFE, PNRR și Horizon Europe și programelor naționale, precum Planul Național de Cercetare Dezvoltare și Inovare 2022-2027 (PNCDI IV). </w:t>
      </w:r>
    </w:p>
    <w:p w14:paraId="1BDEE356" w14:textId="77777777" w:rsidR="00670FD4" w:rsidRDefault="00670FD4" w:rsidP="00670FD4">
      <w:pPr>
        <w:spacing w:before="0"/>
        <w:rPr>
          <w:rFonts w:eastAsia="Times New Roman" w:cs="Times New Roman"/>
          <w:b/>
          <w:i/>
        </w:rPr>
      </w:pPr>
      <w:r>
        <w:rPr>
          <w:rFonts w:eastAsia="Times New Roman" w:cs="Times New Roman"/>
          <w:b/>
          <w:i/>
        </w:rPr>
        <w:lastRenderedPageBreak/>
        <w:t>M3.3</w:t>
      </w:r>
      <w:r>
        <w:rPr>
          <w:b/>
          <w:i/>
        </w:rPr>
        <w:t xml:space="preserve"> </w:t>
      </w:r>
      <w:r>
        <w:rPr>
          <w:rFonts w:eastAsia="Times New Roman" w:cs="Times New Roman"/>
          <w:b/>
          <w:i/>
        </w:rPr>
        <w:t>Restabilirea/refacerea și utilizarea sustenabilă a ecosistemelor costiere utilizând soluțiile bazate pe natură</w:t>
      </w:r>
    </w:p>
    <w:p w14:paraId="50C407F3" w14:textId="77777777" w:rsidR="00670FD4" w:rsidRDefault="00670FD4" w:rsidP="00670FD4">
      <w:pPr>
        <w:spacing w:before="0"/>
        <w:ind w:firstLine="567"/>
        <w:rPr>
          <w:rFonts w:eastAsia="Times New Roman" w:cs="Times New Roman"/>
        </w:rPr>
      </w:pPr>
      <w:r>
        <w:rPr>
          <w:rFonts w:eastAsia="Times New Roman" w:cs="Times New Roman"/>
        </w:rPr>
        <w:t xml:space="preserve">Restabilirea/refacerea ecosistemelor naturale reprezintă unul dintre instrumentele de bază care ar putea stimula păstrarea integrității ariilor protejate sub toate aspectele și atingerea țintelor AICHI de conservare a biodiversității. Această măsură promovează principiul conservării biodiversității, și prin implementarea ei se urmărește îmbunătățirea captării și stocării carbonului și accelerarea rezilienței ecosistemelor naturale. În prezent, lipsește un program care să combine conservarea și refacerea/restaurarea într-un cadru unificat, cu implicarea cetățenilor și a mediului economic, iar prin implementarea acestei măsuri se urmărește elaborarea acestui program. </w:t>
      </w:r>
    </w:p>
    <w:p w14:paraId="0B71C77A" w14:textId="77777777" w:rsidR="00670FD4" w:rsidRDefault="00670FD4" w:rsidP="00670FD4">
      <w:pPr>
        <w:spacing w:before="0"/>
        <w:ind w:firstLine="567"/>
        <w:rPr>
          <w:rFonts w:eastAsia="Times New Roman" w:cs="Times New Roman"/>
        </w:rPr>
      </w:pPr>
      <w:r>
        <w:rPr>
          <w:rFonts w:eastAsia="Times New Roman" w:cs="Times New Roman"/>
        </w:rPr>
        <w:t>Responsabilitatea implementării acestei măsuri îi revine MMAP (prin ANAP, ARBDD), dar o contribuție majoră o vor avea atât MADR (prin ANPA), cât și Institutele Naționale de Cercetare-Dezvoltare (INCD GeoEcoMar, INCDM Grigore Antipa, INCDDD) din zona costieră și Universitatea Ovidius Constanța. Bugetul implementării acestei măsuri va fi asigurat fie din fonduri proprii MMAP, fie prin accesarea programelor europene, precum Programul de Dezvoltare Durabilă, LIFE, PNRR și Horizon Europe, Invest EU și a programelor naționale, precum Planul Național de Cercetare Dezvoltare și Inovare 2022-2027 (PNCDI IV).</w:t>
      </w:r>
    </w:p>
    <w:p w14:paraId="26FE50C3" w14:textId="77777777" w:rsidR="00670FD4" w:rsidRDefault="00670FD4" w:rsidP="00670FD4">
      <w:pPr>
        <w:spacing w:before="0"/>
        <w:rPr>
          <w:rFonts w:eastAsia="Times New Roman" w:cs="Times New Roman"/>
          <w:b/>
          <w:i/>
        </w:rPr>
      </w:pPr>
      <w:r>
        <w:rPr>
          <w:rFonts w:eastAsia="Times New Roman" w:cs="Times New Roman"/>
          <w:b/>
          <w:i/>
        </w:rPr>
        <w:t>M3.4 Evaluarea funcțiilor și serviciilor ecosistemice prin instrumente monetare și non-monetare</w:t>
      </w:r>
    </w:p>
    <w:p w14:paraId="056D2096" w14:textId="77777777" w:rsidR="00670FD4" w:rsidRDefault="00670FD4" w:rsidP="00670FD4">
      <w:pPr>
        <w:spacing w:before="0"/>
        <w:ind w:firstLine="567"/>
        <w:rPr>
          <w:rFonts w:eastAsia="Times New Roman" w:cs="Times New Roman"/>
        </w:rPr>
      </w:pPr>
      <w:r>
        <w:rPr>
          <w:rFonts w:eastAsia="Times New Roman" w:cs="Times New Roman"/>
        </w:rPr>
        <w:t xml:space="preserve">Deoarece multe dintre bunurile și serviciile ecosistemice au fost dintotdeauna la dispoziția tuturor și, de regulă, puțin prețuite pe piață, valoarea lor reală nu a fost inclusă în estimările economice. Pe lângă valoarea resurselor naturale exploatate comercial, există o valoare intrinsecă a fiecărui serviciu ecosistemic, care se referă la funcţiile prin care ecosistemele contribuie la reglarea proceselor şi fenomenelor care susţin viaţa (epurarea apelor, fixarea nutrienților şi a carbonului, fotosinteza), la funcţiile de suport, precum producţia de biomasă, de elemente esenţiale vieţii (i.e., oxigen), formarea solurilor etc, precum și la oportunităţile culturale şi estetice pe care le oferă (peisaje, experienţe spirituale etc). </w:t>
      </w:r>
    </w:p>
    <w:p w14:paraId="4687C281" w14:textId="77777777" w:rsidR="00670FD4" w:rsidRDefault="00670FD4" w:rsidP="00670FD4">
      <w:pPr>
        <w:spacing w:before="0"/>
        <w:ind w:firstLine="567"/>
        <w:rPr>
          <w:rFonts w:eastAsia="Times New Roman" w:cs="Times New Roman"/>
        </w:rPr>
      </w:pPr>
      <w:r>
        <w:rPr>
          <w:rFonts w:eastAsia="Times New Roman" w:cs="Times New Roman"/>
        </w:rPr>
        <w:t>Neatribuirea de valori, sau subevaluarea serviciilor ecosistemice atrage o slăbire a responsabilității în procesul valorificării serviciilor ecosistemice, deoarece ponderea acestora în totalul eforturilor utilizatorului va fi subdimensionata (atunci cand un element de cheltuială are o pondere mică în totalul cheltuielii nu declanșează interesul pentru raționalizarea consumului acestuia). De aceea, evaluarea serviciilor ecosistemice în expresie fizică trebuie dublată de expresia monetară a acestora, ca posibilitate de depășire a problemei heterogenității sistemelor implicate.</w:t>
      </w:r>
    </w:p>
    <w:p w14:paraId="613DA88D" w14:textId="77777777" w:rsidR="00670FD4" w:rsidRDefault="00670FD4" w:rsidP="00670FD4">
      <w:pPr>
        <w:spacing w:before="0"/>
        <w:ind w:firstLine="567"/>
        <w:rPr>
          <w:rFonts w:eastAsia="Times New Roman" w:cs="Times New Roman"/>
        </w:rPr>
      </w:pPr>
      <w:bookmarkStart w:id="144" w:name="_heading=h.kgcv8k" w:colFirst="0" w:colLast="0"/>
      <w:bookmarkEnd w:id="144"/>
      <w:r>
        <w:rPr>
          <w:rFonts w:eastAsia="Times New Roman" w:cs="Times New Roman"/>
        </w:rPr>
        <w:t xml:space="preserve">Valorizarea monetară și non-monetară a serviciilor ecosistemice contribuie la o utilizare îmbunătățită a resurselor naturale, în special prin creșterea gradului de informare și cunoaștere a factorilor de decizie asupra costului total al exploatării sistemelor ecologice și asupra beneficiilor potențiale pe care sistemele ecologice naturale le furnizează. Prin urmare, prin implementarea acestei activități se urmărește stabilirea mecanismelor monetare și non-monetare a serviciilor ecosistemice și integrarea costurilor de conservare și refacere a capitalului natural în realizarea politicilor și strategiilor sectoriale. Această abordare va </w:t>
      </w:r>
      <w:r>
        <w:rPr>
          <w:rFonts w:eastAsia="Times New Roman" w:cs="Times New Roman"/>
        </w:rPr>
        <w:lastRenderedPageBreak/>
        <w:t xml:space="preserve">conduce la o responsabilitate mai mare faţă de natură, precum și față de bunăstarea generațiilor viitoare. </w:t>
      </w:r>
    </w:p>
    <w:p w14:paraId="15781353" w14:textId="77777777" w:rsidR="00670FD4" w:rsidRDefault="00670FD4" w:rsidP="00670FD4">
      <w:pPr>
        <w:spacing w:before="0"/>
        <w:ind w:firstLine="567"/>
        <w:rPr>
          <w:rFonts w:eastAsia="Times New Roman" w:cs="Times New Roman"/>
        </w:rPr>
      </w:pPr>
      <w:r>
        <w:rPr>
          <w:rFonts w:eastAsia="Times New Roman" w:cs="Times New Roman"/>
        </w:rPr>
        <w:t>Responsabilitatea implementării acestei măsuri îi revine MMAP, dar o contribuție majoră o vor avea atât MCID (prin Institutele Naționale de Cercetare-Dezvoltare), cât și ME (departamentele de cercetare din universități). Bugetul necesar implementării măsurii va fi asigurat fie din fonduri proprii ale MMAP, fie accesând diferite programe europene, precum Horizon Europe, LIFE, InvestEU și / sau naționale, precum Planul Național de Cercetare Dezvoltare și Inovare 2022-2027 (PNCDI IV).</w:t>
      </w:r>
    </w:p>
    <w:p w14:paraId="3A8A126C" w14:textId="77777777" w:rsidR="00670FD4" w:rsidRDefault="00670FD4" w:rsidP="00670FD4">
      <w:pPr>
        <w:spacing w:before="0"/>
        <w:rPr>
          <w:rFonts w:eastAsia="Times New Roman" w:cs="Times New Roman"/>
          <w:b/>
          <w:i/>
        </w:rPr>
      </w:pPr>
      <w:r>
        <w:rPr>
          <w:rFonts w:eastAsia="Times New Roman" w:cs="Times New Roman"/>
          <w:b/>
          <w:i/>
        </w:rPr>
        <w:t xml:space="preserve">M3.5. Consolidarea / Întărirea managementului speciilor invazive </w:t>
      </w:r>
    </w:p>
    <w:p w14:paraId="5DF186B5" w14:textId="77777777" w:rsidR="00670FD4" w:rsidRDefault="00670FD4" w:rsidP="00670FD4">
      <w:pPr>
        <w:spacing w:before="0"/>
        <w:ind w:firstLine="567"/>
        <w:rPr>
          <w:rFonts w:eastAsia="Times New Roman" w:cs="Times New Roman"/>
        </w:rPr>
      </w:pPr>
      <w:r>
        <w:rPr>
          <w:rFonts w:eastAsia="Times New Roman" w:cs="Times New Roman"/>
        </w:rPr>
        <w:t xml:space="preserve">Speciile invazive alohtone reprezintă în perioada actuală unul din principalele motive ale alterării profunde ale habitatelor naturale, fie că este vorba de mediul terestru sau acvatic (dulcicol și marin). Marea Neagră, cu particularitățile sale unice, este deosebit de sensibilă la impactul unora din speciile alohtone invazive, care au produs modificarea radicală în special a habitatelor marine afectând inclusiv domeniul socio-economic. Aceasta acțiune ar trebui să vizeze reducerea la minimum și, dacă este posibil, eliminarea introducerii și stabilirii speciilor invazive terestre, dulcicole </w:t>
      </w:r>
      <w:sdt>
        <w:sdtPr>
          <w:tag w:val="goog_rdk_52"/>
          <w:id w:val="-889185467"/>
        </w:sdtPr>
        <w:sdtContent>
          <w:r>
            <w:rPr>
              <w:rFonts w:eastAsia="Times New Roman" w:cs="Times New Roman"/>
            </w:rPr>
            <w:t>sau</w:t>
          </w:r>
        </w:sdtContent>
      </w:sdt>
      <w:r>
        <w:rPr>
          <w:rFonts w:eastAsia="Times New Roman" w:cs="Times New Roman"/>
        </w:rPr>
        <w:t xml:space="preserve"> marine, și refacerea/restaurarea ecosistemelor naturale. </w:t>
      </w:r>
    </w:p>
    <w:p w14:paraId="15C9C6EA" w14:textId="77777777" w:rsidR="00670FD4" w:rsidRDefault="00670FD4" w:rsidP="00670FD4">
      <w:pPr>
        <w:spacing w:before="0"/>
        <w:ind w:firstLine="567"/>
        <w:rPr>
          <w:rFonts w:eastAsia="Times New Roman" w:cs="Times New Roman"/>
        </w:rPr>
      </w:pPr>
      <w:r>
        <w:rPr>
          <w:rFonts w:eastAsia="Times New Roman" w:cs="Times New Roman"/>
        </w:rPr>
        <w:t xml:space="preserve">Prin această măsură se urmărește controlul speciilor invazive prin programe de monitorizare a vectorilor și a posibilelor căi de pătrundere, precum și prin măsuri de prevenire a răspândirii acestora (detectare rapidă, inclusiv prin metode mADN). De asemenea, se urmărește reducerea la minimum și, dacă este posibil, eliminarea introducerii și stabilirii speciilor invazive terestre, dulcicole </w:t>
      </w:r>
      <w:sdt>
        <w:sdtPr>
          <w:tag w:val="goog_rdk_53"/>
          <w:id w:val="1751854168"/>
        </w:sdtPr>
        <w:sdtContent>
          <w:r>
            <w:rPr>
              <w:rFonts w:eastAsia="Times New Roman" w:cs="Times New Roman"/>
            </w:rPr>
            <w:t>sau</w:t>
          </w:r>
        </w:sdtContent>
      </w:sdt>
      <w:r>
        <w:rPr>
          <w:rFonts w:eastAsia="Times New Roman" w:cs="Times New Roman"/>
        </w:rPr>
        <w:t xml:space="preserve"> marine, și refacerea/restaurarea ecosistemelor naturale. </w:t>
      </w:r>
    </w:p>
    <w:p w14:paraId="78E0CDD4" w14:textId="77777777" w:rsidR="00670FD4" w:rsidRDefault="00670FD4" w:rsidP="00670FD4">
      <w:pPr>
        <w:spacing w:before="0"/>
        <w:ind w:firstLine="567"/>
        <w:rPr>
          <w:rFonts w:eastAsia="Times New Roman" w:cs="Times New Roman"/>
        </w:rPr>
      </w:pPr>
      <w:r>
        <w:rPr>
          <w:rFonts w:eastAsia="Times New Roman" w:cs="Times New Roman"/>
        </w:rPr>
        <w:t>Responsabilitatea implementării acestei măsuri îi revine MMAP, dar o contribuție majoră o vor avea atât MCID (prin INCD GeoEcoMar, INCDM Grigore Antipa Constanța și INCDDD), cât și ME (prin UOC și UAIC). Bugetul necesar implementării măsurii va fi asigurat fie din fonduri proprii ale MMAP, fie accesând diferite programe europene, precum Horizon Europe, LIFE, PNRR și / sau naționale, precum Planul Național de Cercetare Dezvoltare și Inovare 2022-2027 (PNCDI IV).</w:t>
      </w:r>
    </w:p>
    <w:p w14:paraId="63454183" w14:textId="77777777" w:rsidR="00670FD4" w:rsidRDefault="00670FD4" w:rsidP="00670FD4">
      <w:pPr>
        <w:spacing w:before="0"/>
        <w:ind w:firstLine="567"/>
        <w:rPr>
          <w:rFonts w:eastAsia="Times New Roman" w:cs="Times New Roman"/>
        </w:rPr>
      </w:pPr>
    </w:p>
    <w:p w14:paraId="72EF3666" w14:textId="77777777" w:rsidR="00670FD4" w:rsidRDefault="00670FD4" w:rsidP="00670FD4">
      <w:pPr>
        <w:spacing w:before="0"/>
        <w:rPr>
          <w:rFonts w:eastAsia="Times New Roman" w:cs="Times New Roman"/>
          <w:b/>
        </w:rPr>
      </w:pPr>
      <w:r>
        <w:rPr>
          <w:rFonts w:eastAsia="Times New Roman" w:cs="Times New Roman"/>
          <w:b/>
        </w:rPr>
        <w:t>M.4 Măsuri pentru prevenirea și limitarea / stoparea poluării</w:t>
      </w:r>
    </w:p>
    <w:p w14:paraId="5E06D1E7" w14:textId="77777777" w:rsidR="00670FD4" w:rsidRDefault="00670FD4" w:rsidP="00670FD4">
      <w:pPr>
        <w:spacing w:before="0"/>
        <w:rPr>
          <w:rFonts w:eastAsia="Times New Roman" w:cs="Times New Roman"/>
          <w:b/>
          <w:i/>
        </w:rPr>
      </w:pPr>
      <w:r>
        <w:rPr>
          <w:rFonts w:eastAsia="Times New Roman" w:cs="Times New Roman"/>
          <w:b/>
          <w:i/>
        </w:rPr>
        <w:t>M4.1 Creșterea capacității de monitorizare a calității aerului, precum și a depunerilor atmosferice</w:t>
      </w:r>
    </w:p>
    <w:p w14:paraId="46AF65A8" w14:textId="77777777" w:rsidR="00670FD4" w:rsidRDefault="00670FD4" w:rsidP="00670FD4">
      <w:pPr>
        <w:spacing w:before="0"/>
        <w:ind w:firstLine="540"/>
        <w:rPr>
          <w:rFonts w:eastAsia="Times New Roman" w:cs="Times New Roman"/>
        </w:rPr>
      </w:pPr>
      <w:r>
        <w:rPr>
          <w:rFonts w:eastAsia="Times New Roman" w:cs="Times New Roman"/>
        </w:rPr>
        <w:t xml:space="preserve">În România, domeniul calitatea aerului este reglementat prin Legea nr.104/15.06.2011 privind calitatea aerului înconjurător publicată în Monitorul Oficial al României, Partea I, nr.452 din 28 iunie 2011. </w:t>
      </w:r>
      <w:r>
        <w:rPr>
          <w:rFonts w:eastAsia="Times New Roman" w:cs="Times New Roman"/>
          <w:color w:val="131313"/>
          <w:highlight w:val="white"/>
        </w:rPr>
        <w:t>Calitatea aerului este determinată de emisiile în aer provenite de la sursele staţionare şi sursele mobile, cu preponderenţă în marile oraşe, precum şi de transportul pe distanţe lungi a poluanţilor atmosferici.</w:t>
      </w:r>
      <w:r>
        <w:rPr>
          <w:rFonts w:eastAsia="Times New Roman" w:cs="Times New Roman"/>
        </w:rPr>
        <w:t xml:space="preserve"> Dacă în partea sudică a zonei costiere infrastructura de monitorizare este relativ bine dezvoltată, în partea nordică a zonei costiere aceasta nu există. </w:t>
      </w:r>
    </w:p>
    <w:p w14:paraId="51DBB699" w14:textId="77777777" w:rsidR="00670FD4" w:rsidRDefault="00670FD4" w:rsidP="00670FD4">
      <w:pPr>
        <w:spacing w:before="0"/>
        <w:ind w:firstLine="540"/>
        <w:rPr>
          <w:rFonts w:eastAsia="Times New Roman" w:cs="Times New Roman"/>
        </w:rPr>
      </w:pPr>
      <w:r>
        <w:rPr>
          <w:rFonts w:eastAsia="Times New Roman" w:cs="Times New Roman"/>
        </w:rPr>
        <w:t xml:space="preserve">Prin implementarea acestei măsuri se urmărește atât extinderea rețelei de monitorizare a calității aerului, cu precădere în zona nordică a zonei costiere. De asemenea, implementarea </w:t>
      </w:r>
      <w:r>
        <w:rPr>
          <w:rFonts w:eastAsia="Times New Roman" w:cs="Times New Roman"/>
        </w:rPr>
        <w:lastRenderedPageBreak/>
        <w:t>acestei măsuri va contribui la dezvoltarea unui program de monitorizare a depunerilor atmosferice în mare, în apele de suprafață, pe soluri, care în prezent este slab dezvoltată, deși introducerea de poluanți în mediu, pe această cale, este estimată a fi semnificativă (în special pentru mediul marin).</w:t>
      </w:r>
    </w:p>
    <w:p w14:paraId="74F8D9E1" w14:textId="77777777" w:rsidR="00670FD4" w:rsidRDefault="00670FD4" w:rsidP="00670FD4">
      <w:pPr>
        <w:spacing w:before="0"/>
        <w:ind w:firstLine="540"/>
        <w:rPr>
          <w:rFonts w:eastAsia="Times New Roman" w:cs="Times New Roman"/>
        </w:rPr>
      </w:pPr>
      <w:r>
        <w:rPr>
          <w:rFonts w:eastAsia="Times New Roman" w:cs="Times New Roman"/>
        </w:rPr>
        <w:t>Instituția responsabilă pentru implementarea acestei măsuri este MMAP, dar o contribuție semnificativă, în special în ceea ce privește monitorizarea depunerilor atmosferice o pot avea și institutele de cercetare-dezvoltare din subordinea MCID (INCD GeoEcoMar, INCDM Grigore Antipa, INCDD). Finanțarea implementării acestei măsuri poate fi asigurată atât din bugetul propriu al MMAP, dar și prin accesarea programelor europene, precum Programul Regional Sud-Est, Programul de Dezvoltare Durabilă</w:t>
      </w:r>
      <w:r>
        <w:rPr>
          <w:rFonts w:eastAsia="Times New Roman" w:cs="Times New Roman"/>
          <w:i/>
        </w:rPr>
        <w:t xml:space="preserve">, </w:t>
      </w:r>
      <w:r>
        <w:rPr>
          <w:rFonts w:eastAsia="Times New Roman" w:cs="Times New Roman"/>
        </w:rPr>
        <w:t>PNRR și Horizon Europe și programelor naționale, precum Planul Național de Cercetare Dezvoltare și Inovare 2022-2027 (PNCDI IV).</w:t>
      </w:r>
    </w:p>
    <w:p w14:paraId="09CB85D3" w14:textId="77777777" w:rsidR="00670FD4" w:rsidRDefault="00670FD4" w:rsidP="00670FD4">
      <w:pPr>
        <w:spacing w:before="0"/>
        <w:rPr>
          <w:rFonts w:eastAsia="Times New Roman" w:cs="Times New Roman"/>
          <w:b/>
          <w:i/>
        </w:rPr>
      </w:pPr>
      <w:r>
        <w:rPr>
          <w:rFonts w:eastAsia="Times New Roman" w:cs="Times New Roman"/>
          <w:b/>
          <w:i/>
        </w:rPr>
        <w:t>M4.2</w:t>
      </w:r>
      <w:r>
        <w:rPr>
          <w:rFonts w:eastAsia="Times New Roman" w:cs="Times New Roman"/>
        </w:rPr>
        <w:t xml:space="preserve"> </w:t>
      </w:r>
      <w:r>
        <w:rPr>
          <w:rFonts w:eastAsia="Times New Roman" w:cs="Times New Roman"/>
          <w:b/>
          <w:i/>
        </w:rPr>
        <w:t>Extinderea și modernizarea infrastructurii de canalizare și epurare în partea nordică a zonei costiere, aferentă Deltei Dunării</w:t>
      </w:r>
    </w:p>
    <w:p w14:paraId="5FD9B782" w14:textId="77777777" w:rsidR="00670FD4" w:rsidRDefault="00670FD4" w:rsidP="00670FD4">
      <w:pPr>
        <w:spacing w:before="0"/>
        <w:ind w:firstLine="540"/>
        <w:rPr>
          <w:rFonts w:eastAsia="Times New Roman" w:cs="Times New Roman"/>
        </w:rPr>
      </w:pPr>
      <w:r>
        <w:rPr>
          <w:rFonts w:eastAsia="Times New Roman" w:cs="Times New Roman"/>
        </w:rPr>
        <w:t xml:space="preserve">În partea nordică a zonei costiere, localităţile din RBDD nu au sisteme de canalizare centralizate care să colecteze apele uzate la nivelul întregii localităţi, iar staţiile de epurare existente (Sulina, Murighiol, Sfântu Gheorghe și Jurilovca) realizează epurarea mecanică și biologică a apelor menajere la un nivel și eficiență insuficiente. Astfel apare evidentă necesitatea stringentă a implementării acestei acțiuni, care este în deplină concordanță cu obiectivele și acțiunile prevăzute în mai multe strategii și planuri / programe (naționale și locale), precum: </w:t>
      </w:r>
      <w:r>
        <w:rPr>
          <w:rFonts w:eastAsia="Times New Roman" w:cs="Times New Roman"/>
          <w:color w:val="111111"/>
          <w:shd w:val="clear" w:color="auto" w:fill="FCFCFC"/>
        </w:rPr>
        <w:t xml:space="preserve">Strategia integrată de dezvoltare durabilă a Deltei Dunării 2016-2030; </w:t>
      </w:r>
      <w:r>
        <w:rPr>
          <w:rFonts w:eastAsia="Times New Roman" w:cs="Times New Roman"/>
        </w:rPr>
        <w:t>Strategia de dezvoltare teritorială a României 2035 (SDTR); Strategia Națională pentru Dezvoltarea Durabilă a României 2030 (SNDDR); Planul național de management actualizat (2021) aferent porțiunii naționale a bazinului hidrografic internațional al fluviului Dunărea, Planul de management actualizat al fluviului Dunărea, Deltei Dunării, spațiului hidrografic Dobrogea și apelor costiere, etc.</w:t>
      </w:r>
    </w:p>
    <w:p w14:paraId="3E61D77C" w14:textId="77777777" w:rsidR="00670FD4" w:rsidRDefault="00670FD4" w:rsidP="00670FD4">
      <w:pPr>
        <w:spacing w:before="0"/>
        <w:ind w:firstLine="540"/>
        <w:rPr>
          <w:rFonts w:eastAsia="Times New Roman" w:cs="Times New Roman"/>
        </w:rPr>
      </w:pPr>
      <w:r>
        <w:rPr>
          <w:rFonts w:eastAsia="Times New Roman" w:cs="Times New Roman"/>
        </w:rPr>
        <w:t>Instituțiile responsabile pentru implementarea acestei măsuri sunt MDLPA, MMAP și autoritățile locale. Finanțarea implementării acestei măsuri poate fi asigurată atât din bugetul propriu al autorităților publice locale și al operatorilor de servicii publice de apă uzată, dar și prin accesarea programelor europene, precum Programul de Dezvoltare Durabilă</w:t>
      </w:r>
      <w:r>
        <w:rPr>
          <w:rFonts w:eastAsia="Times New Roman" w:cs="Times New Roman"/>
          <w:i/>
        </w:rPr>
        <w:t xml:space="preserve">, </w:t>
      </w:r>
      <w:r>
        <w:rPr>
          <w:rFonts w:eastAsia="Times New Roman" w:cs="Times New Roman"/>
        </w:rPr>
        <w:t>Invest EU</w:t>
      </w:r>
      <w:r>
        <w:rPr>
          <w:rFonts w:eastAsia="Times New Roman" w:cs="Times New Roman"/>
          <w:i/>
        </w:rPr>
        <w:t xml:space="preserve">, </w:t>
      </w:r>
      <w:r>
        <w:rPr>
          <w:rFonts w:eastAsia="Times New Roman" w:cs="Times New Roman"/>
        </w:rPr>
        <w:t xml:space="preserve">PNRR și programelor naționale, precum Programul Național de Investiții „Anghel Saligny”. </w:t>
      </w:r>
    </w:p>
    <w:p w14:paraId="4A94810B" w14:textId="77777777" w:rsidR="00670FD4" w:rsidRDefault="00670FD4" w:rsidP="00670FD4">
      <w:pPr>
        <w:spacing w:before="0"/>
        <w:rPr>
          <w:rFonts w:eastAsia="Times New Roman" w:cs="Times New Roman"/>
          <w:b/>
          <w:i/>
        </w:rPr>
      </w:pPr>
      <w:r>
        <w:rPr>
          <w:rFonts w:eastAsia="Times New Roman" w:cs="Times New Roman"/>
          <w:b/>
          <w:i/>
        </w:rPr>
        <w:t>M4.3 Dezvoltarea unui program pentru studierea principalelor surse, căi de transport și impactului contaminanților emergenți asupra faunei și omului, precum și dezvoltarea unui program de monitorizare a acestora</w:t>
      </w:r>
    </w:p>
    <w:p w14:paraId="3E276A66" w14:textId="77777777" w:rsidR="00670FD4" w:rsidRDefault="00670FD4" w:rsidP="00670FD4">
      <w:pPr>
        <w:spacing w:before="0"/>
        <w:ind w:firstLine="540"/>
        <w:rPr>
          <w:rFonts w:eastAsia="Times New Roman" w:cs="Times New Roman"/>
        </w:rPr>
      </w:pPr>
      <w:r>
        <w:rPr>
          <w:rFonts w:eastAsia="Times New Roman" w:cs="Times New Roman"/>
        </w:rPr>
        <w:t>Studierea contaminanților emergenți (surse, căi de transport, efecte, etc.) se află într-o fază incipientă în România, deși în ultimii ani tot mai multe organizații de cercetare și universități au abordat această temă. Această măsură / acțiune, deși vizează strict cercetarea, poate contribui la dezvoltarea durabilă a zonei costiere, deoarece odată cu creșterea gradului de cunoaștere a efectelor negative ale contaminanților emergenți asupra stării și funcționării ecosistemelor acvatice, a serviciilor oferite de acestea și, nu în ultimul rând, asupra sănătății omului se creează cadrul necesar pentru elaborarea măsurilor de prevenire, limitare/stopare a poluării generate de aceste clase de compuși chimici.</w:t>
      </w:r>
    </w:p>
    <w:p w14:paraId="09299802" w14:textId="77777777" w:rsidR="00670FD4" w:rsidRDefault="00670FD4" w:rsidP="00670FD4">
      <w:pPr>
        <w:spacing w:before="0"/>
        <w:ind w:firstLine="540"/>
        <w:rPr>
          <w:rFonts w:eastAsia="Times New Roman" w:cs="Times New Roman"/>
        </w:rPr>
      </w:pPr>
      <w:r>
        <w:rPr>
          <w:rFonts w:eastAsia="Times New Roman" w:cs="Times New Roman"/>
        </w:rPr>
        <w:lastRenderedPageBreak/>
        <w:t>Implementarea acestei măsuri poate contribui și la atingerea obiectivelor Directivei Cadru privind Strategia pentru Mediul Marin (Descriptorii 8 - Contaminanți și 9 - Contaminanți în fructe de mare), precum și ale Planului național de management actualizat (2021) aferent porțiunii naționale a bazinului hidrografic internațional al fluviului Dunărea și Planului de management actualizat al fluviului Dunărea, Deltei Dunării, spațiului hidrografic Dobrogea și apelor costiere. De asemenea această acțiune răspunde obiectivelor Strategiei Naționale de Cercetare, Inovare și Specializare Inteligentă (SNCISI) 2022-2027, obiectivelor Misiunii Starfish 2030 (Regenerarea Oceanelor și Mărilor noastre), respectiv protecția și refacere biodiversității și prevenirea și eliminarea poluării, precum și celor ale Strategiei Naționale și Planului de Acțiune pentru conservarea biodiversității 2014-2020 (SNPACB 2014-2020) (în curs de actualizare).</w:t>
      </w:r>
    </w:p>
    <w:p w14:paraId="1BB94D1C" w14:textId="77777777" w:rsidR="00670FD4" w:rsidRPr="00D96C25" w:rsidRDefault="00670FD4" w:rsidP="00670FD4">
      <w:pPr>
        <w:spacing w:before="0"/>
        <w:ind w:firstLine="540"/>
        <w:rPr>
          <w:rFonts w:eastAsia="Times New Roman" w:cs="Times New Roman"/>
        </w:rPr>
      </w:pPr>
      <w:r>
        <w:rPr>
          <w:rFonts w:eastAsia="Times New Roman" w:cs="Times New Roman"/>
        </w:rPr>
        <w:t>Principala instituție responsabilă pentru implementarea acestei măsuri este MCID (prin institutele de cercetare-dezvoltare din subordine), dar o contribuție semnificativă o vor avea și Academia Română (prin institutele sale de cercetare), ME (prin departamentele de cercetare din cadrul universităților) și MMAP (prin ANAR și ABADL). Finanțarea implementării acestei măsuri va fi asigurată prin accesarea fondurilor programului Planul Național de Cercetare Dezvoltare și Inovare 2022-2027 (PNCDI IV), precum și a programelor europene PNRR și Horizon Europe.</w:t>
      </w:r>
      <w:r>
        <w:rPr>
          <w:rFonts w:eastAsia="Times New Roman" w:cs="Times New Roman"/>
          <w:color w:val="000000"/>
        </w:rPr>
        <w:t xml:space="preserve"> </w:t>
      </w:r>
    </w:p>
    <w:p w14:paraId="2ECFF07B" w14:textId="77777777" w:rsidR="00670FD4" w:rsidRDefault="00670FD4" w:rsidP="00670FD4">
      <w:pPr>
        <w:spacing w:before="0"/>
        <w:rPr>
          <w:rFonts w:eastAsia="Times New Roman" w:cs="Times New Roman"/>
          <w:b/>
          <w:i/>
        </w:rPr>
      </w:pPr>
      <w:r>
        <w:rPr>
          <w:rFonts w:eastAsia="Times New Roman" w:cs="Times New Roman"/>
          <w:b/>
          <w:i/>
        </w:rPr>
        <w:t>M4.4</w:t>
      </w:r>
      <w:r>
        <w:rPr>
          <w:b/>
          <w:i/>
        </w:rPr>
        <w:t xml:space="preserve"> </w:t>
      </w:r>
      <w:r>
        <w:rPr>
          <w:rFonts w:eastAsia="Times New Roman" w:cs="Times New Roman"/>
          <w:b/>
          <w:i/>
        </w:rPr>
        <w:t xml:space="preserve">Inițierea și implementarea de programe pentru îmbunătățirea infrastructurii de gestionare a deșeurilor </w:t>
      </w:r>
    </w:p>
    <w:p w14:paraId="7A497932" w14:textId="77777777" w:rsidR="00670FD4" w:rsidRDefault="00670FD4" w:rsidP="00670FD4">
      <w:pPr>
        <w:spacing w:before="0"/>
        <w:ind w:firstLine="567"/>
        <w:rPr>
          <w:rFonts w:eastAsia="Times New Roman" w:cs="Times New Roman"/>
        </w:rPr>
      </w:pPr>
      <w:r>
        <w:rPr>
          <w:rFonts w:eastAsia="Times New Roman" w:cs="Times New Roman"/>
        </w:rPr>
        <w:t>În ciuda existenței a numeroase reglementări legislative (Ordonanța de Urgență nr. 92 din 19 august 2021 privind regimul deșeurilor aprobată cu modificări prin Legea 17/2023, Legea 181/2020 privind gestionarea deșeurilor nepericuloase compostabile, H.G. nr. 1061/2008 privind transportul deseurilor periculoase si nepericuloase pe teritoriul României, Ordonanța nr. 2 din 11 august 2021 privind depozitarea deșeurilor, etc.), strategii și planuri de management a deșeurilor la nivel național (HG 870/2013 - Strategia Națională privind Gestionarea Deșeurilor, HG 942/2017 - Planul Național privind gestionarea deșeurilor) și local (Planurile județene de gestionare a deșeurilor - Constanța și Tulcea), problema introducerii deșeurilor în mediu încă persistă în zona costieră.</w:t>
      </w:r>
    </w:p>
    <w:p w14:paraId="6FBB5D2F" w14:textId="77777777" w:rsidR="00670FD4" w:rsidRDefault="00670FD4" w:rsidP="00670FD4">
      <w:pPr>
        <w:spacing w:before="0"/>
        <w:ind w:firstLine="567"/>
        <w:rPr>
          <w:rFonts w:eastAsia="Times New Roman" w:cs="Times New Roman"/>
        </w:rPr>
      </w:pPr>
      <w:r>
        <w:rPr>
          <w:rFonts w:eastAsia="Times New Roman" w:cs="Times New Roman"/>
        </w:rPr>
        <w:t>Implementarea acestei măsuri este în concordanță cu acțiunile și obiectivele Planului Național de Gestionare a Deșeurilor și, în mod specific, cu cele ale Planurilor Județene de Gestionare a Deșeurilor (Constanța și Tulcea), vizând îmbunătățirea infrastructurii de colectare, depozitare și tratare a deșeurilor în zona costieră.</w:t>
      </w:r>
    </w:p>
    <w:p w14:paraId="01F2D52E" w14:textId="77777777" w:rsidR="00670FD4" w:rsidRDefault="00670FD4" w:rsidP="00670FD4">
      <w:pPr>
        <w:spacing w:before="0"/>
        <w:ind w:firstLine="567"/>
        <w:rPr>
          <w:rFonts w:eastAsia="Times New Roman" w:cs="Times New Roman"/>
        </w:rPr>
      </w:pPr>
      <w:r>
        <w:rPr>
          <w:rFonts w:eastAsia="Times New Roman" w:cs="Times New Roman"/>
        </w:rPr>
        <w:t>Instituția responsabilă pentru implementarea acestei măsuri este MMAP, dar este de așteptat ca și autoritățile locale și organizațiile de cercetare-inovare (institute naționale de cercetare-dezvoltare și departamente de cercetare din universități) să-și aducă contribuția. Finanțarea implementării acestei măsuri se poate asigura fie prin accesarea programelor europene, precum PNRR și Programul de Dezvoltare Durabilă, cât și din bugetul propriu al MMAP și bugetele locale.</w:t>
      </w:r>
    </w:p>
    <w:p w14:paraId="5BE8F7FD" w14:textId="77777777" w:rsidR="00670FD4" w:rsidRDefault="00670FD4" w:rsidP="00670FD4">
      <w:pPr>
        <w:spacing w:before="0"/>
        <w:rPr>
          <w:rFonts w:eastAsia="Times New Roman" w:cs="Times New Roman"/>
          <w:b/>
          <w:i/>
        </w:rPr>
      </w:pPr>
      <w:r>
        <w:rPr>
          <w:rFonts w:eastAsia="Times New Roman" w:cs="Times New Roman"/>
          <w:b/>
          <w:i/>
        </w:rPr>
        <w:t>M4.5 Dezvoltarea infrastructurii verzi în zona carierelor active de calcare și șisturi verzi (zona Tașaul-Luminița)</w:t>
      </w:r>
    </w:p>
    <w:p w14:paraId="137E7A2F" w14:textId="77777777" w:rsidR="00670FD4" w:rsidRDefault="00670FD4" w:rsidP="00670FD4">
      <w:pPr>
        <w:spacing w:before="0"/>
        <w:ind w:firstLine="567"/>
        <w:rPr>
          <w:rFonts w:eastAsia="Times New Roman" w:cs="Times New Roman"/>
        </w:rPr>
      </w:pPr>
      <w:r>
        <w:rPr>
          <w:rFonts w:eastAsia="Times New Roman" w:cs="Times New Roman"/>
        </w:rPr>
        <w:lastRenderedPageBreak/>
        <w:t>În zona Tașaul-Luminița sunt active în prezent două licențe de concesiune pentru exploatarea calcarului industrial și de construcții și un permis de exploatare a acestuia. Exploatarea calcarelor și șisturilor verzi este o activitate cu un puternic impact negativ atât asupra biodiversității, peisajului, calității aerului, apelor de suprafață (lacurile Tașaul și Corbu), solului, cât și asupra sănătății umane. Măsurile luate de către operatorii economici în vederea minimizării impactului negativ nu sunt suficiente, astfel încât se impune implementarea acestei măsuri în vederea reducerii poluării atmosferice și, indirect, a apelor de suprafață și solului, precum și a creșterii gradului de protecție a biodiversității ținând cont de faptul că această activitate se desfășoară în situl Natura 2000 ROSPA 0060 Lacurile Tașaul – Corbu.</w:t>
      </w:r>
    </w:p>
    <w:p w14:paraId="76221C50" w14:textId="77777777" w:rsidR="00670FD4" w:rsidRDefault="00670FD4" w:rsidP="00670FD4">
      <w:pPr>
        <w:spacing w:before="0"/>
        <w:ind w:firstLine="567"/>
        <w:rPr>
          <w:rFonts w:eastAsia="Times New Roman" w:cs="Times New Roman"/>
        </w:rPr>
      </w:pPr>
      <w:r>
        <w:rPr>
          <w:rFonts w:eastAsia="Times New Roman" w:cs="Times New Roman"/>
        </w:rPr>
        <w:t>Principala instituție responsabilă pentru implementarea acestei măsuri este MMAP, dar este de așteptat ca și MT și organizațiile de cercetare-inovare (institute naționale de cercetare-dezvoltare și departamente de cercetare din universități) să-și aducă contribuția. Finanțarea implementării acestei măsuri se poate asigura fie prin accesarea PNCDI IV, Programului Regional Sud-Est, Programului de Dezvoltare Durabilă, Programului InvestEU și LIFE.</w:t>
      </w:r>
    </w:p>
    <w:p w14:paraId="15A50E98" w14:textId="77777777" w:rsidR="00670FD4" w:rsidRDefault="00670FD4" w:rsidP="00670FD4">
      <w:pPr>
        <w:spacing w:before="0"/>
        <w:rPr>
          <w:rFonts w:eastAsia="Times New Roman" w:cs="Times New Roman"/>
          <w:b/>
        </w:rPr>
      </w:pPr>
    </w:p>
    <w:p w14:paraId="782D957D" w14:textId="77777777" w:rsidR="00670FD4" w:rsidRDefault="00670FD4" w:rsidP="00670FD4">
      <w:pPr>
        <w:spacing w:before="0"/>
        <w:rPr>
          <w:rFonts w:eastAsia="Times New Roman" w:cs="Times New Roman"/>
          <w:b/>
        </w:rPr>
      </w:pPr>
      <w:r>
        <w:rPr>
          <w:rFonts w:eastAsia="Times New Roman" w:cs="Times New Roman"/>
          <w:b/>
        </w:rPr>
        <w:t>M5. Măsuri pentru remedierea poluării</w:t>
      </w:r>
    </w:p>
    <w:p w14:paraId="07CCC610" w14:textId="77777777" w:rsidR="00670FD4" w:rsidRDefault="00670FD4" w:rsidP="00670FD4">
      <w:pPr>
        <w:spacing w:before="0"/>
        <w:rPr>
          <w:rFonts w:eastAsia="Times New Roman" w:cs="Times New Roman"/>
          <w:b/>
          <w:i/>
        </w:rPr>
      </w:pPr>
      <w:r>
        <w:rPr>
          <w:rFonts w:eastAsia="Times New Roman" w:cs="Times New Roman"/>
          <w:b/>
          <w:i/>
        </w:rPr>
        <w:t xml:space="preserve">M5.1 Gestionarea siturilor contaminate și potențial contaminate din zona costieră </w:t>
      </w:r>
    </w:p>
    <w:p w14:paraId="55D70BC8" w14:textId="77777777" w:rsidR="00670FD4" w:rsidRDefault="00670FD4" w:rsidP="00670FD4">
      <w:pPr>
        <w:spacing w:before="0"/>
        <w:ind w:firstLine="540"/>
        <w:rPr>
          <w:rFonts w:eastAsia="Times New Roman" w:cs="Times New Roman"/>
        </w:rPr>
      </w:pPr>
      <w:r>
        <w:rPr>
          <w:rFonts w:eastAsia="Times New Roman" w:cs="Times New Roman"/>
        </w:rPr>
        <w:t xml:space="preserve">Prin implementarea acestei măsuri /acțiuni se va realiza, într-o primă fază, o actualizare a siturilor contaminate și potențial contaminate din zona costieră, ultima actualizare în România datând din 2013. Metodologiile de remediere și monitorizare post remediere ale acestor situri, precum și criteriile de prioritizare sunt clare și sunt prevăzute în legislația în vigoare (Legea nr. 74 din 25 aprilie 2019 privind gestionarea siturilor potențial contaminate și a celor contaminate, Ordinul nr. 267/346/2021 privind aprobarea Metodologiei de remediere a siturilor contaminate), dar prin implementarea acestei acțiuni se urmărește dezvoltarea de tehnologii noi, inovative, sustenabile pentru remedierea siturilor contaminate, precum și creșterea capacității de monitorizare post remediere prin folosirea de tehnici noi, moderne și cost-eficiente. </w:t>
      </w:r>
    </w:p>
    <w:p w14:paraId="35EBEBCC" w14:textId="77777777" w:rsidR="00670FD4" w:rsidRDefault="00670FD4" w:rsidP="00670FD4">
      <w:pPr>
        <w:spacing w:before="0"/>
        <w:ind w:firstLine="540"/>
        <w:rPr>
          <w:rFonts w:eastAsia="Times New Roman" w:cs="Times New Roman"/>
        </w:rPr>
      </w:pPr>
      <w:r>
        <w:rPr>
          <w:rFonts w:eastAsia="Times New Roman" w:cs="Times New Roman"/>
        </w:rPr>
        <w:t>Implementarea acestei măsuri este responsabilitatea MMAP, cu sprijinul autorităților locale, institutelor de cercetare-dezvoltare (MCID) și universităților (ME). Bugetul necesar implementării măsurii poate fi asigurat atât prin accesarea programelor europene (Programul de Dezvoltare Durabilă, Programul InvestEU) și naționale (PNCDI IV, cât și din fonduri proprii ale MMAP și buhgete locale.</w:t>
      </w:r>
    </w:p>
    <w:p w14:paraId="36C1B96B" w14:textId="77777777" w:rsidR="00670FD4" w:rsidRDefault="00670FD4" w:rsidP="00670FD4">
      <w:pPr>
        <w:pBdr>
          <w:top w:val="nil"/>
          <w:left w:val="nil"/>
          <w:bottom w:val="nil"/>
          <w:right w:val="nil"/>
          <w:between w:val="nil"/>
        </w:pBdr>
        <w:spacing w:before="0" w:line="240" w:lineRule="auto"/>
        <w:rPr>
          <w:rFonts w:eastAsia="Times New Roman" w:cs="Times New Roman"/>
          <w:color w:val="000000"/>
        </w:rPr>
      </w:pPr>
      <w:r>
        <w:rPr>
          <w:rFonts w:eastAsia="Times New Roman" w:cs="Times New Roman"/>
          <w:b/>
          <w:i/>
          <w:color w:val="000000"/>
        </w:rPr>
        <w:t>M5.2 Restaurarea ecologică a lacurilor urbane în scopul valorificării potențialului lor natural și turistic (lacurile Tăbăcărie, Costinești, Belona, Neptun, etc.)</w:t>
      </w:r>
    </w:p>
    <w:p w14:paraId="40F2FC36" w14:textId="77777777" w:rsidR="00670FD4" w:rsidRDefault="00670FD4" w:rsidP="00670FD4">
      <w:pPr>
        <w:pBdr>
          <w:top w:val="nil"/>
          <w:left w:val="nil"/>
          <w:bottom w:val="nil"/>
          <w:right w:val="nil"/>
          <w:between w:val="nil"/>
        </w:pBdr>
        <w:spacing w:before="0"/>
        <w:rPr>
          <w:rFonts w:eastAsia="Times New Roman" w:cs="Times New Roman"/>
          <w:color w:val="000000"/>
        </w:rPr>
      </w:pPr>
      <w:r>
        <w:rPr>
          <w:rFonts w:eastAsia="Times New Roman" w:cs="Times New Roman"/>
          <w:color w:val="000000"/>
        </w:rPr>
        <w:t>Lacurile urbane din zona costieră sunt ecosisteme supuse unor presiuni antropice semnificative și continue. Restaurare lor ecologică a fost în permanență un subiect fierbinte de dezbatere, în special în rândul societății civile. Totuși, de-a lungul timpul, autoritățile locale și cele centrale competente au fost relativ indiferente, măsurile și acțiunile vizând restaurarea acestor lacuri au fost destul de sporadice, de cele mai multe ori limitându-se doar la campanii de ecologizare. </w:t>
      </w:r>
    </w:p>
    <w:p w14:paraId="44C28240" w14:textId="77777777" w:rsidR="00670FD4" w:rsidRDefault="00670FD4" w:rsidP="00670FD4">
      <w:pPr>
        <w:pBdr>
          <w:top w:val="nil"/>
          <w:left w:val="nil"/>
          <w:bottom w:val="nil"/>
          <w:right w:val="nil"/>
          <w:between w:val="nil"/>
        </w:pBdr>
        <w:spacing w:before="0"/>
        <w:rPr>
          <w:rFonts w:eastAsia="Times New Roman" w:cs="Times New Roman"/>
          <w:color w:val="000000"/>
        </w:rPr>
      </w:pPr>
      <w:r>
        <w:rPr>
          <w:rFonts w:eastAsia="Times New Roman" w:cs="Times New Roman"/>
          <w:color w:val="000000"/>
        </w:rPr>
        <w:lastRenderedPageBreak/>
        <w:t>Acțiunea propusă este în concordanță cu obiectivele Strategiei naționale de dezvoltare urbană integrată pentru orașe reziliente, verzi, incluzive și competitive 2022—2035 — Politica urbană a României, precum și cu cele ale Strategia Națională pentru Dezvoltarea Durabilă a României 2030 (SNDDR). </w:t>
      </w:r>
    </w:p>
    <w:p w14:paraId="750BBAE5" w14:textId="77777777" w:rsidR="00670FD4" w:rsidRDefault="00670FD4" w:rsidP="00670FD4">
      <w:pPr>
        <w:pBdr>
          <w:top w:val="nil"/>
          <w:left w:val="nil"/>
          <w:bottom w:val="nil"/>
          <w:right w:val="nil"/>
          <w:between w:val="nil"/>
        </w:pBdr>
        <w:spacing w:before="0"/>
        <w:rPr>
          <w:rFonts w:eastAsia="Times New Roman" w:cs="Times New Roman"/>
          <w:color w:val="000000"/>
        </w:rPr>
      </w:pPr>
      <w:r>
        <w:rPr>
          <w:rFonts w:eastAsia="Times New Roman" w:cs="Times New Roman"/>
          <w:color w:val="000000"/>
        </w:rPr>
        <w:t xml:space="preserve">Instituțiile responsabile pentru implementarea acestei măsuri sunt MDAR (ANPA), autoritățile locale, MCID (institute naționale de cercetare-dezvoltare) și ME (universități). Finanțarea implementării acestei măsuri va fi asigurată, în principal, prin accesarea programelor europene (PNRR, Programul de Dezvoltare Durabilă, Programul InvestEU, LIFE, etc și naționale (PNCDI IV), dar și prin parteneriate public-privat, fonduri proprii MADR (ANPA) și bugetele locale. </w:t>
      </w:r>
    </w:p>
    <w:p w14:paraId="5E0DE7BD" w14:textId="77777777" w:rsidR="00670FD4" w:rsidRDefault="00670FD4" w:rsidP="00670FD4">
      <w:pPr>
        <w:spacing w:before="0"/>
        <w:rPr>
          <w:rFonts w:eastAsia="Times New Roman" w:cs="Times New Roman"/>
          <w:b/>
          <w:i/>
        </w:rPr>
      </w:pPr>
      <w:r>
        <w:rPr>
          <w:rFonts w:eastAsia="Times New Roman" w:cs="Times New Roman"/>
          <w:b/>
          <w:i/>
        </w:rPr>
        <w:t xml:space="preserve">M5.3 Inițierea și implementarea programelor pentru îndepărtarea deșeurilor marine, din coloana de apă și de pe fundul mării </w:t>
      </w:r>
    </w:p>
    <w:p w14:paraId="568023F0" w14:textId="77777777" w:rsidR="00670FD4" w:rsidRDefault="00670FD4" w:rsidP="00670FD4">
      <w:pPr>
        <w:spacing w:before="0"/>
        <w:ind w:firstLine="567"/>
        <w:rPr>
          <w:rFonts w:eastAsia="Times New Roman" w:cs="Times New Roman"/>
        </w:rPr>
      </w:pPr>
      <w:r>
        <w:rPr>
          <w:rFonts w:eastAsia="Times New Roman" w:cs="Times New Roman"/>
        </w:rPr>
        <w:t>Această măsură este asociată cu respectarea cerințelor Directivei Cadru privind Strategia pentru Mediul Marin, implementarea ei eficientă conducând la atingerea, nu doar a obiectivelor prezentului plan, ci și a Directivei Cadru privind Strategia pentru Mediul Marin (referitoare la Descriptorul 10 – Deșeuri marine). Implementarea măsurii este în concordanță cu Planul de măsuri pentru atingerea stării ecologice bune a Mediului Marin.</w:t>
      </w:r>
    </w:p>
    <w:p w14:paraId="0CEF85B5" w14:textId="77777777" w:rsidR="00670FD4" w:rsidRDefault="00670FD4" w:rsidP="00670FD4">
      <w:pPr>
        <w:spacing w:before="0"/>
        <w:ind w:firstLine="567"/>
        <w:rPr>
          <w:rFonts w:eastAsia="Times New Roman" w:cs="Times New Roman"/>
        </w:rPr>
      </w:pPr>
      <w:r>
        <w:rPr>
          <w:rFonts w:eastAsia="Times New Roman" w:cs="Times New Roman"/>
        </w:rPr>
        <w:t>Instituțiile responsabile pentru implementarea acestei măsuri sunt MMAP, MADR (prin ANPA), MCID (INCDM Grigore Antipa și INCDDD) și organizațiile profesionale de pescari. Finanțarea implementării acestei măsuri poate fi asigurată, în principal, prin accesarea fondurilor Programului de Pescuit și Acvacultură 2021-2027, dar și a PNCDI IV, precum și din bugetele proprii ale MMAP și MADR (ANPA).</w:t>
      </w:r>
    </w:p>
    <w:p w14:paraId="5BE92A39" w14:textId="77777777" w:rsidR="00670FD4" w:rsidRDefault="00670FD4" w:rsidP="00670FD4">
      <w:pPr>
        <w:spacing w:before="0"/>
        <w:rPr>
          <w:rFonts w:eastAsia="Times New Roman" w:cs="Times New Roman"/>
          <w:b/>
          <w:i/>
        </w:rPr>
      </w:pPr>
    </w:p>
    <w:p w14:paraId="1B05B2C3" w14:textId="77777777" w:rsidR="00670FD4" w:rsidRDefault="00670FD4" w:rsidP="00670FD4">
      <w:pPr>
        <w:spacing w:before="0"/>
        <w:rPr>
          <w:rFonts w:eastAsia="Times New Roman" w:cs="Times New Roman"/>
          <w:b/>
        </w:rPr>
      </w:pPr>
      <w:r>
        <w:rPr>
          <w:rFonts w:eastAsia="Times New Roman" w:cs="Times New Roman"/>
          <w:b/>
        </w:rPr>
        <w:t>M6. Măsuri pentru gestionarea hazardelor naturale și antropice</w:t>
      </w:r>
    </w:p>
    <w:p w14:paraId="44A7A573" w14:textId="77777777" w:rsidR="00670FD4" w:rsidRDefault="00670FD4" w:rsidP="00670FD4">
      <w:pPr>
        <w:spacing w:before="0"/>
        <w:ind w:firstLine="540"/>
        <w:rPr>
          <w:rFonts w:eastAsia="Times New Roman" w:cs="Times New Roman"/>
          <w:b/>
          <w:i/>
        </w:rPr>
      </w:pPr>
      <w:r>
        <w:rPr>
          <w:rFonts w:eastAsia="Times New Roman" w:cs="Times New Roman"/>
        </w:rPr>
        <w:t>Această categorie de măsuri are în vedere pe de o parte îmbunătățirea sistemelor de monitorizare a efectelor hazardelor naturale și, pe de altă parte, creșterea capacității de evaluarea a vulnerabilității zonei costiere la fenomenele extreme și a potențialelor riscuri induse de către acestea, în scopul întăririi măsurilor de prevenire, atenuare, adaptare și remediere.</w:t>
      </w:r>
    </w:p>
    <w:p w14:paraId="6E8318F9" w14:textId="77777777" w:rsidR="00670FD4" w:rsidRDefault="00670FD4" w:rsidP="00670FD4">
      <w:pPr>
        <w:spacing w:before="0"/>
        <w:rPr>
          <w:rFonts w:eastAsia="Times New Roman" w:cs="Times New Roman"/>
          <w:b/>
          <w:i/>
        </w:rPr>
      </w:pPr>
      <w:r>
        <w:rPr>
          <w:rFonts w:eastAsia="Times New Roman" w:cs="Times New Roman"/>
          <w:b/>
          <w:i/>
        </w:rPr>
        <w:t>M6.1 Aplicarea de soluții moderne, simple și cost-eficiente pentru monitorizarea efectelor eroziunii costiere</w:t>
      </w:r>
    </w:p>
    <w:p w14:paraId="3661ED63" w14:textId="77777777" w:rsidR="00670FD4" w:rsidRDefault="00670FD4" w:rsidP="00670FD4">
      <w:pPr>
        <w:spacing w:before="0"/>
        <w:ind w:firstLine="540"/>
        <w:rPr>
          <w:rFonts w:eastAsia="Times New Roman" w:cs="Times New Roman"/>
        </w:rPr>
      </w:pPr>
      <w:r>
        <w:rPr>
          <w:rFonts w:eastAsia="Times New Roman" w:cs="Times New Roman"/>
        </w:rPr>
        <w:t xml:space="preserve">Eroziunea costieră este rezultatul interacțiunii dintre diferiți factori naturali variabili (creșterea nivelului mării, impactul valurilor și a curenților marini sub influența schimbărilor climatice) și intervențiile antropice. Cum schimbările climatice pot modifica frecvența și magnitudinea evenimentelor extreme (furtuni costiere), precum și accelerarea creșterii nivelului mării, ne putem aștepta în viitor la dezechilibre majore în ceea ce privește eroziunea costieră. Apariția și extinderea sectoarelor de eroziune costieră înseamnă o reziliență mai scăzută în fața unor fenomene precum inundațiile cauzate de furtuni, de creșterea nivelului mării sau de efectul combinat al acestora. Totodată, se pot pierde ecosisteme importante din punct de vedere al biodiversității și putem avea efecte majore asupra turismului, infrastructurii </w:t>
      </w:r>
      <w:r>
        <w:rPr>
          <w:rFonts w:eastAsia="Times New Roman" w:cs="Times New Roman"/>
        </w:rPr>
        <w:lastRenderedPageBreak/>
        <w:t>de transport sau zonelor locuite. Astfel, este necesară dezvoltarea unor instrumente complexe, gratuite, ușor de utilizat și disponibile oricui de monitorizare continuă și automată a dinamicii liniei țărmului care să permită decizii informate și bazate pe date în cazul unor intervenții legate de combaterea eroziunii costiere și nu numai.</w:t>
      </w:r>
    </w:p>
    <w:p w14:paraId="65DCBC37" w14:textId="77777777" w:rsidR="00670FD4" w:rsidRDefault="00670FD4" w:rsidP="00670FD4">
      <w:pPr>
        <w:spacing w:before="0"/>
        <w:ind w:firstLine="540"/>
        <w:rPr>
          <w:rFonts w:eastAsia="Times New Roman" w:cs="Times New Roman"/>
        </w:rPr>
      </w:pPr>
      <w:r>
        <w:rPr>
          <w:rFonts w:eastAsia="Times New Roman" w:cs="Times New Roman"/>
        </w:rPr>
        <w:t>Instituțiile responsabile pentru implementarea acestei măsuri sunt MMAP, MCID (INCD GeoEcoMar, INCDM Grigore Antipa) și ME (UB și UOC). Bugetul pentru realizarea acestor măsuri poate fi asigurat prin accesarea programelor europene, precum PNRR și Programul Horizon Europe și programelor naționale, precum Planul Național de Cercetare Dezvoltare și Inovare 2022-2027 (PNCDI IV).</w:t>
      </w:r>
    </w:p>
    <w:p w14:paraId="602D6E3C" w14:textId="77777777" w:rsidR="00670FD4" w:rsidRDefault="00670FD4" w:rsidP="00670FD4">
      <w:pPr>
        <w:spacing w:before="0"/>
        <w:rPr>
          <w:rFonts w:eastAsia="Times New Roman" w:cs="Times New Roman"/>
          <w:b/>
          <w:i/>
        </w:rPr>
      </w:pPr>
      <w:r>
        <w:rPr>
          <w:rFonts w:eastAsia="Times New Roman" w:cs="Times New Roman"/>
          <w:b/>
          <w:i/>
        </w:rPr>
        <w:t>M6.2 Îmbunătățirea managementului sedimentelor în Delta Dunării și pe țărmul românesc al Mării Negre</w:t>
      </w:r>
    </w:p>
    <w:p w14:paraId="49EACEFC" w14:textId="77777777" w:rsidR="00670FD4" w:rsidRDefault="00670FD4" w:rsidP="00670FD4">
      <w:pPr>
        <w:spacing w:before="0"/>
        <w:ind w:firstLine="540"/>
        <w:rPr>
          <w:rFonts w:eastAsia="Times New Roman" w:cs="Times New Roman"/>
        </w:rPr>
      </w:pPr>
      <w:r>
        <w:rPr>
          <w:rFonts w:eastAsia="Times New Roman" w:cs="Times New Roman"/>
        </w:rPr>
        <w:t xml:space="preserve">Disponibilitatea sedimentelor în toată zona costieră românească este din ce în ce mai redusă în ultimele decenii, pe fondul intervențiile umane în cadrul bazinului Dunării și pe litoralul românesc. Existența unui flux stabil de sedimente este necesară păstrării unui echilibru al țărmului, inclusiv al dimensiunii plajelor. Ceea ce nu mai are loc acum în mod natural, sau se întâmplă insuficient, și anume </w:t>
      </w:r>
      <w:sdt>
        <w:sdtPr>
          <w:tag w:val="goog_rdk_54"/>
          <w:id w:val="-1959094490"/>
        </w:sdtPr>
        <w:sdtContent>
          <w:r>
            <w:rPr>
              <w:rFonts w:eastAsia="Times New Roman" w:cs="Times New Roman"/>
            </w:rPr>
            <w:t>înnisiparea</w:t>
          </w:r>
        </w:sdtContent>
      </w:sdt>
      <w:r>
        <w:rPr>
          <w:rFonts w:eastAsia="Times New Roman" w:cs="Times New Roman"/>
        </w:rPr>
        <w:t xml:space="preserve"> plajelor, necesită intervenția umană. În acest context, este necesară dezvoltarea unor instrumente de monitorizare și a unor mecanisme de management al sedimentelor atât în interiorul Deltei Dunării, cât și pe întreg țărmul românesc al Mării Negre.</w:t>
      </w:r>
    </w:p>
    <w:p w14:paraId="5013758F" w14:textId="77777777" w:rsidR="00670FD4" w:rsidRDefault="00670FD4" w:rsidP="00670FD4">
      <w:pPr>
        <w:spacing w:before="0"/>
        <w:ind w:firstLine="540"/>
        <w:rPr>
          <w:rFonts w:eastAsia="Times New Roman" w:cs="Times New Roman"/>
        </w:rPr>
      </w:pPr>
      <w:r>
        <w:rPr>
          <w:rFonts w:eastAsia="Times New Roman" w:cs="Times New Roman"/>
        </w:rPr>
        <w:t>Instituțiile responsabile pentru implementarea acestei măsuri sunt MMAP (prin ARBDD, ABADL), MCID (INCD GeoEcoMar, INCDM Grigore Antipa, INCDDD) și ME (UB). Bugetul pentru realizarea acestor măsuri poate fi asigurat prin accesarea programelor europene, precum PNRR și Programul Horizon Europe și programelor naționale, precum Planul Național de Cercetare Dezvoltare și Inovare 2022-2027 (PNCDI IV).</w:t>
      </w:r>
    </w:p>
    <w:p w14:paraId="1591CAE4" w14:textId="77777777" w:rsidR="00670FD4" w:rsidRDefault="00670FD4" w:rsidP="00670FD4">
      <w:pPr>
        <w:spacing w:before="0"/>
        <w:rPr>
          <w:rFonts w:eastAsia="Times New Roman" w:cs="Times New Roman"/>
          <w:b/>
          <w:i/>
        </w:rPr>
      </w:pPr>
      <w:r>
        <w:rPr>
          <w:rFonts w:eastAsia="Times New Roman" w:cs="Times New Roman"/>
          <w:b/>
          <w:i/>
        </w:rPr>
        <w:t>M6.3 Realizarea unei evaluări detaliate a vulnerabilității zonei de coastă la furtuni extreme, identificarea și analizarea riscurilor potențiale și stabilirea de măsuri prioritare de prevenire, atenuare, adaptare și remediere</w:t>
      </w:r>
    </w:p>
    <w:p w14:paraId="15213B70" w14:textId="77777777" w:rsidR="00670FD4" w:rsidRDefault="00670FD4" w:rsidP="00670FD4">
      <w:pPr>
        <w:spacing w:before="0"/>
        <w:ind w:firstLine="567"/>
        <w:rPr>
          <w:rFonts w:eastAsia="Times New Roman" w:cs="Times New Roman"/>
        </w:rPr>
      </w:pPr>
      <w:r>
        <w:rPr>
          <w:rFonts w:eastAsia="Times New Roman" w:cs="Times New Roman"/>
        </w:rPr>
        <w:t>Instituțiile responsabile pentru implementarea acestei măsuri sunt MMAP (prin ANM, ABADL), MCID (INCD-uri), ME (departamente de cercetare din universități) și autoritățile locale. Bugetul pentru realizarea acestor măsuri va fi asigurat die din fonduri proprii ale MMAP și bugete locale, fie prin accesarea programelor europene, precum Programul Regional Sud-Est, LIFE, InvestEU și Programul Horizon Europe și programelor naționale, precum Planul Național de Cercetare Dezvoltare și Inovare 2022-2027 (PNCDI IV).</w:t>
      </w:r>
    </w:p>
    <w:p w14:paraId="36F1EA6A" w14:textId="77777777" w:rsidR="00670FD4" w:rsidRDefault="00670FD4" w:rsidP="00670FD4">
      <w:pPr>
        <w:spacing w:before="0"/>
        <w:rPr>
          <w:rFonts w:eastAsia="Times New Roman" w:cs="Times New Roman"/>
          <w:b/>
          <w:i/>
        </w:rPr>
      </w:pPr>
      <w:r>
        <w:rPr>
          <w:rFonts w:eastAsia="Times New Roman" w:cs="Times New Roman"/>
          <w:b/>
          <w:i/>
        </w:rPr>
        <w:t>M6.4 Realizarea unei evaluări detaliate a vulnerabilității zonei de coastă la secetă și incendii, identificarea și analizarea riscurilor potențiale și stabilirea de măsuri prioritare de prevenire, atenuare, adaptare și remediere</w:t>
      </w:r>
    </w:p>
    <w:p w14:paraId="79BABD38" w14:textId="77777777" w:rsidR="00670FD4" w:rsidRDefault="00670FD4" w:rsidP="00670FD4">
      <w:pPr>
        <w:spacing w:before="0"/>
        <w:ind w:firstLine="567"/>
        <w:rPr>
          <w:rFonts w:eastAsia="Times New Roman" w:cs="Times New Roman"/>
        </w:rPr>
      </w:pPr>
      <w:r>
        <w:rPr>
          <w:rFonts w:eastAsia="Times New Roman" w:cs="Times New Roman"/>
        </w:rPr>
        <w:t xml:space="preserve">Instituțiile responsabile pentru implementarea acestei măsuri sunt MMAP (prin ANM), MADR, MCID (INCD-uri), ME (departamente de cercetare din universități) și MAI (IGSU). Bugetul pentru realizarea acestor măsuri va fi asigurat die din fonduri proprii ale MMAP și MADR, fie prin accesarea programelor europene, precum Programul Regional Sud-Est, Programul (Interreg VI-B) NEXT Bazinul Mării Negre, PAC; LIFE, PNRR și Programul de </w:t>
      </w:r>
      <w:r>
        <w:rPr>
          <w:rFonts w:eastAsia="Times New Roman" w:cs="Times New Roman"/>
        </w:rPr>
        <w:lastRenderedPageBreak/>
        <w:t>Dezvoltare Durabilă și programelor naționale, precum Planul Național de Cercetare Dezvoltare și Inovare 2022-2027 (PNCDI IV).</w:t>
      </w:r>
    </w:p>
    <w:p w14:paraId="0BFA0FF3" w14:textId="77777777" w:rsidR="00670FD4" w:rsidRDefault="00670FD4" w:rsidP="00670FD4">
      <w:pPr>
        <w:spacing w:before="0"/>
        <w:rPr>
          <w:rFonts w:eastAsia="Times New Roman" w:cs="Times New Roman"/>
          <w:b/>
          <w:i/>
        </w:rPr>
      </w:pPr>
      <w:r>
        <w:rPr>
          <w:rFonts w:eastAsia="Times New Roman" w:cs="Times New Roman"/>
          <w:b/>
          <w:i/>
        </w:rPr>
        <w:t>M6.5 Realizarea unei evaluări detaliate a vulnerabilității zonei de coastă la inundații, identificarea și analizarea riscurilor potențiale și stabilirea de măsuri prioritare de prevenire, atenuare, adaptare și remediere</w:t>
      </w:r>
    </w:p>
    <w:p w14:paraId="13428179" w14:textId="77777777" w:rsidR="00670FD4" w:rsidRDefault="00670FD4" w:rsidP="00670FD4">
      <w:pPr>
        <w:spacing w:before="0"/>
        <w:ind w:firstLine="567"/>
        <w:rPr>
          <w:rFonts w:eastAsia="Times New Roman" w:cs="Times New Roman"/>
        </w:rPr>
      </w:pPr>
      <w:r>
        <w:rPr>
          <w:rFonts w:eastAsia="Times New Roman" w:cs="Times New Roman"/>
        </w:rPr>
        <w:t>Instituțiile responsabile pentru implementarea acestei măsuri sunt MMAP (prin ANM, ABADL), MCID (INCD-uri), ME (departamente de cercetare din universități), MT, MAI (IGSU) și autoritățile locale. Bugetul pentru realizarea acestor măsuri va fi asigurat die din fonduri proprii ale MMAP și bugete locale, fie prin accesarea programelor europene, precum Programul Regional Sud-Est, Programul de Dezvoltare Durabilă, LIFE, PNRR și programelor naționale, precum Planul Național de Cercetare Dezvoltare și Inovare 2022-2027 (PNCDI IV).</w:t>
      </w:r>
    </w:p>
    <w:p w14:paraId="796DA82A" w14:textId="77777777" w:rsidR="00670FD4" w:rsidRDefault="00670FD4" w:rsidP="00670FD4">
      <w:pPr>
        <w:spacing w:before="0"/>
        <w:rPr>
          <w:rFonts w:eastAsia="Times New Roman" w:cs="Times New Roman"/>
          <w:b/>
          <w:i/>
        </w:rPr>
      </w:pPr>
    </w:p>
    <w:p w14:paraId="7ED94FB6" w14:textId="77777777" w:rsidR="00670FD4" w:rsidRDefault="00670FD4" w:rsidP="00670FD4">
      <w:pPr>
        <w:spacing w:before="0"/>
        <w:rPr>
          <w:rFonts w:eastAsia="Times New Roman" w:cs="Times New Roman"/>
          <w:b/>
        </w:rPr>
      </w:pPr>
      <w:r>
        <w:rPr>
          <w:rFonts w:eastAsia="Times New Roman" w:cs="Times New Roman"/>
          <w:b/>
        </w:rPr>
        <w:t>M7. Măsuri pentru dezvoltarea sustenabilă a zonei costiere</w:t>
      </w:r>
    </w:p>
    <w:p w14:paraId="71D3EE14" w14:textId="77777777" w:rsidR="00670FD4" w:rsidRDefault="00670FD4" w:rsidP="00670FD4">
      <w:pPr>
        <w:pBdr>
          <w:top w:val="nil"/>
          <w:left w:val="nil"/>
          <w:bottom w:val="nil"/>
          <w:right w:val="nil"/>
          <w:between w:val="nil"/>
        </w:pBdr>
        <w:spacing w:before="0"/>
        <w:rPr>
          <w:rFonts w:eastAsia="Times New Roman" w:cs="Times New Roman"/>
          <w:b/>
          <w:i/>
        </w:rPr>
      </w:pPr>
      <w:r>
        <w:rPr>
          <w:rFonts w:eastAsia="Times New Roman" w:cs="Times New Roman"/>
          <w:b/>
          <w:i/>
        </w:rPr>
        <w:t>M7.1 Stimularea întreprinderilor care obțin eticheta ecologică pentru activitatea de cazare turistică</w:t>
      </w:r>
    </w:p>
    <w:p w14:paraId="6A6163EF"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Măsura se adresează antreprenorilor locali deținători de structuri de primire turistică având funcțiuni de cazare turistică și care sunt conștienți de importanța oferirii de servicii turistice mai prietenoase cu mediul, contribuind astfel la dezvoltarea durabilă a zonei costiere.</w:t>
      </w:r>
    </w:p>
    <w:p w14:paraId="3543AC9B"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Eticheta ecologică (Ecolabel) este eticheta voluntară oficială a Uniunii Europene pentru excelență privind mediul, care îndrumă consumatorii către produse și servicii durabile, printre care și serviciile de cazare turistică. Întreprinderile din turism primesc această distincție în baza investițiilor realizate, astfel încât să îndeplinească toate criteriile și care să ducă la economisirea apei și energiei, reducerea deșeurilor generate și de ameliorare a mediului, aliniindu-se astfel obiectivelor Strategiei Naționale a României pentru Dezvoltarea Turismului 2023-2035 și Strategiei Naționale pentru Dezvoltarea Durabilă a României 2030 (SNDDR).</w:t>
      </w:r>
    </w:p>
    <w:p w14:paraId="0041758D"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Implementarea acestei măsuri va fi realizată de către MEAT și MMAP, finanțarea fiind asigurată de la bugetul propriu al MEAT, fie accesând programe europene, precum PNRR, INTERREG EUROPE 2021-2027, Programul Regional Sud-Est, etc.</w:t>
      </w:r>
    </w:p>
    <w:p w14:paraId="6A476163" w14:textId="77777777" w:rsidR="00670FD4" w:rsidRDefault="00670FD4" w:rsidP="00670FD4">
      <w:pPr>
        <w:pBdr>
          <w:top w:val="nil"/>
          <w:left w:val="nil"/>
          <w:bottom w:val="nil"/>
          <w:right w:val="nil"/>
          <w:between w:val="nil"/>
        </w:pBdr>
        <w:spacing w:before="0"/>
        <w:rPr>
          <w:rFonts w:eastAsia="Times New Roman" w:cs="Times New Roman"/>
          <w:b/>
          <w:i/>
        </w:rPr>
      </w:pPr>
      <w:r>
        <w:rPr>
          <w:rFonts w:eastAsia="Times New Roman" w:cs="Times New Roman"/>
          <w:b/>
          <w:i/>
        </w:rPr>
        <w:t>M7.2 Program de stimulare a operatorilor de plaje și de porturi de agrement care reușesc să obțină distincția Blue Flag</w:t>
      </w:r>
    </w:p>
    <w:p w14:paraId="4F6FF186"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Măsura se adresează antreprenorilor locali care au obținut prin licitație publică dreptul de exploatare a unor zone de plaje, pe o perioadă de timp, conform contractului, precum și administratorilor de porturi de agrement.</w:t>
      </w:r>
    </w:p>
    <w:p w14:paraId="149192C0"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 xml:space="preserve">„Blue Flag” se numără printre cele mai recunoscute etichete ecologice voluntare din lume, acordate plajelor, porturilor turistice și navelor de agrement turistic. Printre avantajele programului se numără: deţinerea unui simbol ecologic (etichetă ecologică), vizibil şi recunoscut la nivel internaţional; posibilitatea utilizării acestui simbol pentru promovare la nivel local, naţional şi internaţional a plajei; atragerea turiștilor străini care caută, cu predilecție, aceste plaje, „Blue Flag”. La nivelul anului 2023, la litoralul românesc sunt doar 6 astfel de </w:t>
      </w:r>
      <w:r>
        <w:rPr>
          <w:rFonts w:eastAsia="Times New Roman" w:cs="Times New Roman"/>
        </w:rPr>
        <w:lastRenderedPageBreak/>
        <w:t>plaje și nici un port de agrement, dar prin implementarea măsurii se urmărește creșterea numărului lor.</w:t>
      </w:r>
    </w:p>
    <w:p w14:paraId="2FB786E6"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Implementarea acestei măsuri va fi realizată de către MMAP și MEAT, finanțarea fiind asigurată de la bugetele proprii ale MMAP și MEAT, fie accesând programe europene, precum PNRR, INTERREG EUROPE 2021-2027, Programul Regional Sud-Est, etc.</w:t>
      </w:r>
    </w:p>
    <w:p w14:paraId="2EBEF368" w14:textId="77777777" w:rsidR="00670FD4" w:rsidRDefault="00670FD4" w:rsidP="00670FD4">
      <w:pPr>
        <w:pBdr>
          <w:top w:val="nil"/>
          <w:left w:val="nil"/>
          <w:bottom w:val="nil"/>
          <w:right w:val="nil"/>
          <w:between w:val="nil"/>
        </w:pBdr>
        <w:spacing w:before="0"/>
        <w:rPr>
          <w:rFonts w:eastAsia="Times New Roman" w:cs="Times New Roman"/>
          <w:b/>
          <w:i/>
        </w:rPr>
      </w:pPr>
      <w:r>
        <w:rPr>
          <w:rFonts w:eastAsia="Times New Roman" w:cs="Times New Roman"/>
          <w:b/>
          <w:i/>
        </w:rPr>
        <w:t>M7.3 Inițierea și implementarea unui program de dezvoltare a turismului subacvatic</w:t>
      </w:r>
    </w:p>
    <w:p w14:paraId="6E8CAC0E"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Protejarea și conservarea patrimoniului cultural subacvatic reprezintă o prioritate pentru managementul zonei costiere. Promovarea și dezvoltarea turismului subacvatic în zona costieră românească (cu precădere în sudul zonei costiere), pe lângă o diversificare a ofertei turistice, poate asigura și o creștere a gradului de protecției patrimoniului cultural subacvatic, precum și a celui natural (habitate marine) în condițiile unei reglementări optime a cadrului legislativ referitor la acest tip de activitate turistică.</w:t>
      </w:r>
    </w:p>
    <w:p w14:paraId="25B175AC"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 xml:space="preserve">Măsura propusă, complementară măsurii M2.3 Inventarierea, cercetarea și punerea în valoare a patrimoniului cultural subacvatic, este în concordanță cu obiectivele Planului de Amenajare a Spațiului Maritim și va fi implementată de către MC, MEAT, Organizația de Management a Destinației Mamaia-Constanța, MCID (prin INCD GeoEcoMar), MMAP și MApN (prin Centrul de Scafandri). Bugetul necesar implementării acestei măsuri va fi asigurat din fonduri proprii ale MC și </w:t>
      </w:r>
      <w:r w:rsidRPr="003C4FA1">
        <w:rPr>
          <w:rFonts w:eastAsia="Times New Roman" w:cs="Times New Roman"/>
        </w:rPr>
        <w:t>Organizația de Management a Destinației Mamaia-Constanța</w:t>
      </w:r>
      <w:r>
        <w:rPr>
          <w:rFonts w:eastAsia="Times New Roman" w:cs="Times New Roman"/>
        </w:rPr>
        <w:t xml:space="preserve"> (parteniriate public-private), precum și prin accesarea programelor europene (Horizon Europe, Programul Regional Sud-Est, Programul Educație și Ocupare) și naționale (PNCDI IV,</w:t>
      </w:r>
      <w:r>
        <w:t xml:space="preserve"> </w:t>
      </w:r>
      <w:r>
        <w:rPr>
          <w:rFonts w:eastAsia="Times New Roman" w:cs="Times New Roman"/>
        </w:rPr>
        <w:t>Program vizând educaţia şi conştientizarea publicului privind protecţia mediului).</w:t>
      </w:r>
    </w:p>
    <w:p w14:paraId="23FC0035" w14:textId="77777777" w:rsidR="00670FD4" w:rsidRDefault="00670FD4" w:rsidP="00670FD4">
      <w:pPr>
        <w:pBdr>
          <w:top w:val="nil"/>
          <w:left w:val="nil"/>
          <w:bottom w:val="nil"/>
          <w:right w:val="nil"/>
          <w:between w:val="nil"/>
        </w:pBdr>
        <w:spacing w:before="0"/>
        <w:rPr>
          <w:rFonts w:eastAsia="Times New Roman" w:cs="Times New Roman"/>
          <w:b/>
          <w:i/>
        </w:rPr>
      </w:pPr>
      <w:r>
        <w:rPr>
          <w:rFonts w:eastAsia="Times New Roman" w:cs="Times New Roman"/>
          <w:b/>
          <w:i/>
        </w:rPr>
        <w:t>M7.4 Reabilitarea stocurilor de pești cu valoare comercială, încurajarea și susținerea implementării procedurilor/tehnicilor și tehnologiilor de pescuit sustenabil prin acordarea de stimulente</w:t>
      </w:r>
    </w:p>
    <w:p w14:paraId="15A0B7FD"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Reabilitarea/refacerea stocurilor de pești cu valoare ecologică și economică, dintre care unele aflate în prezent într-o stare de conservare precară (sturionii, calcanul, scrumbia, etc.), este o prioritate de nivel regional. Implementarea acestei măsuri este în concordanță cu Strategia Națională de Pescuit și Acvacultura 2020 - 2027, care recomandă dirijarea fondurilor alocate și liniile de acţiuni/măsuri de intervenţie a statului.</w:t>
      </w:r>
    </w:p>
    <w:p w14:paraId="51BF2A5E"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 xml:space="preserve">Implementarea măsurii se va realiza de către MADR (ANPA), cu sprijinul MCID (INCDM Grigore Antipa și INCDDD). Finanțarea necesară implementării acestei măsuri va fi asigurată prin accesarea Programului de Pescuit și Acvacultură 2021-2027, precum și a PNCDI IV. </w:t>
      </w:r>
    </w:p>
    <w:p w14:paraId="2DC9409A" w14:textId="77777777" w:rsidR="00670FD4" w:rsidRDefault="00670FD4" w:rsidP="00670FD4">
      <w:pPr>
        <w:pBdr>
          <w:top w:val="nil"/>
          <w:left w:val="nil"/>
          <w:bottom w:val="nil"/>
          <w:right w:val="nil"/>
          <w:between w:val="nil"/>
        </w:pBdr>
        <w:spacing w:before="0"/>
        <w:rPr>
          <w:rFonts w:eastAsia="Times New Roman" w:cs="Times New Roman"/>
          <w:b/>
          <w:i/>
        </w:rPr>
      </w:pPr>
      <w:r>
        <w:rPr>
          <w:rFonts w:eastAsia="Times New Roman" w:cs="Times New Roman"/>
          <w:b/>
          <w:i/>
        </w:rPr>
        <w:t>M7.5 Dezvoltarea infrastructurii pescărești și utilizarea de mijloace de pescuit prietenoase cu mediul pentru evitarea deteriorării substratului marin și diminuarea presiunii asupra mediului</w:t>
      </w:r>
    </w:p>
    <w:p w14:paraId="1CC00F5E"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 xml:space="preserve">Măsura, vizând îmbunătățirea infrastructurii pescărești în vederea practicării unui pescuit sustenabil, este în concordanță cu obiectivele Strategiei Naționale de Pescuit și Acvacultură 2020 - 2027. Implementarea acestei măsuri va fi realizată de către MADR (prin ANPA), cu </w:t>
      </w:r>
      <w:r>
        <w:rPr>
          <w:rFonts w:eastAsia="Times New Roman" w:cs="Times New Roman"/>
        </w:rPr>
        <w:lastRenderedPageBreak/>
        <w:t>sprijinul MCID (INCDM Grigore Antipa și INCDDD). Finanțarea implementării măsuri va fi asigurată, preponderent, prin accesarea Programului pentru Pescuit și Acvacultură 2021-2027.</w:t>
      </w:r>
    </w:p>
    <w:p w14:paraId="0F1A3E33" w14:textId="77777777" w:rsidR="00670FD4" w:rsidRDefault="00670FD4" w:rsidP="00670FD4">
      <w:pPr>
        <w:pBdr>
          <w:top w:val="nil"/>
          <w:left w:val="nil"/>
          <w:bottom w:val="nil"/>
          <w:right w:val="nil"/>
          <w:between w:val="nil"/>
        </w:pBdr>
        <w:spacing w:before="0"/>
        <w:rPr>
          <w:rFonts w:eastAsia="Times New Roman" w:cs="Times New Roman"/>
          <w:b/>
          <w:i/>
        </w:rPr>
      </w:pPr>
      <w:r>
        <w:rPr>
          <w:rFonts w:eastAsia="Times New Roman" w:cs="Times New Roman"/>
          <w:b/>
          <w:i/>
        </w:rPr>
        <w:t>M7.6 Dezvoltarea acvaculturii costiere (marine, terestre) prietenoase cu mediul</w:t>
      </w:r>
    </w:p>
    <w:p w14:paraId="7CD0F514"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Implementarea acestei acțiuni va conduce la o planificare adecvată a activităților și locațiilor pentru acvacultură în raport cu alte utilizări ale spațiului maritim aferent zonei costiere, precum și la îmbunătățirea sistemului de trasabilitate în vederea asigurării calității produselor obținute.</w:t>
      </w:r>
    </w:p>
    <w:p w14:paraId="7756F633"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 xml:space="preserve">Implementarea măsurii va fi realizată de către MADR (ANPA), MMAP (prin ARBDD) și MCID (INCDM Grigore Antipa, INCDDD și INCD GeoecoMar). Finanțarea implementării măsurii va fi asigurată prin accesarea Programului pentru Pescuit și Acvacultură 2021- 2027, Programul Piață Unică, Programului Regional Sud-Est, precum și a PNCDI IV (pentru activități de cercetare inovare). </w:t>
      </w:r>
    </w:p>
    <w:p w14:paraId="5E2FFF22" w14:textId="77777777" w:rsidR="00670FD4" w:rsidRDefault="00670FD4" w:rsidP="00670FD4">
      <w:pPr>
        <w:pBdr>
          <w:top w:val="nil"/>
          <w:left w:val="nil"/>
          <w:bottom w:val="nil"/>
          <w:right w:val="nil"/>
          <w:between w:val="nil"/>
        </w:pBdr>
        <w:spacing w:before="0"/>
        <w:rPr>
          <w:rFonts w:eastAsia="Times New Roman" w:cs="Times New Roman"/>
          <w:b/>
          <w:i/>
        </w:rPr>
      </w:pPr>
      <w:r>
        <w:rPr>
          <w:rFonts w:eastAsia="Times New Roman" w:cs="Times New Roman"/>
          <w:b/>
          <w:i/>
        </w:rPr>
        <w:t>M7.7 Reabilitarea activităților tradiționale și valorificarea resursei stuficole din Delta Dunării</w:t>
      </w:r>
    </w:p>
    <w:p w14:paraId="725B97E3"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Stuful reprezintă o resursă naturală foarte importantă a Deltei Dunării, cu potențial ridicat de valorificare atât în scop comercial, cât și gospodăresc. Suprafața acoperită de stuf în Delta Dunării este de circa 173.000 ha, din aceasta, doar circa 10-20% este exploatată în scop economic (ARBDD, 2022).</w:t>
      </w:r>
    </w:p>
    <w:p w14:paraId="3EDEC5D1"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 xml:space="preserve">Pentru prevenirea fenomenului de “îmbătrânire“ a stufăriilor, ca urmare a dezvoltării mai multor generații de suf în aceeași zonă, cu consecințe negative asupra habitatelor naturale sunt necesare promovarea unor metode variate de valorificare, atât ca biomasă, cât și ca material de construcție tradițional. </w:t>
      </w:r>
    </w:p>
    <w:p w14:paraId="0357C190"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Instituția responsabilă pentru implementarea acestei măsuri este MMAP (ARBDD), dar o contribuție semnificativă o pot avea și MCID (INCDDD) și ME (universități). Finanțarea implementării acestei măsuri va fi asigurată atât din fonduri proprii ale MMAP (ARBDD), cât și prin accesarea programelor europene Regional Sud-Est, Educație și Ocupare, PNRR și parteneriate public-privat.</w:t>
      </w:r>
    </w:p>
    <w:p w14:paraId="58A97499" w14:textId="77777777" w:rsidR="00670FD4" w:rsidRDefault="00670FD4" w:rsidP="00670FD4">
      <w:pPr>
        <w:pBdr>
          <w:top w:val="nil"/>
          <w:left w:val="nil"/>
          <w:bottom w:val="nil"/>
          <w:right w:val="nil"/>
          <w:between w:val="nil"/>
        </w:pBdr>
        <w:spacing w:before="0"/>
        <w:rPr>
          <w:rFonts w:eastAsia="Times New Roman" w:cs="Times New Roman"/>
          <w:b/>
          <w:i/>
        </w:rPr>
      </w:pPr>
      <w:r>
        <w:rPr>
          <w:rFonts w:eastAsia="Times New Roman" w:cs="Times New Roman"/>
          <w:b/>
          <w:i/>
        </w:rPr>
        <w:t>M7.8 Aplicarea de către producătorii locali a noilor politici agricole</w:t>
      </w:r>
    </w:p>
    <w:p w14:paraId="77EAEFC4"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Prin utilizarea tehnologiilor de ultimă generație, activitățile agricole din zona costieră pot reprezenta un model de bune practici privind sustenabilitatea, model ce va putea fi extrapolat la o scara mai mare. Agricultura regenerativă, adoptarea tehnologiilor propuse de agricultura de precizie, susținerea comunităților de fermieri din zona țintă în obținerea unor produse care să satisfacă standardele cele mai înalte privind calitatea și cantitatea necesară pentru acoperirea cererilor la nivel local și regional, sunt elemente esențiale pentru dezvoltarea durabilă a zonei de coastă.</w:t>
      </w:r>
    </w:p>
    <w:p w14:paraId="0AFD1869"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 xml:space="preserve">Implementarea acestei măsuri va fi realizată de către MADR, dar o contribuție însemnată o pot avea și MCID (prin institutele naționale de cercetare-dezvoltare) și ME (prin universități). Finanțarea implementării măsurii va fi asigurată prin accesarea programelor europene Programul pentru Promovarea Produselor Agricole (AGRIP), Programul Piață Unică, Planul </w:t>
      </w:r>
      <w:r>
        <w:rPr>
          <w:rFonts w:eastAsia="Times New Roman" w:cs="Times New Roman"/>
        </w:rPr>
        <w:lastRenderedPageBreak/>
        <w:t xml:space="preserve">strategic al Politicii Agricole Comune (PAC), Programul Regional Sud-Est, Horizon Europe și programului național PNCDI IV. </w:t>
      </w:r>
    </w:p>
    <w:p w14:paraId="2A9E1E55" w14:textId="77777777" w:rsidR="00670FD4" w:rsidRDefault="00670FD4" w:rsidP="00670FD4">
      <w:pPr>
        <w:pBdr>
          <w:top w:val="nil"/>
          <w:left w:val="nil"/>
          <w:bottom w:val="nil"/>
          <w:right w:val="nil"/>
          <w:between w:val="nil"/>
        </w:pBdr>
        <w:spacing w:before="0"/>
        <w:rPr>
          <w:rFonts w:eastAsia="Times New Roman" w:cs="Times New Roman"/>
          <w:b/>
          <w:i/>
        </w:rPr>
      </w:pPr>
      <w:r>
        <w:rPr>
          <w:rFonts w:eastAsia="Times New Roman" w:cs="Times New Roman"/>
          <w:b/>
          <w:i/>
        </w:rPr>
        <w:t>M7.9 Implementarea proiectelor de transport fluvial verde în Delta Dunării</w:t>
      </w:r>
    </w:p>
    <w:p w14:paraId="0EFE6079"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Transportul fluvial, principala formă de transport în Delta Dunării, determină o presiune semnificativă asupra ecosistemului deltaic, în mare parte ca urmare a unei flote de ambarcațiuni învechită, uzată folosită pentru transportul de persoane, marfă, precum și în activități de agrement. În vederea reducerii poluării atmosferice, a apelor de suprafață (scurgeri de combustibil) și a poluării fonice, apare necesară orientarea către un transport verde, bazat pe surse neconvenționale de energie.</w:t>
      </w:r>
    </w:p>
    <w:p w14:paraId="4FC7C145"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Această măsură va fi implementată de către MMAP (ARBDD) și MT, iar bugetul necesar va fi asigurat din fonduri proprii ale celor două instituții (MT și MMAP), prin accesarea programelor Regional Sud-Est și PNRR și/sau parteneriate public-private.</w:t>
      </w:r>
    </w:p>
    <w:p w14:paraId="3D4E6090" w14:textId="77777777" w:rsidR="00670FD4" w:rsidRDefault="00670FD4" w:rsidP="00670FD4">
      <w:pPr>
        <w:pBdr>
          <w:top w:val="nil"/>
          <w:left w:val="nil"/>
          <w:bottom w:val="nil"/>
          <w:right w:val="nil"/>
          <w:between w:val="nil"/>
        </w:pBdr>
        <w:spacing w:before="0"/>
        <w:rPr>
          <w:rFonts w:eastAsia="Times New Roman" w:cs="Times New Roman"/>
          <w:b/>
          <w:i/>
        </w:rPr>
      </w:pPr>
      <w:r>
        <w:rPr>
          <w:rFonts w:eastAsia="Times New Roman" w:cs="Times New Roman"/>
          <w:b/>
          <w:i/>
        </w:rPr>
        <w:t>M7.10 Dezvoltarea porturilor “verzi” la litoralul românesc al Mării Negre</w:t>
      </w:r>
    </w:p>
    <w:p w14:paraId="02DB4EC1"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Transportul maritim și activitățile portuare, două sectoare economice foarte importante pentru dezvoltarea zonei costiere, contribuie major la emisiile de poluanți atmosferici și, implicit la poluarea apelor costiere și a solului. Implementarea acestei acțiuni presupune dezvoltarea infrastructurii verzi în porturile maritime (perdele forestiere, instalații portuare ce folosesc energie alternativă, instalații de tratare și reciclare a deșeurilor de la nave sau rezultate din activități portuare, etc.) și este în concordanță cu măsurile prevăzute în noul Master Plan al portului Constanța.</w:t>
      </w:r>
    </w:p>
    <w:p w14:paraId="3268FECE"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Implementarea acestei măsuri va fi asigurată de către CN APM, dar o contribuție semnificativă o vor avea și MCID, ME și MMAP. Fondurile necesare implementării măsurii vor fi asigurate din bugetul CN APM și / sau accesând programele europene PNRR,</w:t>
      </w:r>
      <w:r>
        <w:t xml:space="preserve"> </w:t>
      </w:r>
      <w:r>
        <w:rPr>
          <w:rFonts w:eastAsia="Times New Roman" w:cs="Times New Roman"/>
        </w:rPr>
        <w:t>Programul (Interreg VI-B) NEXT Bazinul Mării Negre  și Programul INTERREG EUROPE 2021-2027.</w:t>
      </w:r>
    </w:p>
    <w:p w14:paraId="010403A0" w14:textId="77777777" w:rsidR="00670FD4" w:rsidRDefault="00670FD4" w:rsidP="00670FD4">
      <w:pPr>
        <w:pBdr>
          <w:top w:val="nil"/>
          <w:left w:val="nil"/>
          <w:bottom w:val="nil"/>
          <w:right w:val="nil"/>
          <w:between w:val="nil"/>
        </w:pBdr>
        <w:spacing w:before="0"/>
        <w:rPr>
          <w:rFonts w:eastAsia="Times New Roman" w:cs="Times New Roman"/>
        </w:rPr>
      </w:pPr>
      <w:r>
        <w:rPr>
          <w:rFonts w:eastAsia="Times New Roman" w:cs="Times New Roman"/>
          <w:b/>
          <w:i/>
        </w:rPr>
        <w:t>M7.11</w:t>
      </w:r>
      <w:r>
        <w:rPr>
          <w:rFonts w:eastAsia="Times New Roman" w:cs="Times New Roman"/>
        </w:rPr>
        <w:t xml:space="preserve"> </w:t>
      </w:r>
      <w:r>
        <w:rPr>
          <w:rFonts w:eastAsia="Times New Roman" w:cs="Times New Roman"/>
          <w:b/>
          <w:i/>
        </w:rPr>
        <w:t>Evaluarea potențialului de valorificare a resurselor energetice regenerabile din zonă: energia eoliană, “inshore” și „offshore”, energia valurilor, fotovoltaică, etc.</w:t>
      </w:r>
    </w:p>
    <w:p w14:paraId="120BD2FD" w14:textId="77777777" w:rsidR="00670FD4" w:rsidRPr="001E1E15" w:rsidRDefault="00670FD4" w:rsidP="00670FD4">
      <w:pPr>
        <w:pBdr>
          <w:top w:val="nil"/>
          <w:left w:val="nil"/>
          <w:bottom w:val="nil"/>
          <w:right w:val="nil"/>
          <w:between w:val="nil"/>
        </w:pBdr>
        <w:spacing w:before="0"/>
        <w:ind w:firstLine="567"/>
        <w:rPr>
          <w:rFonts w:eastAsia="Times New Roman" w:cs="Times New Roman"/>
          <w:lang w:val="ro-RO"/>
        </w:rPr>
      </w:pPr>
      <w:r>
        <w:rPr>
          <w:rFonts w:eastAsia="Times New Roman" w:cs="Times New Roman"/>
        </w:rPr>
        <w:t>Implementarea acestei măsuri vine în sprijinul îndeplinirii obiectivelor Planului Național Integrat în domeniul Energiei și Schimbărilor Climatice (PNIESC) 2021-2030 și Strategiei Naționale pentru Dezvoltarea Durabilă a României 2030 (SNDDR). Aceast</w:t>
      </w:r>
      <w:r>
        <w:rPr>
          <w:rFonts w:eastAsia="Times New Roman" w:cs="Times New Roman"/>
          <w:lang w:val="ro-RO"/>
        </w:rPr>
        <w:t>ă măsură este sinergică cu direcțiile de acțiune / măsuri cuprinse în Planul de Amenajare a Spațiului Maritim, referitor la obiectivul specific „</w:t>
      </w:r>
      <w:r w:rsidRPr="001E1E15">
        <w:rPr>
          <w:rFonts w:eastAsia="Times New Roman" w:cs="Times New Roman"/>
          <w:lang w:val="ro-RO"/>
        </w:rPr>
        <w:t>Dezvoltarea cadrului legislativ şi de</w:t>
      </w:r>
      <w:r>
        <w:rPr>
          <w:rFonts w:eastAsia="Times New Roman" w:cs="Times New Roman"/>
          <w:lang w:val="ro-RO"/>
        </w:rPr>
        <w:t xml:space="preserve"> </w:t>
      </w:r>
      <w:r w:rsidRPr="001E1E15">
        <w:rPr>
          <w:rFonts w:eastAsia="Times New Roman" w:cs="Times New Roman"/>
          <w:lang w:val="ro-RO"/>
        </w:rPr>
        <w:t>reglementare în domeniul surselor</w:t>
      </w:r>
      <w:r>
        <w:rPr>
          <w:rFonts w:eastAsia="Times New Roman" w:cs="Times New Roman"/>
          <w:lang w:val="ro-RO"/>
        </w:rPr>
        <w:t xml:space="preserve"> </w:t>
      </w:r>
      <w:r w:rsidRPr="001E1E15">
        <w:rPr>
          <w:rFonts w:eastAsia="Times New Roman" w:cs="Times New Roman"/>
          <w:lang w:val="ro-RO"/>
        </w:rPr>
        <w:t>regenerabile offshore</w:t>
      </w:r>
      <w:r>
        <w:rPr>
          <w:rFonts w:eastAsia="Times New Roman" w:cs="Times New Roman"/>
          <w:lang w:val="ro-RO"/>
        </w:rPr>
        <w:t>”.</w:t>
      </w:r>
    </w:p>
    <w:p w14:paraId="6AAA00C9"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Principala instituție responsabilă pentru implementarea acestei măsuri este Ministerul Energiei, cu sprijinul MCID (institute naționale de cercetare-dezvoltare) și ME (departamentele de cercetare ale universităților). Finanțarea implementării acestei măsuri va fi asigurată atât din fonduri proprii ale Ministrerului Energiei și parteneriate public-privat, cât și prin accesare programelor europene PNRR, Programul INTERREG EUROPE 2021-2027, Programul de Dezvoltare Durabilă,</w:t>
      </w:r>
      <w:r>
        <w:t xml:space="preserve"> </w:t>
      </w:r>
      <w:r>
        <w:rPr>
          <w:rFonts w:eastAsia="Times New Roman" w:cs="Times New Roman"/>
        </w:rPr>
        <w:t>REPowerEU și Horizon Europe.</w:t>
      </w:r>
      <w:r>
        <w:rPr>
          <w:rFonts w:eastAsia="Times New Roman" w:cs="Times New Roman"/>
          <w:i/>
        </w:rPr>
        <w:t xml:space="preserve"> </w:t>
      </w:r>
    </w:p>
    <w:p w14:paraId="16ED124D" w14:textId="77777777" w:rsidR="00670FD4" w:rsidRDefault="00670FD4" w:rsidP="00670FD4">
      <w:pPr>
        <w:pBdr>
          <w:top w:val="nil"/>
          <w:left w:val="nil"/>
          <w:bottom w:val="nil"/>
          <w:right w:val="nil"/>
          <w:between w:val="nil"/>
        </w:pBdr>
        <w:spacing w:before="0"/>
        <w:rPr>
          <w:rFonts w:eastAsia="Times New Roman" w:cs="Times New Roman"/>
          <w:b/>
          <w:i/>
        </w:rPr>
      </w:pPr>
      <w:r>
        <w:rPr>
          <w:rFonts w:eastAsia="Times New Roman" w:cs="Times New Roman"/>
          <w:b/>
          <w:i/>
        </w:rPr>
        <w:lastRenderedPageBreak/>
        <w:t>M7.12 Susținerea și dezvoltarea de noi instrumente (centre de excelență, proiecte pilot, servicii de extensie oferite de către universități, etc) pentru transferul cunoștințelor din cercetare spre business în sectoarele Economiei Albastre</w:t>
      </w:r>
    </w:p>
    <w:p w14:paraId="1FE3C5BA"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Intensificarea cercetării vizând sectoarele emergente ale Economiei Albastre a devenit, în ultimii ani, o prioritate la nivel național, având în vedere poziția codașă la nivelul UE a României în ceea ce privește contribuția Economiei Albastre la dezvoltarea economică a țării. Implementarea acestei măsuri vizează asigurarea unor instrumente de finanțare a cercetării în domeniile emergente ale Economiei Albastre (ex. acvacultura IMTA - Integrated multitrophic aquaculture - în sistem circular; diversificarea resurselor alimentare din surse marine sau agricole prin utilizarea biotehnologiilor, etc.), cât și dezvoltarea unor mecanisme de transfer tehnologic de la cercetare către business.</w:t>
      </w:r>
    </w:p>
    <w:p w14:paraId="00253B6E"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Organizația responsabilă pentru implementarea acestei măsuri este MCID (prin institutele de naționale de cercetare-dezvoltare), Academia Română, precum și ME (prin departamentele de cercetare din cadrul universităților). Principalele surse de finanțare pentru implementarea acestei măsuri sunt programul național PNCDI IV și cel european Programul Creștere Inteligentă, Digitalizare și Instrumente Financiare.</w:t>
      </w:r>
    </w:p>
    <w:p w14:paraId="2F6589AF" w14:textId="77777777" w:rsidR="00670FD4" w:rsidRDefault="00670FD4" w:rsidP="00670FD4">
      <w:pPr>
        <w:spacing w:before="0"/>
        <w:rPr>
          <w:rFonts w:eastAsia="Times New Roman" w:cs="Times New Roman"/>
        </w:rPr>
      </w:pPr>
      <w:r>
        <w:rPr>
          <w:rFonts w:eastAsia="Times New Roman" w:cs="Times New Roman"/>
          <w:b/>
          <w:i/>
          <w:color w:val="000000"/>
        </w:rPr>
        <w:t>M7.13</w:t>
      </w:r>
      <w:r>
        <w:rPr>
          <w:rFonts w:eastAsia="Times New Roman" w:cs="Times New Roman"/>
          <w:color w:val="000000"/>
        </w:rPr>
        <w:t xml:space="preserve"> </w:t>
      </w:r>
      <w:r>
        <w:rPr>
          <w:rFonts w:eastAsia="Times New Roman" w:cs="Times New Roman"/>
          <w:b/>
          <w:i/>
          <w:color w:val="000000"/>
        </w:rPr>
        <w:t>Consolidarea infrastructurii antreprenoriale locale</w:t>
      </w:r>
    </w:p>
    <w:p w14:paraId="655FC42F" w14:textId="77777777" w:rsidR="00670FD4" w:rsidRDefault="00670FD4" w:rsidP="00670FD4">
      <w:pPr>
        <w:spacing w:before="0"/>
        <w:ind w:firstLine="540"/>
        <w:rPr>
          <w:rFonts w:eastAsia="Times New Roman" w:cs="Times New Roman"/>
        </w:rPr>
      </w:pPr>
      <w:r>
        <w:rPr>
          <w:rFonts w:eastAsia="Times New Roman" w:cs="Times New Roman"/>
          <w:color w:val="000000"/>
        </w:rPr>
        <w:t>Măsura se adresează antreprenorilor locali și urmărește consolidarea capacității acestora de a propune, iniția și implementa proiecte inovative, verzi / albastre, care să contribuie la dezvoltarea durabilă a zonei costiere.</w:t>
      </w:r>
    </w:p>
    <w:p w14:paraId="25F61D7C" w14:textId="77777777" w:rsidR="00670FD4" w:rsidRDefault="00670FD4" w:rsidP="00670FD4">
      <w:pPr>
        <w:spacing w:before="0"/>
        <w:ind w:firstLine="540"/>
        <w:rPr>
          <w:rFonts w:eastAsia="Times New Roman" w:cs="Times New Roman"/>
          <w:color w:val="000000"/>
        </w:rPr>
      </w:pPr>
      <w:r>
        <w:rPr>
          <w:rFonts w:eastAsia="Times New Roman" w:cs="Times New Roman"/>
          <w:color w:val="000000"/>
        </w:rPr>
        <w:t>Instituția responsabilă pentru implementarea acestei măsuri este MEAT, iar finanțarea este asigurată fie din bugetul propriu al MEAT, fie accesând programelor europene Educație și Formare, InvestEU, INTERREG EUROPE 2021-2027, etc.</w:t>
      </w:r>
    </w:p>
    <w:p w14:paraId="6DD5F2CA" w14:textId="77777777" w:rsidR="00670FD4" w:rsidRDefault="00670FD4" w:rsidP="00670FD4">
      <w:pPr>
        <w:spacing w:before="0"/>
        <w:ind w:firstLine="540"/>
        <w:rPr>
          <w:rFonts w:eastAsia="Times New Roman" w:cs="Times New Roman"/>
        </w:rPr>
      </w:pPr>
    </w:p>
    <w:p w14:paraId="43D019EE" w14:textId="77777777" w:rsidR="00670FD4" w:rsidRDefault="00670FD4" w:rsidP="00670FD4">
      <w:pPr>
        <w:pBdr>
          <w:top w:val="nil"/>
          <w:left w:val="nil"/>
          <w:bottom w:val="nil"/>
          <w:right w:val="nil"/>
          <w:between w:val="nil"/>
        </w:pBdr>
        <w:spacing w:before="0"/>
        <w:rPr>
          <w:rFonts w:eastAsia="Times New Roman" w:cs="Times New Roman"/>
          <w:b/>
        </w:rPr>
      </w:pPr>
      <w:r>
        <w:rPr>
          <w:rFonts w:eastAsia="Times New Roman" w:cs="Times New Roman"/>
          <w:b/>
        </w:rPr>
        <w:t xml:space="preserve">M8. Măsuri vizând planificarea spațială în zona costieră </w:t>
      </w:r>
    </w:p>
    <w:p w14:paraId="217FA4B1" w14:textId="77777777" w:rsidR="00670FD4" w:rsidRDefault="00670FD4" w:rsidP="00670FD4">
      <w:pPr>
        <w:pBdr>
          <w:top w:val="nil"/>
          <w:left w:val="nil"/>
          <w:bottom w:val="nil"/>
          <w:right w:val="nil"/>
          <w:between w:val="nil"/>
        </w:pBdr>
        <w:spacing w:before="0"/>
        <w:rPr>
          <w:rFonts w:eastAsia="Times New Roman" w:cs="Times New Roman"/>
          <w:b/>
          <w:i/>
        </w:rPr>
      </w:pPr>
      <w:r>
        <w:rPr>
          <w:rFonts w:eastAsia="Times New Roman" w:cs="Times New Roman"/>
          <w:b/>
          <w:i/>
        </w:rPr>
        <w:t>M8.1 Crearea unui cadru coerent, integrat și sinergic de planificare spațială specific pentru teritoriul transfrontalier și regional</w:t>
      </w:r>
    </w:p>
    <w:p w14:paraId="38DDDCFD"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Implementarea acestei măsuri presupune, într-o primă fază, elaborarea / actualizarea metodologiei de elaborare a planurilor de amenajare a teritoriului zonal transfrontalier și interjudețean, iar pe baza acesteia, inițierea și elaborarea de strategii și planuri de dezvoltare spațială în zonele transfrontaliere și în zona costieră a Mării Negre.</w:t>
      </w:r>
    </w:p>
    <w:p w14:paraId="3273A2B6"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 xml:space="preserve">Instituțiile responsabile pentru implementarea măsurii sunt MDLPA, autoritățile locale și MAE, iar bugetul necesar va fi asigurat din fonduri proprii și / sau prin accesarea programelor europene INTERREG EUROPE 2021-2027, ESPON 2030 și Interreg Interact IV 2021-2027. </w:t>
      </w:r>
    </w:p>
    <w:p w14:paraId="193600ED" w14:textId="77777777" w:rsidR="00670FD4" w:rsidRDefault="00670FD4" w:rsidP="00670FD4">
      <w:pPr>
        <w:pBdr>
          <w:top w:val="nil"/>
          <w:left w:val="nil"/>
          <w:bottom w:val="nil"/>
          <w:right w:val="nil"/>
          <w:between w:val="nil"/>
        </w:pBdr>
        <w:spacing w:before="0"/>
        <w:rPr>
          <w:rFonts w:eastAsia="Times New Roman" w:cs="Times New Roman"/>
          <w:b/>
          <w:i/>
        </w:rPr>
      </w:pPr>
      <w:r>
        <w:rPr>
          <w:rFonts w:eastAsia="Times New Roman" w:cs="Times New Roman"/>
          <w:b/>
          <w:i/>
        </w:rPr>
        <w:t>M.8.2 Crearea unui cadru coerent și integrat de planificare spațială la nivel zonal și local</w:t>
      </w:r>
    </w:p>
    <w:p w14:paraId="47CE51A6"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 xml:space="preserve">Instituțiile responsabile pentru implementarea acestei măsuri sunt Ministerul Dezvoltării, Lucrărilor Publice și Administrației și autoritățile locale (prin Consilii Locale, Consiliile </w:t>
      </w:r>
      <w:r>
        <w:rPr>
          <w:rFonts w:eastAsia="Times New Roman" w:cs="Times New Roman"/>
        </w:rPr>
        <w:lastRenderedPageBreak/>
        <w:t>Județene Constanța și Tulcea). Finanțarea implementării măsurii se va asigura din fonduri proprii ale MDLPA și a autorităților locale.</w:t>
      </w:r>
    </w:p>
    <w:p w14:paraId="511F2711" w14:textId="77777777" w:rsidR="00670FD4" w:rsidRDefault="00670FD4" w:rsidP="00670FD4">
      <w:pPr>
        <w:pBdr>
          <w:top w:val="nil"/>
          <w:left w:val="nil"/>
          <w:bottom w:val="nil"/>
          <w:right w:val="nil"/>
          <w:between w:val="nil"/>
        </w:pBdr>
        <w:spacing w:before="0"/>
        <w:rPr>
          <w:rFonts w:eastAsia="Times New Roman" w:cs="Times New Roman"/>
          <w:b/>
          <w:i/>
        </w:rPr>
      </w:pPr>
      <w:r>
        <w:rPr>
          <w:rFonts w:eastAsia="Times New Roman" w:cs="Times New Roman"/>
          <w:b/>
          <w:i/>
        </w:rPr>
        <w:t>M.8.3 Crearea unui mecanism eficient de implementare, monitorizare și verificare a instrumentelor de planificare spațială în zona costieră</w:t>
      </w:r>
    </w:p>
    <w:p w14:paraId="332AA83E" w14:textId="77777777" w:rsidR="00670FD4" w:rsidRDefault="00670FD4" w:rsidP="00670FD4">
      <w:pPr>
        <w:spacing w:before="0"/>
        <w:ind w:firstLine="540"/>
        <w:rPr>
          <w:rFonts w:eastAsia="Times New Roman" w:cs="Times New Roman"/>
        </w:rPr>
      </w:pPr>
      <w:r>
        <w:rPr>
          <w:rFonts w:eastAsia="Times New Roman" w:cs="Times New Roman"/>
          <w:color w:val="000000"/>
        </w:rPr>
        <w:t> Prin implementarea măsurii se va realiza o revizuire a procedurilor de avizare / aprobare a documentațiilor de amenajarea teritoriului și urbanism astfel încât să fie incluse prevederi referitoare la zona costieră. De asemenea, implementarea măsurii va permite tuturor celor 19 administrații locale și celor 2 consilii județene să fie permanent informate – la nivelul direcțiilor de amenajarea teritoriului și urbanism / al arhitecților șefi – asupra proiectelor de dezvoltare locală, prin realizare unui sistem de informare și comunicare digitalizat. </w:t>
      </w:r>
    </w:p>
    <w:p w14:paraId="0685300A" w14:textId="77777777" w:rsidR="00670FD4" w:rsidRDefault="00670FD4" w:rsidP="00670FD4">
      <w:pPr>
        <w:spacing w:before="0"/>
        <w:ind w:firstLine="540"/>
        <w:rPr>
          <w:rFonts w:eastAsia="Times New Roman" w:cs="Times New Roman"/>
          <w:color w:val="000000"/>
        </w:rPr>
      </w:pPr>
      <w:r>
        <w:rPr>
          <w:rFonts w:eastAsia="Times New Roman" w:cs="Times New Roman"/>
          <w:color w:val="000000"/>
        </w:rPr>
        <w:t>Instituțiile responsabile pentru implementarea acestei măsuri sunt MDLPA, MMAP și autoritățile locale (prin Consilii Locale, Consiliile Județene Constanța și Tulcea). Finanțarea implementării măsurii se va asigura din fonduri proprii ale MDLPA, MMAP și a autorităților locale.</w:t>
      </w:r>
    </w:p>
    <w:p w14:paraId="3E90971F" w14:textId="77777777" w:rsidR="00670FD4" w:rsidRDefault="00670FD4" w:rsidP="00670FD4">
      <w:pPr>
        <w:spacing w:before="0"/>
        <w:ind w:firstLine="540"/>
        <w:rPr>
          <w:rFonts w:eastAsia="Times New Roman" w:cs="Times New Roman"/>
          <w:color w:val="000000"/>
        </w:rPr>
      </w:pPr>
    </w:p>
    <w:p w14:paraId="4C024F89" w14:textId="77777777" w:rsidR="00670FD4" w:rsidRDefault="00670FD4" w:rsidP="00670FD4">
      <w:pPr>
        <w:spacing w:before="0"/>
        <w:ind w:firstLine="540"/>
        <w:rPr>
          <w:rFonts w:eastAsia="Times New Roman" w:cs="Times New Roman"/>
          <w:color w:val="000000"/>
        </w:rPr>
      </w:pPr>
    </w:p>
    <w:p w14:paraId="0FB21B5B" w14:textId="77777777" w:rsidR="00670FD4" w:rsidRDefault="00670FD4" w:rsidP="00670FD4">
      <w:pPr>
        <w:spacing w:before="0"/>
        <w:ind w:firstLine="540"/>
        <w:rPr>
          <w:rFonts w:eastAsia="Times New Roman" w:cs="Times New Roman"/>
        </w:rPr>
        <w:sectPr w:rsidR="00670FD4" w:rsidSect="00670FD4">
          <w:headerReference w:type="even" r:id="rId68"/>
          <w:headerReference w:type="default" r:id="rId69"/>
          <w:footerReference w:type="default" r:id="rId70"/>
          <w:headerReference w:type="first" r:id="rId71"/>
          <w:pgSz w:w="11906" w:h="16838"/>
          <w:pgMar w:top="1440" w:right="1440" w:bottom="1440" w:left="1440" w:header="0" w:footer="0" w:gutter="0"/>
          <w:pgNumType w:start="1"/>
          <w:cols w:space="708"/>
          <w:titlePg/>
        </w:sectPr>
      </w:pPr>
    </w:p>
    <w:p w14:paraId="3ED02AB4" w14:textId="77777777" w:rsidR="00670FD4" w:rsidRDefault="00670FD4" w:rsidP="00670FD4">
      <w:pPr>
        <w:pStyle w:val="Heading2"/>
        <w:rPr>
          <w:sz w:val="24"/>
          <w:szCs w:val="24"/>
        </w:rPr>
      </w:pPr>
      <w:bookmarkStart w:id="145" w:name="_Toc150501476"/>
      <w:bookmarkStart w:id="146" w:name="_Toc171084863"/>
      <w:r>
        <w:lastRenderedPageBreak/>
        <w:t>2.8. Plan de activități</w:t>
      </w:r>
      <w:bookmarkEnd w:id="145"/>
      <w:bookmarkEnd w:id="146"/>
      <w:r>
        <w:t xml:space="preserve"> </w:t>
      </w:r>
    </w:p>
    <w:p w14:paraId="53032184" w14:textId="77777777" w:rsidR="00670FD4" w:rsidRDefault="00670FD4" w:rsidP="00670FD4">
      <w:pPr>
        <w:spacing w:before="0"/>
        <w:rPr>
          <w:rFonts w:eastAsia="Times New Roman" w:cs="Times New Roman"/>
        </w:rPr>
      </w:pPr>
      <w:r>
        <w:rPr>
          <w:rFonts w:eastAsia="Times New Roman" w:cs="Times New Roman"/>
        </w:rPr>
        <w:t xml:space="preserve">Activitățile ce se vor realiza în vederea implementării </w:t>
      </w:r>
      <w:r>
        <w:rPr>
          <w:rFonts w:eastAsia="Times New Roman" w:cs="Times New Roman"/>
          <w:b/>
          <w:i/>
        </w:rPr>
        <w:t>Programului de Măsuri vizând cadrul legislativ și instituțional</w:t>
      </w:r>
      <w:r>
        <w:rPr>
          <w:rFonts w:eastAsia="Times New Roman" w:cs="Times New Roman"/>
        </w:rPr>
        <w:t xml:space="preserve"> sunt prezentate în Tabelul de mai jos, unde sunt indicate termenele de implementare, organizațiile responsabile pentru realizarea activităților, și implicit implementarea măsurilor, precum și posibilele surse de finanțare.</w:t>
      </w:r>
    </w:p>
    <w:tbl>
      <w:tblPr>
        <w:tblW w:w="14028" w:type="dxa"/>
        <w:tblBorders>
          <w:top w:val="nil"/>
          <w:left w:val="nil"/>
          <w:bottom w:val="nil"/>
          <w:right w:val="nil"/>
          <w:insideH w:val="nil"/>
          <w:insideV w:val="nil"/>
        </w:tblBorders>
        <w:tblLayout w:type="fixed"/>
        <w:tblLook w:val="0600" w:firstRow="0" w:lastRow="0" w:firstColumn="0" w:lastColumn="0" w:noHBand="1" w:noVBand="1"/>
      </w:tblPr>
      <w:tblGrid>
        <w:gridCol w:w="1837"/>
        <w:gridCol w:w="2126"/>
        <w:gridCol w:w="4111"/>
        <w:gridCol w:w="1418"/>
        <w:gridCol w:w="1417"/>
        <w:gridCol w:w="1418"/>
        <w:gridCol w:w="1701"/>
      </w:tblGrid>
      <w:tr w:rsidR="00670FD4" w14:paraId="5EEB1D5F" w14:textId="77777777" w:rsidTr="001925BA">
        <w:trPr>
          <w:trHeight w:val="570"/>
        </w:trPr>
        <w:tc>
          <w:tcPr>
            <w:tcW w:w="1837" w:type="dxa"/>
            <w:tcBorders>
              <w:top w:val="single" w:sz="5" w:space="0" w:color="000000"/>
              <w:left w:val="single" w:sz="5" w:space="0" w:color="000000"/>
              <w:bottom w:val="single" w:sz="5" w:space="0" w:color="000000"/>
              <w:right w:val="single" w:sz="4" w:space="0" w:color="auto"/>
            </w:tcBorders>
            <w:tcMar>
              <w:top w:w="0" w:type="dxa"/>
              <w:left w:w="100" w:type="dxa"/>
              <w:bottom w:w="0" w:type="dxa"/>
              <w:right w:w="100" w:type="dxa"/>
            </w:tcMar>
          </w:tcPr>
          <w:p w14:paraId="3A29B4E6" w14:textId="77777777" w:rsidR="00670FD4" w:rsidRDefault="00670FD4" w:rsidP="001925BA">
            <w:pPr>
              <w:spacing w:after="0" w:line="240" w:lineRule="auto"/>
              <w:ind w:firstLine="36"/>
              <w:rPr>
                <w:rFonts w:eastAsia="Times New Roman" w:cs="Times New Roman"/>
                <w:sz w:val="20"/>
                <w:szCs w:val="20"/>
              </w:rPr>
            </w:pPr>
            <w:r>
              <w:rPr>
                <w:rFonts w:eastAsia="Times New Roman" w:cs="Times New Roman"/>
                <w:sz w:val="20"/>
                <w:szCs w:val="20"/>
              </w:rPr>
              <w:t>Masură</w:t>
            </w:r>
          </w:p>
        </w:tc>
        <w:tc>
          <w:tcPr>
            <w:tcW w:w="2126" w:type="dxa"/>
            <w:tcBorders>
              <w:top w:val="single" w:sz="4" w:space="0" w:color="auto"/>
              <w:left w:val="single" w:sz="4" w:space="0" w:color="auto"/>
              <w:bottom w:val="single" w:sz="4" w:space="0" w:color="auto"/>
              <w:right w:val="single" w:sz="4" w:space="0" w:color="auto"/>
            </w:tcBorders>
          </w:tcPr>
          <w:p w14:paraId="6D0D9D44" w14:textId="77777777" w:rsidR="00670FD4" w:rsidRDefault="00670FD4" w:rsidP="001925BA">
            <w:pPr>
              <w:spacing w:after="0" w:line="240" w:lineRule="auto"/>
              <w:ind w:firstLine="34"/>
              <w:rPr>
                <w:rFonts w:eastAsia="Times New Roman" w:cs="Times New Roman"/>
                <w:sz w:val="20"/>
                <w:szCs w:val="20"/>
              </w:rPr>
            </w:pPr>
            <w:r>
              <w:rPr>
                <w:rFonts w:eastAsia="Times New Roman" w:cs="Times New Roman"/>
                <w:sz w:val="20"/>
                <w:szCs w:val="20"/>
              </w:rPr>
              <w:t>Obiective vizate</w:t>
            </w:r>
          </w:p>
        </w:tc>
        <w:tc>
          <w:tcPr>
            <w:tcW w:w="4111" w:type="dxa"/>
            <w:tcBorders>
              <w:top w:val="single" w:sz="5" w:space="0" w:color="000000"/>
              <w:left w:val="single" w:sz="4" w:space="0" w:color="auto"/>
              <w:bottom w:val="single" w:sz="5" w:space="0" w:color="000000"/>
              <w:right w:val="single" w:sz="5" w:space="0" w:color="000000"/>
            </w:tcBorders>
            <w:tcMar>
              <w:top w:w="0" w:type="dxa"/>
              <w:left w:w="100" w:type="dxa"/>
              <w:bottom w:w="0" w:type="dxa"/>
              <w:right w:w="100" w:type="dxa"/>
            </w:tcMar>
          </w:tcPr>
          <w:p w14:paraId="3E571F0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Activitate</w:t>
            </w:r>
          </w:p>
        </w:tc>
        <w:tc>
          <w:tcPr>
            <w:tcW w:w="1418"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2F4D596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Prioritate</w:t>
            </w:r>
          </w:p>
        </w:tc>
        <w:tc>
          <w:tcPr>
            <w:tcW w:w="1417"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456ACD48"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Termen de implementare</w:t>
            </w:r>
          </w:p>
        </w:tc>
        <w:tc>
          <w:tcPr>
            <w:tcW w:w="1418"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2D522457"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Instituții responsabile</w:t>
            </w:r>
          </w:p>
        </w:tc>
        <w:tc>
          <w:tcPr>
            <w:tcW w:w="1701"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4348E7A2"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Finanțare</w:t>
            </w:r>
          </w:p>
        </w:tc>
      </w:tr>
      <w:tr w:rsidR="00670FD4" w14:paraId="04CF9D84" w14:textId="77777777" w:rsidTr="001925BA">
        <w:trPr>
          <w:trHeight w:val="706"/>
        </w:trPr>
        <w:tc>
          <w:tcPr>
            <w:tcW w:w="1837" w:type="dxa"/>
            <w:vMerge w:val="restart"/>
            <w:tcBorders>
              <w:top w:val="nil"/>
              <w:left w:val="single" w:sz="6" w:space="0" w:color="000000"/>
              <w:bottom w:val="single" w:sz="5" w:space="0" w:color="000000"/>
              <w:right w:val="single" w:sz="4" w:space="0" w:color="auto"/>
            </w:tcBorders>
            <w:tcMar>
              <w:top w:w="0" w:type="dxa"/>
              <w:left w:w="100" w:type="dxa"/>
              <w:bottom w:w="0" w:type="dxa"/>
              <w:right w:w="100" w:type="dxa"/>
            </w:tcMar>
          </w:tcPr>
          <w:p w14:paraId="7CD2B873" w14:textId="77777777" w:rsidR="00670FD4" w:rsidRDefault="00670FD4" w:rsidP="001925BA">
            <w:pPr>
              <w:spacing w:after="0" w:line="240" w:lineRule="auto"/>
              <w:ind w:firstLine="36"/>
              <w:rPr>
                <w:rFonts w:eastAsia="Times New Roman" w:cs="Times New Roman"/>
                <w:sz w:val="20"/>
                <w:szCs w:val="20"/>
              </w:rPr>
            </w:pPr>
            <w:r>
              <w:rPr>
                <w:rFonts w:eastAsia="Times New Roman" w:cs="Times New Roman"/>
                <w:sz w:val="20"/>
                <w:szCs w:val="20"/>
              </w:rPr>
              <w:t xml:space="preserve">M1.1 </w:t>
            </w:r>
            <w:bookmarkStart w:id="147" w:name="_Hlk170993070"/>
            <w:r>
              <w:rPr>
                <w:rFonts w:eastAsia="Times New Roman" w:cs="Times New Roman"/>
                <w:sz w:val="20"/>
                <w:szCs w:val="20"/>
              </w:rPr>
              <w:t>Consolidarea mecanismului instituțional</w:t>
            </w:r>
            <w:bookmarkEnd w:id="147"/>
          </w:p>
        </w:tc>
        <w:tc>
          <w:tcPr>
            <w:tcW w:w="2126" w:type="dxa"/>
            <w:vMerge w:val="restart"/>
            <w:tcBorders>
              <w:top w:val="single" w:sz="4" w:space="0" w:color="auto"/>
              <w:left w:val="single" w:sz="4" w:space="0" w:color="auto"/>
              <w:right w:val="single" w:sz="4" w:space="0" w:color="auto"/>
            </w:tcBorders>
          </w:tcPr>
          <w:p w14:paraId="3AFB060B" w14:textId="77777777" w:rsidR="00670FD4" w:rsidRDefault="00670FD4" w:rsidP="001925BA">
            <w:pPr>
              <w:spacing w:line="240" w:lineRule="auto"/>
              <w:ind w:firstLine="34"/>
              <w:rPr>
                <w:rFonts w:eastAsia="Times New Roman" w:cs="Times New Roman"/>
                <w:sz w:val="20"/>
                <w:szCs w:val="20"/>
              </w:rPr>
            </w:pPr>
            <w:r w:rsidRPr="004B4475">
              <w:rPr>
                <w:rFonts w:eastAsia="Times New Roman" w:cs="Times New Roman"/>
                <w:sz w:val="20"/>
                <w:szCs w:val="20"/>
              </w:rPr>
              <w:t>Os5.a Stabilirea / consolidarea mecanismului de coordonare a managementului integrat al zonei de coastă care să aducă împreună toate instituțiile responsabile ale statului român</w:t>
            </w:r>
            <w:r>
              <w:rPr>
                <w:rFonts w:eastAsia="Times New Roman" w:cs="Times New Roman"/>
                <w:sz w:val="20"/>
                <w:szCs w:val="20"/>
              </w:rPr>
              <w:t>;</w:t>
            </w:r>
          </w:p>
          <w:p w14:paraId="4B23ADFC" w14:textId="77777777" w:rsidR="00670FD4" w:rsidRDefault="00670FD4" w:rsidP="001925BA">
            <w:pPr>
              <w:spacing w:line="240" w:lineRule="auto"/>
              <w:ind w:firstLine="34"/>
              <w:rPr>
                <w:rFonts w:eastAsia="Times New Roman" w:cs="Times New Roman"/>
                <w:sz w:val="20"/>
                <w:szCs w:val="20"/>
                <w:highlight w:val="white"/>
              </w:rPr>
            </w:pPr>
            <w:r w:rsidRPr="004B4475">
              <w:rPr>
                <w:rFonts w:eastAsia="Times New Roman" w:cs="Times New Roman"/>
                <w:sz w:val="20"/>
                <w:szCs w:val="20"/>
              </w:rPr>
              <w:t>Os3.b. Stabilirea unui sistem performant de supraveghere a eficienței implementării planificării spațiale prin realizarea Geamănului Digital (Digital Twin) a litoralului românesc.</w:t>
            </w:r>
          </w:p>
        </w:tc>
        <w:tc>
          <w:tcPr>
            <w:tcW w:w="4111" w:type="dxa"/>
            <w:tcBorders>
              <w:top w:val="nil"/>
              <w:left w:val="single" w:sz="4" w:space="0" w:color="auto"/>
              <w:bottom w:val="single" w:sz="5" w:space="0" w:color="000000"/>
              <w:right w:val="single" w:sz="6" w:space="0" w:color="000000"/>
            </w:tcBorders>
            <w:tcMar>
              <w:top w:w="0" w:type="dxa"/>
              <w:left w:w="100" w:type="dxa"/>
              <w:bottom w:w="0" w:type="dxa"/>
              <w:right w:w="100" w:type="dxa"/>
            </w:tcMar>
          </w:tcPr>
          <w:p w14:paraId="32D67C28" w14:textId="77777777" w:rsidR="00670FD4" w:rsidRDefault="00670FD4" w:rsidP="001925BA">
            <w:pPr>
              <w:spacing w:after="0" w:line="240" w:lineRule="auto"/>
              <w:ind w:firstLine="0"/>
              <w:rPr>
                <w:rFonts w:eastAsia="Times New Roman" w:cs="Times New Roman"/>
                <w:sz w:val="20"/>
                <w:szCs w:val="20"/>
                <w:highlight w:val="white"/>
              </w:rPr>
            </w:pPr>
            <w:r>
              <w:rPr>
                <w:rFonts w:eastAsia="Times New Roman" w:cs="Times New Roman"/>
                <w:sz w:val="20"/>
                <w:szCs w:val="20"/>
                <w:highlight w:val="white"/>
              </w:rPr>
              <w:t>A1.1.1 Revizuirea / completarea OUG 202/2002 cu privire la organizarea și componența CNZC</w:t>
            </w:r>
          </w:p>
          <w:p w14:paraId="6965DBA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 xml:space="preserve"> </w:t>
            </w:r>
          </w:p>
        </w:tc>
        <w:tc>
          <w:tcPr>
            <w:tcW w:w="1418" w:type="dxa"/>
            <w:tcBorders>
              <w:top w:val="nil"/>
              <w:left w:val="single" w:sz="6" w:space="0" w:color="000000"/>
              <w:bottom w:val="single" w:sz="5" w:space="0" w:color="000000"/>
              <w:right w:val="single" w:sz="5" w:space="0" w:color="000000"/>
            </w:tcBorders>
            <w:tcMar>
              <w:top w:w="0" w:type="dxa"/>
              <w:left w:w="100" w:type="dxa"/>
              <w:bottom w:w="0" w:type="dxa"/>
              <w:right w:w="100" w:type="dxa"/>
            </w:tcMar>
          </w:tcPr>
          <w:p w14:paraId="03A9713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7" w:type="dxa"/>
            <w:tcBorders>
              <w:top w:val="nil"/>
              <w:left w:val="nil"/>
              <w:bottom w:val="single" w:sz="5" w:space="0" w:color="000000"/>
              <w:right w:val="single" w:sz="5" w:space="0" w:color="000000"/>
            </w:tcBorders>
            <w:tcMar>
              <w:top w:w="0" w:type="dxa"/>
              <w:left w:w="100" w:type="dxa"/>
              <w:bottom w:w="0" w:type="dxa"/>
              <w:right w:w="100" w:type="dxa"/>
            </w:tcMar>
          </w:tcPr>
          <w:p w14:paraId="16680326"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2025</w:t>
            </w:r>
          </w:p>
        </w:tc>
        <w:tc>
          <w:tcPr>
            <w:tcW w:w="1418" w:type="dxa"/>
            <w:vMerge w:val="restart"/>
            <w:tcBorders>
              <w:top w:val="nil"/>
              <w:left w:val="nil"/>
              <w:bottom w:val="single" w:sz="5" w:space="0" w:color="000000"/>
              <w:right w:val="single" w:sz="5" w:space="0" w:color="000000"/>
            </w:tcBorders>
            <w:tcMar>
              <w:top w:w="0" w:type="dxa"/>
              <w:left w:w="100" w:type="dxa"/>
              <w:bottom w:w="0" w:type="dxa"/>
              <w:right w:w="100" w:type="dxa"/>
            </w:tcMar>
          </w:tcPr>
          <w:p w14:paraId="2F4D91F0"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 xml:space="preserve"> </w:t>
            </w:r>
          </w:p>
          <w:p w14:paraId="4DE46274"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 xml:space="preserve"> </w:t>
            </w:r>
          </w:p>
          <w:p w14:paraId="4DA1D3CE"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 xml:space="preserve"> </w:t>
            </w:r>
          </w:p>
          <w:p w14:paraId="5447739B"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 xml:space="preserve"> </w:t>
            </w:r>
          </w:p>
          <w:p w14:paraId="542ADF1E"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 xml:space="preserve"> </w:t>
            </w:r>
          </w:p>
          <w:p w14:paraId="0BBE6BA0"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 xml:space="preserve"> </w:t>
            </w:r>
          </w:p>
          <w:p w14:paraId="233397EB"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 xml:space="preserve"> </w:t>
            </w:r>
          </w:p>
          <w:p w14:paraId="0D57CE18"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 xml:space="preserve"> </w:t>
            </w:r>
          </w:p>
          <w:p w14:paraId="7C8A1946"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 xml:space="preserve"> </w:t>
            </w:r>
          </w:p>
          <w:p w14:paraId="58F89939"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 xml:space="preserve"> </w:t>
            </w:r>
          </w:p>
          <w:p w14:paraId="541B1737"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 xml:space="preserve"> </w:t>
            </w:r>
          </w:p>
          <w:p w14:paraId="2E568E52"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 xml:space="preserve"> </w:t>
            </w:r>
          </w:p>
          <w:p w14:paraId="499EA480"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 xml:space="preserve"> </w:t>
            </w:r>
          </w:p>
          <w:p w14:paraId="66198BA1"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 xml:space="preserve"> </w:t>
            </w:r>
          </w:p>
          <w:p w14:paraId="7D0E841D"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MMAP</w:t>
            </w:r>
          </w:p>
          <w:p w14:paraId="30EF4A91"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 xml:space="preserve"> </w:t>
            </w:r>
          </w:p>
        </w:tc>
        <w:tc>
          <w:tcPr>
            <w:tcW w:w="1701" w:type="dxa"/>
            <w:vMerge w:val="restart"/>
            <w:tcBorders>
              <w:top w:val="nil"/>
              <w:left w:val="nil"/>
              <w:bottom w:val="single" w:sz="5" w:space="0" w:color="000000"/>
              <w:right w:val="single" w:sz="5" w:space="0" w:color="000000"/>
            </w:tcBorders>
            <w:tcMar>
              <w:top w:w="0" w:type="dxa"/>
              <w:left w:w="100" w:type="dxa"/>
              <w:bottom w:w="0" w:type="dxa"/>
              <w:right w:w="100" w:type="dxa"/>
            </w:tcMar>
          </w:tcPr>
          <w:p w14:paraId="670C643B"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 xml:space="preserve"> </w:t>
            </w:r>
          </w:p>
          <w:p w14:paraId="616E172E"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 xml:space="preserve"> </w:t>
            </w:r>
          </w:p>
          <w:p w14:paraId="577C2131"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 xml:space="preserve"> </w:t>
            </w:r>
          </w:p>
          <w:p w14:paraId="50123AB4"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 xml:space="preserve"> </w:t>
            </w:r>
          </w:p>
          <w:p w14:paraId="6662E66D"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 xml:space="preserve"> </w:t>
            </w:r>
          </w:p>
          <w:p w14:paraId="7B2ED808"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 xml:space="preserve"> </w:t>
            </w:r>
          </w:p>
          <w:p w14:paraId="4F22B573"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 xml:space="preserve"> </w:t>
            </w:r>
          </w:p>
          <w:p w14:paraId="0197D113"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 xml:space="preserve"> </w:t>
            </w:r>
          </w:p>
          <w:p w14:paraId="383C86A4"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 xml:space="preserve"> </w:t>
            </w:r>
          </w:p>
          <w:p w14:paraId="05061906"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 xml:space="preserve"> </w:t>
            </w:r>
          </w:p>
          <w:p w14:paraId="55FAB925"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 xml:space="preserve"> </w:t>
            </w:r>
          </w:p>
          <w:p w14:paraId="0E9DA29A"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 xml:space="preserve"> </w:t>
            </w:r>
          </w:p>
          <w:p w14:paraId="50739F79"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 xml:space="preserve"> </w:t>
            </w:r>
          </w:p>
          <w:p w14:paraId="7EB9C144"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 xml:space="preserve"> </w:t>
            </w:r>
          </w:p>
          <w:p w14:paraId="37384584"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Bugetul propriu al MMAP</w:t>
            </w:r>
          </w:p>
        </w:tc>
      </w:tr>
      <w:tr w:rsidR="00670FD4" w14:paraId="6A098F82" w14:textId="77777777" w:rsidTr="001925BA">
        <w:trPr>
          <w:trHeight w:val="1702"/>
        </w:trPr>
        <w:tc>
          <w:tcPr>
            <w:tcW w:w="1837" w:type="dxa"/>
            <w:vMerge/>
            <w:tcBorders>
              <w:top w:val="nil"/>
              <w:left w:val="single" w:sz="6" w:space="0" w:color="000000"/>
              <w:bottom w:val="single" w:sz="5" w:space="0" w:color="000000"/>
              <w:right w:val="single" w:sz="4" w:space="0" w:color="auto"/>
            </w:tcBorders>
            <w:tcMar>
              <w:top w:w="0" w:type="dxa"/>
              <w:left w:w="100" w:type="dxa"/>
              <w:bottom w:w="0" w:type="dxa"/>
              <w:right w:w="100" w:type="dxa"/>
            </w:tcMar>
          </w:tcPr>
          <w:p w14:paraId="2BDA8C26" w14:textId="77777777" w:rsidR="00670FD4" w:rsidRDefault="00670FD4" w:rsidP="001925BA">
            <w:pPr>
              <w:widowControl w:val="0"/>
              <w:pBdr>
                <w:top w:val="nil"/>
                <w:left w:val="nil"/>
                <w:bottom w:val="nil"/>
                <w:right w:val="nil"/>
                <w:between w:val="nil"/>
              </w:pBdr>
              <w:spacing w:after="0"/>
              <w:ind w:firstLine="36"/>
              <w:rPr>
                <w:rFonts w:eastAsia="Times New Roman" w:cs="Times New Roman"/>
                <w:sz w:val="20"/>
                <w:szCs w:val="20"/>
              </w:rPr>
            </w:pPr>
          </w:p>
        </w:tc>
        <w:tc>
          <w:tcPr>
            <w:tcW w:w="2126" w:type="dxa"/>
            <w:vMerge/>
            <w:tcBorders>
              <w:left w:val="single" w:sz="4" w:space="0" w:color="auto"/>
              <w:right w:val="single" w:sz="4" w:space="0" w:color="auto"/>
            </w:tcBorders>
          </w:tcPr>
          <w:p w14:paraId="7A3F544F" w14:textId="77777777" w:rsidR="00670FD4" w:rsidRDefault="00670FD4" w:rsidP="001925BA">
            <w:pPr>
              <w:spacing w:after="0" w:line="240" w:lineRule="auto"/>
              <w:ind w:firstLine="34"/>
              <w:rPr>
                <w:rFonts w:eastAsia="Times New Roman" w:cs="Times New Roman"/>
                <w:sz w:val="20"/>
                <w:szCs w:val="20"/>
                <w:highlight w:val="white"/>
              </w:rPr>
            </w:pPr>
          </w:p>
        </w:tc>
        <w:tc>
          <w:tcPr>
            <w:tcW w:w="4111" w:type="dxa"/>
            <w:tcBorders>
              <w:top w:val="nil"/>
              <w:left w:val="single" w:sz="4" w:space="0" w:color="auto"/>
              <w:bottom w:val="single" w:sz="5" w:space="0" w:color="000000"/>
              <w:right w:val="single" w:sz="6" w:space="0" w:color="000000"/>
            </w:tcBorders>
            <w:shd w:val="clear" w:color="auto" w:fill="auto"/>
            <w:tcMar>
              <w:top w:w="0" w:type="dxa"/>
              <w:left w:w="100" w:type="dxa"/>
              <w:bottom w:w="0" w:type="dxa"/>
              <w:right w:w="100" w:type="dxa"/>
            </w:tcMar>
          </w:tcPr>
          <w:p w14:paraId="6A9257FA" w14:textId="77777777" w:rsidR="00670FD4" w:rsidRDefault="00670FD4" w:rsidP="001925BA">
            <w:pPr>
              <w:spacing w:after="0" w:line="240" w:lineRule="auto"/>
              <w:ind w:firstLine="0"/>
              <w:rPr>
                <w:rFonts w:eastAsia="Times New Roman" w:cs="Times New Roman"/>
                <w:sz w:val="20"/>
                <w:szCs w:val="20"/>
                <w:highlight w:val="white"/>
              </w:rPr>
            </w:pPr>
            <w:r>
              <w:rPr>
                <w:rFonts w:eastAsia="Times New Roman" w:cs="Times New Roman"/>
                <w:sz w:val="20"/>
                <w:szCs w:val="20"/>
                <w:highlight w:val="white"/>
              </w:rPr>
              <w:t>A 1.1.2 Revizuirea actelor normative subsecvente pentru funcționarea CNZC (pentru aprobarea regulamentului de funcționare), precum și completarea cu alte reglementări pentru aprobarea proceduri de lucru pentru grupurile de experți, cooperarea cu STA-ZC, emiterea avizelor, etc.</w:t>
            </w:r>
          </w:p>
        </w:tc>
        <w:tc>
          <w:tcPr>
            <w:tcW w:w="1418" w:type="dxa"/>
            <w:tcBorders>
              <w:top w:val="nil"/>
              <w:left w:val="single" w:sz="6" w:space="0" w:color="000000"/>
              <w:bottom w:val="single" w:sz="5" w:space="0" w:color="000000"/>
              <w:right w:val="single" w:sz="5" w:space="0" w:color="000000"/>
            </w:tcBorders>
            <w:shd w:val="clear" w:color="auto" w:fill="auto"/>
            <w:tcMar>
              <w:top w:w="0" w:type="dxa"/>
              <w:left w:w="100" w:type="dxa"/>
              <w:bottom w:w="0" w:type="dxa"/>
              <w:right w:w="100" w:type="dxa"/>
            </w:tcMar>
          </w:tcPr>
          <w:p w14:paraId="0B4606A3"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8795583"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2025</w:t>
            </w:r>
          </w:p>
        </w:tc>
        <w:tc>
          <w:tcPr>
            <w:tcW w:w="1418" w:type="dxa"/>
            <w:vMerge/>
            <w:tcBorders>
              <w:top w:val="nil"/>
              <w:left w:val="nil"/>
              <w:bottom w:val="single" w:sz="5" w:space="0" w:color="000000"/>
              <w:right w:val="single" w:sz="5" w:space="0" w:color="000000"/>
            </w:tcBorders>
            <w:tcMar>
              <w:top w:w="0" w:type="dxa"/>
              <w:left w:w="100" w:type="dxa"/>
              <w:bottom w:w="0" w:type="dxa"/>
              <w:right w:w="100" w:type="dxa"/>
            </w:tcMar>
          </w:tcPr>
          <w:p w14:paraId="01D24235" w14:textId="77777777" w:rsidR="00670FD4"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1701" w:type="dxa"/>
            <w:vMerge/>
            <w:tcBorders>
              <w:top w:val="nil"/>
              <w:left w:val="nil"/>
              <w:bottom w:val="single" w:sz="5" w:space="0" w:color="000000"/>
              <w:right w:val="single" w:sz="5" w:space="0" w:color="000000"/>
            </w:tcBorders>
            <w:tcMar>
              <w:top w:w="0" w:type="dxa"/>
              <w:left w:w="100" w:type="dxa"/>
              <w:bottom w:w="0" w:type="dxa"/>
              <w:right w:w="100" w:type="dxa"/>
            </w:tcMar>
          </w:tcPr>
          <w:p w14:paraId="7A42A6E5" w14:textId="77777777" w:rsidR="00670FD4" w:rsidRDefault="00670FD4" w:rsidP="001925BA">
            <w:pPr>
              <w:widowControl w:val="0"/>
              <w:pBdr>
                <w:top w:val="nil"/>
                <w:left w:val="nil"/>
                <w:bottom w:val="nil"/>
                <w:right w:val="nil"/>
                <w:between w:val="nil"/>
              </w:pBdr>
              <w:spacing w:after="0"/>
              <w:ind w:firstLine="41"/>
              <w:rPr>
                <w:rFonts w:eastAsia="Times New Roman" w:cs="Times New Roman"/>
                <w:sz w:val="20"/>
                <w:szCs w:val="20"/>
              </w:rPr>
            </w:pPr>
          </w:p>
        </w:tc>
      </w:tr>
      <w:tr w:rsidR="00670FD4" w14:paraId="38904D33" w14:textId="77777777" w:rsidTr="001925BA">
        <w:trPr>
          <w:trHeight w:val="708"/>
        </w:trPr>
        <w:tc>
          <w:tcPr>
            <w:tcW w:w="1837" w:type="dxa"/>
            <w:vMerge/>
            <w:tcBorders>
              <w:top w:val="nil"/>
              <w:left w:val="single" w:sz="6" w:space="0" w:color="000000"/>
              <w:bottom w:val="single" w:sz="5" w:space="0" w:color="000000"/>
              <w:right w:val="single" w:sz="4" w:space="0" w:color="auto"/>
            </w:tcBorders>
            <w:tcMar>
              <w:top w:w="0" w:type="dxa"/>
              <w:left w:w="100" w:type="dxa"/>
              <w:bottom w:w="0" w:type="dxa"/>
              <w:right w:w="100" w:type="dxa"/>
            </w:tcMar>
          </w:tcPr>
          <w:p w14:paraId="0BD369C9" w14:textId="77777777" w:rsidR="00670FD4" w:rsidRDefault="00670FD4" w:rsidP="001925BA">
            <w:pPr>
              <w:widowControl w:val="0"/>
              <w:pBdr>
                <w:top w:val="nil"/>
                <w:left w:val="nil"/>
                <w:bottom w:val="nil"/>
                <w:right w:val="nil"/>
                <w:between w:val="nil"/>
              </w:pBdr>
              <w:spacing w:after="0"/>
              <w:ind w:firstLine="36"/>
              <w:rPr>
                <w:rFonts w:eastAsia="Times New Roman" w:cs="Times New Roman"/>
                <w:sz w:val="20"/>
                <w:szCs w:val="20"/>
              </w:rPr>
            </w:pPr>
          </w:p>
        </w:tc>
        <w:tc>
          <w:tcPr>
            <w:tcW w:w="2126" w:type="dxa"/>
            <w:vMerge/>
            <w:tcBorders>
              <w:left w:val="single" w:sz="4" w:space="0" w:color="auto"/>
              <w:right w:val="single" w:sz="4" w:space="0" w:color="auto"/>
            </w:tcBorders>
          </w:tcPr>
          <w:p w14:paraId="488E0BA7" w14:textId="77777777" w:rsidR="00670FD4" w:rsidRDefault="00670FD4" w:rsidP="001925BA">
            <w:pPr>
              <w:spacing w:after="0" w:line="240" w:lineRule="auto"/>
              <w:ind w:firstLine="34"/>
              <w:rPr>
                <w:rFonts w:eastAsia="Times New Roman" w:cs="Times New Roman"/>
                <w:sz w:val="20"/>
                <w:szCs w:val="20"/>
                <w:highlight w:val="white"/>
              </w:rPr>
            </w:pPr>
          </w:p>
        </w:tc>
        <w:tc>
          <w:tcPr>
            <w:tcW w:w="4111" w:type="dxa"/>
            <w:tcBorders>
              <w:top w:val="nil"/>
              <w:left w:val="single" w:sz="4" w:space="0" w:color="auto"/>
              <w:bottom w:val="single" w:sz="5" w:space="0" w:color="000000"/>
              <w:right w:val="single" w:sz="6" w:space="0" w:color="000000"/>
            </w:tcBorders>
            <w:shd w:val="clear" w:color="auto" w:fill="auto"/>
            <w:tcMar>
              <w:top w:w="0" w:type="dxa"/>
              <w:left w:w="100" w:type="dxa"/>
              <w:bottom w:w="0" w:type="dxa"/>
              <w:right w:w="100" w:type="dxa"/>
            </w:tcMar>
          </w:tcPr>
          <w:p w14:paraId="0C61D206" w14:textId="77777777" w:rsidR="00670FD4" w:rsidRDefault="00670FD4" w:rsidP="001925BA">
            <w:pPr>
              <w:spacing w:after="0" w:line="240" w:lineRule="auto"/>
              <w:ind w:firstLine="0"/>
              <w:rPr>
                <w:rFonts w:eastAsia="Times New Roman" w:cs="Times New Roman"/>
                <w:sz w:val="20"/>
                <w:szCs w:val="20"/>
                <w:highlight w:val="white"/>
              </w:rPr>
            </w:pPr>
            <w:r>
              <w:rPr>
                <w:rFonts w:eastAsia="Times New Roman" w:cs="Times New Roman"/>
                <w:sz w:val="20"/>
                <w:szCs w:val="20"/>
                <w:highlight w:val="white"/>
              </w:rPr>
              <w:t>A 1.1.3 Realizarea unei liste largi cu experți în vederea selectării acestora în vederea constituirii Grupurilor de Lucru</w:t>
            </w:r>
          </w:p>
        </w:tc>
        <w:tc>
          <w:tcPr>
            <w:tcW w:w="1418" w:type="dxa"/>
            <w:tcBorders>
              <w:top w:val="nil"/>
              <w:left w:val="single" w:sz="6" w:space="0" w:color="000000"/>
              <w:bottom w:val="single" w:sz="5" w:space="0" w:color="000000"/>
              <w:right w:val="single" w:sz="5" w:space="0" w:color="000000"/>
            </w:tcBorders>
            <w:shd w:val="clear" w:color="auto" w:fill="auto"/>
            <w:tcMar>
              <w:top w:w="0" w:type="dxa"/>
              <w:left w:w="100" w:type="dxa"/>
              <w:bottom w:w="0" w:type="dxa"/>
              <w:right w:w="100" w:type="dxa"/>
            </w:tcMar>
          </w:tcPr>
          <w:p w14:paraId="1FC2E72E"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32B8FA1"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2025</w:t>
            </w:r>
          </w:p>
        </w:tc>
        <w:tc>
          <w:tcPr>
            <w:tcW w:w="1418" w:type="dxa"/>
            <w:vMerge/>
            <w:tcBorders>
              <w:top w:val="nil"/>
              <w:left w:val="nil"/>
              <w:bottom w:val="single" w:sz="5" w:space="0" w:color="000000"/>
              <w:right w:val="single" w:sz="5" w:space="0" w:color="000000"/>
            </w:tcBorders>
            <w:tcMar>
              <w:top w:w="0" w:type="dxa"/>
              <w:left w:w="100" w:type="dxa"/>
              <w:bottom w:w="0" w:type="dxa"/>
              <w:right w:w="100" w:type="dxa"/>
            </w:tcMar>
          </w:tcPr>
          <w:p w14:paraId="0931C4A5" w14:textId="77777777" w:rsidR="00670FD4"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1701" w:type="dxa"/>
            <w:vMerge/>
            <w:tcBorders>
              <w:top w:val="nil"/>
              <w:left w:val="nil"/>
              <w:bottom w:val="single" w:sz="5" w:space="0" w:color="000000"/>
              <w:right w:val="single" w:sz="5" w:space="0" w:color="000000"/>
            </w:tcBorders>
            <w:tcMar>
              <w:top w:w="0" w:type="dxa"/>
              <w:left w:w="100" w:type="dxa"/>
              <w:bottom w:w="0" w:type="dxa"/>
              <w:right w:w="100" w:type="dxa"/>
            </w:tcMar>
          </w:tcPr>
          <w:p w14:paraId="5551A769" w14:textId="77777777" w:rsidR="00670FD4" w:rsidRDefault="00670FD4" w:rsidP="001925BA">
            <w:pPr>
              <w:widowControl w:val="0"/>
              <w:pBdr>
                <w:top w:val="nil"/>
                <w:left w:val="nil"/>
                <w:bottom w:val="nil"/>
                <w:right w:val="nil"/>
                <w:between w:val="nil"/>
              </w:pBdr>
              <w:spacing w:after="0"/>
              <w:ind w:firstLine="41"/>
              <w:rPr>
                <w:rFonts w:eastAsia="Times New Roman" w:cs="Times New Roman"/>
                <w:sz w:val="20"/>
                <w:szCs w:val="20"/>
              </w:rPr>
            </w:pPr>
          </w:p>
        </w:tc>
      </w:tr>
      <w:tr w:rsidR="00670FD4" w14:paraId="565A93F4" w14:textId="77777777" w:rsidTr="001925BA">
        <w:trPr>
          <w:trHeight w:val="1034"/>
        </w:trPr>
        <w:tc>
          <w:tcPr>
            <w:tcW w:w="1837" w:type="dxa"/>
            <w:vMerge/>
            <w:tcBorders>
              <w:top w:val="nil"/>
              <w:left w:val="single" w:sz="6" w:space="0" w:color="000000"/>
              <w:bottom w:val="single" w:sz="5" w:space="0" w:color="000000"/>
              <w:right w:val="single" w:sz="4" w:space="0" w:color="auto"/>
            </w:tcBorders>
            <w:tcMar>
              <w:top w:w="0" w:type="dxa"/>
              <w:left w:w="100" w:type="dxa"/>
              <w:bottom w:w="0" w:type="dxa"/>
              <w:right w:w="100" w:type="dxa"/>
            </w:tcMar>
          </w:tcPr>
          <w:p w14:paraId="12EE6024" w14:textId="77777777" w:rsidR="00670FD4" w:rsidRDefault="00670FD4" w:rsidP="001925BA">
            <w:pPr>
              <w:widowControl w:val="0"/>
              <w:pBdr>
                <w:top w:val="nil"/>
                <w:left w:val="nil"/>
                <w:bottom w:val="nil"/>
                <w:right w:val="nil"/>
                <w:between w:val="nil"/>
              </w:pBdr>
              <w:spacing w:after="0"/>
              <w:ind w:firstLine="36"/>
              <w:rPr>
                <w:rFonts w:eastAsia="Times New Roman" w:cs="Times New Roman"/>
                <w:sz w:val="20"/>
                <w:szCs w:val="20"/>
              </w:rPr>
            </w:pPr>
          </w:p>
        </w:tc>
        <w:tc>
          <w:tcPr>
            <w:tcW w:w="2126" w:type="dxa"/>
            <w:vMerge/>
            <w:tcBorders>
              <w:left w:val="single" w:sz="4" w:space="0" w:color="auto"/>
              <w:right w:val="single" w:sz="4" w:space="0" w:color="auto"/>
            </w:tcBorders>
          </w:tcPr>
          <w:p w14:paraId="5DEB0AE9" w14:textId="77777777" w:rsidR="00670FD4" w:rsidRDefault="00670FD4" w:rsidP="001925BA">
            <w:pPr>
              <w:spacing w:after="0" w:line="240" w:lineRule="auto"/>
              <w:ind w:firstLine="34"/>
              <w:rPr>
                <w:rFonts w:eastAsia="Times New Roman" w:cs="Times New Roman"/>
                <w:sz w:val="20"/>
                <w:szCs w:val="20"/>
              </w:rPr>
            </w:pPr>
          </w:p>
        </w:tc>
        <w:tc>
          <w:tcPr>
            <w:tcW w:w="4111" w:type="dxa"/>
            <w:tcBorders>
              <w:top w:val="nil"/>
              <w:left w:val="single" w:sz="4" w:space="0" w:color="auto"/>
              <w:bottom w:val="single" w:sz="5" w:space="0" w:color="000000"/>
              <w:right w:val="single" w:sz="6" w:space="0" w:color="000000"/>
            </w:tcBorders>
            <w:shd w:val="clear" w:color="auto" w:fill="auto"/>
            <w:tcMar>
              <w:top w:w="0" w:type="dxa"/>
              <w:left w:w="100" w:type="dxa"/>
              <w:bottom w:w="0" w:type="dxa"/>
              <w:right w:w="100" w:type="dxa"/>
            </w:tcMar>
          </w:tcPr>
          <w:p w14:paraId="1D0E7193"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1.1.4 Elaborarea unui studiu pentru stabilirea structurii bazei de date a Observatorului zonei costiere și a soluțiilor instituționale pentru gestionare</w:t>
            </w:r>
          </w:p>
        </w:tc>
        <w:tc>
          <w:tcPr>
            <w:tcW w:w="1418" w:type="dxa"/>
            <w:tcBorders>
              <w:top w:val="nil"/>
              <w:left w:val="single" w:sz="6" w:space="0" w:color="000000"/>
              <w:bottom w:val="single" w:sz="5" w:space="0" w:color="000000"/>
              <w:right w:val="single" w:sz="5" w:space="0" w:color="000000"/>
            </w:tcBorders>
            <w:shd w:val="clear" w:color="auto" w:fill="auto"/>
            <w:tcMar>
              <w:top w:w="0" w:type="dxa"/>
              <w:left w:w="100" w:type="dxa"/>
              <w:bottom w:w="0" w:type="dxa"/>
              <w:right w:w="100" w:type="dxa"/>
            </w:tcMar>
          </w:tcPr>
          <w:p w14:paraId="4E27E19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B05C80D"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2025</w:t>
            </w:r>
          </w:p>
        </w:tc>
        <w:tc>
          <w:tcPr>
            <w:tcW w:w="1418" w:type="dxa"/>
            <w:vMerge/>
            <w:tcBorders>
              <w:top w:val="nil"/>
              <w:left w:val="nil"/>
              <w:bottom w:val="single" w:sz="5" w:space="0" w:color="000000"/>
              <w:right w:val="single" w:sz="5" w:space="0" w:color="000000"/>
            </w:tcBorders>
            <w:tcMar>
              <w:top w:w="0" w:type="dxa"/>
              <w:left w:w="100" w:type="dxa"/>
              <w:bottom w:w="0" w:type="dxa"/>
              <w:right w:w="100" w:type="dxa"/>
            </w:tcMar>
          </w:tcPr>
          <w:p w14:paraId="57D87A08" w14:textId="77777777" w:rsidR="00670FD4"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1701" w:type="dxa"/>
            <w:vMerge/>
            <w:tcBorders>
              <w:top w:val="nil"/>
              <w:left w:val="nil"/>
              <w:bottom w:val="single" w:sz="5" w:space="0" w:color="000000"/>
              <w:right w:val="single" w:sz="5" w:space="0" w:color="000000"/>
            </w:tcBorders>
            <w:tcMar>
              <w:top w:w="0" w:type="dxa"/>
              <w:left w:w="100" w:type="dxa"/>
              <w:bottom w:w="0" w:type="dxa"/>
              <w:right w:w="100" w:type="dxa"/>
            </w:tcMar>
          </w:tcPr>
          <w:p w14:paraId="26CE608C" w14:textId="77777777" w:rsidR="00670FD4" w:rsidRDefault="00670FD4" w:rsidP="001925BA">
            <w:pPr>
              <w:widowControl w:val="0"/>
              <w:pBdr>
                <w:top w:val="nil"/>
                <w:left w:val="nil"/>
                <w:bottom w:val="nil"/>
                <w:right w:val="nil"/>
                <w:between w:val="nil"/>
              </w:pBdr>
              <w:spacing w:after="0"/>
              <w:ind w:firstLine="41"/>
              <w:rPr>
                <w:rFonts w:eastAsia="Times New Roman" w:cs="Times New Roman"/>
                <w:sz w:val="20"/>
                <w:szCs w:val="20"/>
              </w:rPr>
            </w:pPr>
          </w:p>
        </w:tc>
      </w:tr>
      <w:tr w:rsidR="00670FD4" w14:paraId="2E342B59" w14:textId="77777777" w:rsidTr="001925BA">
        <w:trPr>
          <w:trHeight w:val="629"/>
        </w:trPr>
        <w:tc>
          <w:tcPr>
            <w:tcW w:w="1837" w:type="dxa"/>
            <w:vMerge/>
            <w:tcBorders>
              <w:top w:val="nil"/>
              <w:left w:val="single" w:sz="6" w:space="0" w:color="000000"/>
              <w:bottom w:val="single" w:sz="5" w:space="0" w:color="000000"/>
              <w:right w:val="single" w:sz="4" w:space="0" w:color="auto"/>
            </w:tcBorders>
            <w:tcMar>
              <w:top w:w="0" w:type="dxa"/>
              <w:left w:w="100" w:type="dxa"/>
              <w:bottom w:w="0" w:type="dxa"/>
              <w:right w:w="100" w:type="dxa"/>
            </w:tcMar>
          </w:tcPr>
          <w:p w14:paraId="6BEAE136" w14:textId="77777777" w:rsidR="00670FD4" w:rsidRDefault="00670FD4" w:rsidP="001925BA">
            <w:pPr>
              <w:widowControl w:val="0"/>
              <w:pBdr>
                <w:top w:val="nil"/>
                <w:left w:val="nil"/>
                <w:bottom w:val="nil"/>
                <w:right w:val="nil"/>
                <w:between w:val="nil"/>
              </w:pBdr>
              <w:spacing w:after="0"/>
              <w:ind w:firstLine="36"/>
              <w:rPr>
                <w:rFonts w:eastAsia="Times New Roman" w:cs="Times New Roman"/>
                <w:sz w:val="20"/>
                <w:szCs w:val="20"/>
              </w:rPr>
            </w:pPr>
          </w:p>
        </w:tc>
        <w:tc>
          <w:tcPr>
            <w:tcW w:w="2126" w:type="dxa"/>
            <w:vMerge/>
            <w:tcBorders>
              <w:left w:val="single" w:sz="4" w:space="0" w:color="auto"/>
              <w:right w:val="single" w:sz="4" w:space="0" w:color="auto"/>
            </w:tcBorders>
          </w:tcPr>
          <w:p w14:paraId="2CCED233" w14:textId="77777777" w:rsidR="00670FD4" w:rsidRDefault="00670FD4" w:rsidP="001925BA">
            <w:pPr>
              <w:spacing w:after="0" w:line="240" w:lineRule="auto"/>
              <w:ind w:firstLine="34"/>
              <w:rPr>
                <w:rFonts w:eastAsia="Times New Roman" w:cs="Times New Roman"/>
                <w:sz w:val="20"/>
                <w:szCs w:val="20"/>
              </w:rPr>
            </w:pPr>
          </w:p>
        </w:tc>
        <w:tc>
          <w:tcPr>
            <w:tcW w:w="4111" w:type="dxa"/>
            <w:tcBorders>
              <w:top w:val="nil"/>
              <w:left w:val="single" w:sz="4" w:space="0" w:color="auto"/>
              <w:bottom w:val="single" w:sz="5" w:space="0" w:color="000000"/>
              <w:right w:val="single" w:sz="6" w:space="0" w:color="000000"/>
            </w:tcBorders>
            <w:shd w:val="clear" w:color="auto" w:fill="auto"/>
            <w:tcMar>
              <w:top w:w="0" w:type="dxa"/>
              <w:left w:w="100" w:type="dxa"/>
              <w:bottom w:w="0" w:type="dxa"/>
              <w:right w:w="100" w:type="dxa"/>
            </w:tcMar>
          </w:tcPr>
          <w:p w14:paraId="1562B27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1.1.5 Elaborarea și aprobarea reglementărilor necesare înființării și funcționării</w:t>
            </w:r>
          </w:p>
        </w:tc>
        <w:tc>
          <w:tcPr>
            <w:tcW w:w="1418" w:type="dxa"/>
            <w:tcBorders>
              <w:top w:val="nil"/>
              <w:left w:val="single" w:sz="6" w:space="0" w:color="000000"/>
              <w:bottom w:val="single" w:sz="5" w:space="0" w:color="000000"/>
              <w:right w:val="single" w:sz="5" w:space="0" w:color="000000"/>
            </w:tcBorders>
            <w:shd w:val="clear" w:color="auto" w:fill="auto"/>
            <w:tcMar>
              <w:top w:w="0" w:type="dxa"/>
              <w:left w:w="100" w:type="dxa"/>
              <w:bottom w:w="0" w:type="dxa"/>
              <w:right w:w="100" w:type="dxa"/>
            </w:tcMar>
          </w:tcPr>
          <w:p w14:paraId="0666359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A227C9C"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2025</w:t>
            </w:r>
          </w:p>
        </w:tc>
        <w:tc>
          <w:tcPr>
            <w:tcW w:w="1418" w:type="dxa"/>
            <w:vMerge/>
            <w:tcBorders>
              <w:top w:val="nil"/>
              <w:left w:val="nil"/>
              <w:bottom w:val="single" w:sz="5" w:space="0" w:color="000000"/>
              <w:right w:val="single" w:sz="5" w:space="0" w:color="000000"/>
            </w:tcBorders>
            <w:tcMar>
              <w:top w:w="0" w:type="dxa"/>
              <w:left w:w="100" w:type="dxa"/>
              <w:bottom w:w="0" w:type="dxa"/>
              <w:right w:w="100" w:type="dxa"/>
            </w:tcMar>
          </w:tcPr>
          <w:p w14:paraId="38131A3B" w14:textId="77777777" w:rsidR="00670FD4"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1701" w:type="dxa"/>
            <w:vMerge/>
            <w:tcBorders>
              <w:top w:val="nil"/>
              <w:left w:val="nil"/>
              <w:bottom w:val="single" w:sz="5" w:space="0" w:color="000000"/>
              <w:right w:val="single" w:sz="5" w:space="0" w:color="000000"/>
            </w:tcBorders>
            <w:tcMar>
              <w:top w:w="0" w:type="dxa"/>
              <w:left w:w="100" w:type="dxa"/>
              <w:bottom w:w="0" w:type="dxa"/>
              <w:right w:w="100" w:type="dxa"/>
            </w:tcMar>
          </w:tcPr>
          <w:p w14:paraId="4FE20DB1" w14:textId="77777777" w:rsidR="00670FD4" w:rsidRDefault="00670FD4" w:rsidP="001925BA">
            <w:pPr>
              <w:widowControl w:val="0"/>
              <w:pBdr>
                <w:top w:val="nil"/>
                <w:left w:val="nil"/>
                <w:bottom w:val="nil"/>
                <w:right w:val="nil"/>
                <w:between w:val="nil"/>
              </w:pBdr>
              <w:spacing w:after="0"/>
              <w:ind w:firstLine="41"/>
              <w:rPr>
                <w:rFonts w:eastAsia="Times New Roman" w:cs="Times New Roman"/>
                <w:sz w:val="20"/>
                <w:szCs w:val="20"/>
              </w:rPr>
            </w:pPr>
          </w:p>
        </w:tc>
      </w:tr>
      <w:tr w:rsidR="00670FD4" w14:paraId="324FB558" w14:textId="77777777" w:rsidTr="001925BA">
        <w:trPr>
          <w:trHeight w:val="420"/>
        </w:trPr>
        <w:tc>
          <w:tcPr>
            <w:tcW w:w="1837" w:type="dxa"/>
            <w:vMerge/>
            <w:tcBorders>
              <w:top w:val="nil"/>
              <w:left w:val="single" w:sz="6" w:space="0" w:color="000000"/>
              <w:bottom w:val="single" w:sz="4" w:space="0" w:color="auto"/>
              <w:right w:val="single" w:sz="4" w:space="0" w:color="auto"/>
            </w:tcBorders>
            <w:tcMar>
              <w:top w:w="0" w:type="dxa"/>
              <w:left w:w="100" w:type="dxa"/>
              <w:bottom w:w="0" w:type="dxa"/>
              <w:right w:w="100" w:type="dxa"/>
            </w:tcMar>
          </w:tcPr>
          <w:p w14:paraId="226FCC53" w14:textId="77777777" w:rsidR="00670FD4" w:rsidRDefault="00670FD4" w:rsidP="001925BA">
            <w:pPr>
              <w:widowControl w:val="0"/>
              <w:pBdr>
                <w:top w:val="nil"/>
                <w:left w:val="nil"/>
                <w:bottom w:val="nil"/>
                <w:right w:val="nil"/>
                <w:between w:val="nil"/>
              </w:pBdr>
              <w:spacing w:after="0"/>
              <w:ind w:firstLine="36"/>
              <w:rPr>
                <w:rFonts w:eastAsia="Times New Roman" w:cs="Times New Roman"/>
                <w:sz w:val="20"/>
                <w:szCs w:val="20"/>
              </w:rPr>
            </w:pPr>
          </w:p>
        </w:tc>
        <w:tc>
          <w:tcPr>
            <w:tcW w:w="2126" w:type="dxa"/>
            <w:vMerge/>
            <w:tcBorders>
              <w:left w:val="single" w:sz="4" w:space="0" w:color="auto"/>
              <w:bottom w:val="single" w:sz="4" w:space="0" w:color="auto"/>
              <w:right w:val="single" w:sz="4" w:space="0" w:color="auto"/>
            </w:tcBorders>
          </w:tcPr>
          <w:p w14:paraId="35FE6192" w14:textId="77777777" w:rsidR="00670FD4" w:rsidRDefault="00670FD4" w:rsidP="001925BA">
            <w:pPr>
              <w:spacing w:after="0" w:line="240" w:lineRule="auto"/>
              <w:ind w:firstLine="34"/>
              <w:rPr>
                <w:rFonts w:eastAsia="Times New Roman" w:cs="Times New Roman"/>
                <w:sz w:val="20"/>
                <w:szCs w:val="20"/>
              </w:rPr>
            </w:pPr>
          </w:p>
        </w:tc>
        <w:tc>
          <w:tcPr>
            <w:tcW w:w="4111" w:type="dxa"/>
            <w:tcBorders>
              <w:top w:val="nil"/>
              <w:left w:val="single" w:sz="4" w:space="0" w:color="auto"/>
              <w:bottom w:val="single" w:sz="4" w:space="0" w:color="auto"/>
              <w:right w:val="single" w:sz="6" w:space="0" w:color="000000"/>
            </w:tcBorders>
            <w:shd w:val="clear" w:color="auto" w:fill="auto"/>
            <w:tcMar>
              <w:top w:w="0" w:type="dxa"/>
              <w:left w:w="100" w:type="dxa"/>
              <w:bottom w:w="0" w:type="dxa"/>
              <w:right w:w="100" w:type="dxa"/>
            </w:tcMar>
          </w:tcPr>
          <w:p w14:paraId="7AF1FA9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1.1.6 Programe de instruire a operatorilor de baze de date</w:t>
            </w:r>
          </w:p>
        </w:tc>
        <w:tc>
          <w:tcPr>
            <w:tcW w:w="1418" w:type="dxa"/>
            <w:tcBorders>
              <w:top w:val="nil"/>
              <w:left w:val="single" w:sz="6" w:space="0" w:color="000000"/>
              <w:bottom w:val="single" w:sz="4" w:space="0" w:color="auto"/>
              <w:right w:val="single" w:sz="5" w:space="0" w:color="000000"/>
            </w:tcBorders>
            <w:shd w:val="clear" w:color="auto" w:fill="auto"/>
            <w:tcMar>
              <w:top w:w="0" w:type="dxa"/>
              <w:left w:w="100" w:type="dxa"/>
              <w:bottom w:w="0" w:type="dxa"/>
              <w:right w:w="100" w:type="dxa"/>
            </w:tcMar>
          </w:tcPr>
          <w:p w14:paraId="3026BFC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7"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59972DBF"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2030</w:t>
            </w:r>
          </w:p>
        </w:tc>
        <w:tc>
          <w:tcPr>
            <w:tcW w:w="1418" w:type="dxa"/>
            <w:vMerge/>
            <w:tcBorders>
              <w:top w:val="nil"/>
              <w:left w:val="nil"/>
              <w:bottom w:val="single" w:sz="5" w:space="0" w:color="000000"/>
              <w:right w:val="single" w:sz="5" w:space="0" w:color="000000"/>
            </w:tcBorders>
            <w:tcMar>
              <w:top w:w="0" w:type="dxa"/>
              <w:left w:w="100" w:type="dxa"/>
              <w:bottom w:w="0" w:type="dxa"/>
              <w:right w:w="100" w:type="dxa"/>
            </w:tcMar>
          </w:tcPr>
          <w:p w14:paraId="17C2E20A" w14:textId="77777777" w:rsidR="00670FD4"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1701" w:type="dxa"/>
            <w:vMerge/>
            <w:tcBorders>
              <w:top w:val="nil"/>
              <w:left w:val="nil"/>
              <w:bottom w:val="single" w:sz="5" w:space="0" w:color="000000"/>
              <w:right w:val="single" w:sz="5" w:space="0" w:color="000000"/>
            </w:tcBorders>
            <w:tcMar>
              <w:top w:w="0" w:type="dxa"/>
              <w:left w:w="100" w:type="dxa"/>
              <w:bottom w:w="0" w:type="dxa"/>
              <w:right w:w="100" w:type="dxa"/>
            </w:tcMar>
          </w:tcPr>
          <w:p w14:paraId="2A665175" w14:textId="77777777" w:rsidR="00670FD4" w:rsidRDefault="00670FD4" w:rsidP="001925BA">
            <w:pPr>
              <w:widowControl w:val="0"/>
              <w:pBdr>
                <w:top w:val="nil"/>
                <w:left w:val="nil"/>
                <w:bottom w:val="nil"/>
                <w:right w:val="nil"/>
                <w:between w:val="nil"/>
              </w:pBdr>
              <w:spacing w:after="0"/>
              <w:ind w:firstLine="41"/>
              <w:rPr>
                <w:rFonts w:eastAsia="Times New Roman" w:cs="Times New Roman"/>
                <w:sz w:val="20"/>
                <w:szCs w:val="20"/>
              </w:rPr>
            </w:pPr>
          </w:p>
        </w:tc>
      </w:tr>
      <w:tr w:rsidR="00670FD4" w14:paraId="20DAEF00" w14:textId="77777777" w:rsidTr="001925BA">
        <w:trPr>
          <w:trHeight w:val="981"/>
        </w:trPr>
        <w:tc>
          <w:tcPr>
            <w:tcW w:w="1837" w:type="dxa"/>
            <w:vMerge/>
            <w:tcBorders>
              <w:top w:val="single" w:sz="4" w:space="0" w:color="auto"/>
              <w:left w:val="single" w:sz="5" w:space="0" w:color="000000"/>
              <w:bottom w:val="single" w:sz="4" w:space="0" w:color="auto"/>
              <w:right w:val="single" w:sz="4" w:space="0" w:color="auto"/>
            </w:tcBorders>
            <w:tcMar>
              <w:top w:w="0" w:type="dxa"/>
              <w:left w:w="100" w:type="dxa"/>
              <w:bottom w:w="0" w:type="dxa"/>
              <w:right w:w="100" w:type="dxa"/>
            </w:tcMar>
          </w:tcPr>
          <w:p w14:paraId="36ECC184" w14:textId="77777777" w:rsidR="00670FD4" w:rsidRDefault="00670FD4" w:rsidP="001925BA">
            <w:pPr>
              <w:widowControl w:val="0"/>
              <w:pBdr>
                <w:top w:val="nil"/>
                <w:left w:val="nil"/>
                <w:bottom w:val="nil"/>
                <w:right w:val="nil"/>
                <w:between w:val="nil"/>
              </w:pBdr>
              <w:spacing w:after="0"/>
              <w:ind w:firstLine="36"/>
              <w:rPr>
                <w:rFonts w:eastAsia="Times New Roman" w:cs="Times New Roman"/>
                <w:sz w:val="20"/>
                <w:szCs w:val="20"/>
              </w:rPr>
            </w:pPr>
          </w:p>
        </w:tc>
        <w:tc>
          <w:tcPr>
            <w:tcW w:w="2126" w:type="dxa"/>
            <w:vMerge/>
            <w:tcBorders>
              <w:top w:val="single" w:sz="4" w:space="0" w:color="auto"/>
              <w:left w:val="single" w:sz="4" w:space="0" w:color="auto"/>
              <w:bottom w:val="single" w:sz="4" w:space="0" w:color="auto"/>
              <w:right w:val="single" w:sz="4" w:space="0" w:color="auto"/>
            </w:tcBorders>
          </w:tcPr>
          <w:p w14:paraId="33C8C8E9" w14:textId="77777777" w:rsidR="00670FD4" w:rsidRDefault="00670FD4" w:rsidP="001925BA">
            <w:pPr>
              <w:spacing w:after="0" w:line="240" w:lineRule="auto"/>
              <w:ind w:firstLine="34"/>
              <w:rPr>
                <w:rFonts w:eastAsia="Times New Roman" w:cs="Times New Roman"/>
                <w:sz w:val="20"/>
                <w:szCs w:val="20"/>
              </w:rPr>
            </w:pPr>
          </w:p>
        </w:tc>
        <w:tc>
          <w:tcPr>
            <w:tcW w:w="4111" w:type="dxa"/>
            <w:tcBorders>
              <w:top w:val="single" w:sz="4" w:space="0" w:color="auto"/>
              <w:left w:val="single" w:sz="4" w:space="0" w:color="auto"/>
              <w:bottom w:val="single" w:sz="4" w:space="0" w:color="auto"/>
              <w:right w:val="single" w:sz="6" w:space="0" w:color="000000"/>
            </w:tcBorders>
            <w:shd w:val="clear" w:color="auto" w:fill="auto"/>
            <w:tcMar>
              <w:top w:w="0" w:type="dxa"/>
              <w:left w:w="100" w:type="dxa"/>
              <w:bottom w:w="0" w:type="dxa"/>
              <w:right w:w="100" w:type="dxa"/>
            </w:tcMar>
          </w:tcPr>
          <w:p w14:paraId="38D051F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1.1.7 Realizarea legăturilor instituționale pentru asigurarea schimbului de date și informații cu alte sisteme de date, aparținând altor instituții (de exemplu MDLPA, MCID, MT, etc.</w:t>
            </w:r>
          </w:p>
        </w:tc>
        <w:tc>
          <w:tcPr>
            <w:tcW w:w="1418" w:type="dxa"/>
            <w:tcBorders>
              <w:top w:val="single" w:sz="4" w:space="0" w:color="auto"/>
              <w:left w:val="single" w:sz="6" w:space="0" w:color="000000"/>
              <w:bottom w:val="single" w:sz="4" w:space="0" w:color="auto"/>
              <w:right w:val="single" w:sz="6" w:space="0" w:color="000000"/>
            </w:tcBorders>
            <w:shd w:val="clear" w:color="auto" w:fill="auto"/>
            <w:tcMar>
              <w:top w:w="0" w:type="dxa"/>
              <w:left w:w="100" w:type="dxa"/>
              <w:bottom w:w="0" w:type="dxa"/>
              <w:right w:w="100" w:type="dxa"/>
            </w:tcMar>
          </w:tcPr>
          <w:p w14:paraId="2AE5108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7" w:type="dxa"/>
            <w:tcBorders>
              <w:top w:val="single" w:sz="4" w:space="0" w:color="auto"/>
              <w:left w:val="single" w:sz="6" w:space="0" w:color="000000"/>
              <w:bottom w:val="single" w:sz="4" w:space="0" w:color="auto"/>
              <w:right w:val="single" w:sz="6" w:space="0" w:color="000000"/>
            </w:tcBorders>
            <w:shd w:val="clear" w:color="auto" w:fill="auto"/>
            <w:tcMar>
              <w:top w:w="0" w:type="dxa"/>
              <w:left w:w="100" w:type="dxa"/>
              <w:bottom w:w="0" w:type="dxa"/>
              <w:right w:w="100" w:type="dxa"/>
            </w:tcMar>
          </w:tcPr>
          <w:p w14:paraId="30B6D8F1"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2025</w:t>
            </w:r>
          </w:p>
        </w:tc>
        <w:tc>
          <w:tcPr>
            <w:tcW w:w="1418" w:type="dxa"/>
            <w:vMerge/>
            <w:tcBorders>
              <w:top w:val="nil"/>
              <w:left w:val="single" w:sz="6" w:space="0" w:color="000000"/>
              <w:bottom w:val="single" w:sz="4" w:space="0" w:color="auto"/>
              <w:right w:val="single" w:sz="5" w:space="0" w:color="000000"/>
            </w:tcBorders>
            <w:tcMar>
              <w:top w:w="0" w:type="dxa"/>
              <w:left w:w="100" w:type="dxa"/>
              <w:bottom w:w="0" w:type="dxa"/>
              <w:right w:w="100" w:type="dxa"/>
            </w:tcMar>
          </w:tcPr>
          <w:p w14:paraId="71AD523D" w14:textId="77777777" w:rsidR="00670FD4"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1701" w:type="dxa"/>
            <w:vMerge/>
            <w:tcBorders>
              <w:top w:val="nil"/>
              <w:left w:val="nil"/>
              <w:bottom w:val="single" w:sz="4" w:space="0" w:color="auto"/>
              <w:right w:val="single" w:sz="5" w:space="0" w:color="000000"/>
            </w:tcBorders>
            <w:tcMar>
              <w:top w:w="0" w:type="dxa"/>
              <w:left w:w="100" w:type="dxa"/>
              <w:bottom w:w="0" w:type="dxa"/>
              <w:right w:w="100" w:type="dxa"/>
            </w:tcMar>
          </w:tcPr>
          <w:p w14:paraId="2138F34F" w14:textId="77777777" w:rsidR="00670FD4" w:rsidRDefault="00670FD4" w:rsidP="001925BA">
            <w:pPr>
              <w:widowControl w:val="0"/>
              <w:pBdr>
                <w:top w:val="nil"/>
                <w:left w:val="nil"/>
                <w:bottom w:val="nil"/>
                <w:right w:val="nil"/>
                <w:between w:val="nil"/>
              </w:pBdr>
              <w:spacing w:after="0"/>
              <w:ind w:firstLine="41"/>
              <w:rPr>
                <w:rFonts w:eastAsia="Times New Roman" w:cs="Times New Roman"/>
                <w:sz w:val="20"/>
                <w:szCs w:val="20"/>
              </w:rPr>
            </w:pPr>
          </w:p>
        </w:tc>
      </w:tr>
      <w:tr w:rsidR="00670FD4" w14:paraId="44388D43" w14:textId="77777777" w:rsidTr="001925BA">
        <w:trPr>
          <w:trHeight w:val="788"/>
        </w:trPr>
        <w:tc>
          <w:tcPr>
            <w:tcW w:w="1837" w:type="dxa"/>
            <w:vMerge w:val="restart"/>
            <w:tcBorders>
              <w:top w:val="single" w:sz="4" w:space="0" w:color="auto"/>
              <w:left w:val="single" w:sz="6" w:space="0" w:color="000000"/>
              <w:bottom w:val="single" w:sz="5" w:space="0" w:color="000000"/>
              <w:right w:val="single" w:sz="4" w:space="0" w:color="auto"/>
            </w:tcBorders>
            <w:shd w:val="clear" w:color="auto" w:fill="auto"/>
            <w:tcMar>
              <w:top w:w="0" w:type="dxa"/>
              <w:left w:w="100" w:type="dxa"/>
              <w:bottom w:w="0" w:type="dxa"/>
              <w:right w:w="100" w:type="dxa"/>
            </w:tcMar>
          </w:tcPr>
          <w:p w14:paraId="0A0F898D" w14:textId="77777777" w:rsidR="00670FD4" w:rsidRDefault="00670FD4" w:rsidP="001925BA">
            <w:pPr>
              <w:spacing w:after="0" w:line="240" w:lineRule="auto"/>
              <w:ind w:firstLine="36"/>
              <w:rPr>
                <w:rFonts w:eastAsia="Times New Roman" w:cs="Times New Roman"/>
                <w:sz w:val="20"/>
                <w:szCs w:val="20"/>
              </w:rPr>
            </w:pPr>
            <w:r>
              <w:rPr>
                <w:rFonts w:eastAsia="Times New Roman" w:cs="Times New Roman"/>
                <w:sz w:val="20"/>
                <w:szCs w:val="20"/>
              </w:rPr>
              <w:t>M1.2</w:t>
            </w:r>
            <w:r>
              <w:rPr>
                <w:rFonts w:eastAsia="Times New Roman" w:cs="Times New Roman"/>
                <w:b/>
                <w:i/>
                <w:sz w:val="20"/>
                <w:szCs w:val="20"/>
              </w:rPr>
              <w:t xml:space="preserve"> </w:t>
            </w:r>
            <w:r>
              <w:rPr>
                <w:rFonts w:eastAsia="Times New Roman" w:cs="Times New Roman"/>
                <w:sz w:val="20"/>
                <w:szCs w:val="20"/>
              </w:rPr>
              <w:t>Revizuirea cadrului legislativ referitor la delimitarea zonei costiere</w:t>
            </w:r>
          </w:p>
        </w:tc>
        <w:tc>
          <w:tcPr>
            <w:tcW w:w="2126" w:type="dxa"/>
            <w:vMerge w:val="restart"/>
            <w:tcBorders>
              <w:top w:val="single" w:sz="4" w:space="0" w:color="auto"/>
              <w:left w:val="single" w:sz="4" w:space="0" w:color="auto"/>
              <w:right w:val="single" w:sz="4" w:space="0" w:color="auto"/>
            </w:tcBorders>
          </w:tcPr>
          <w:p w14:paraId="111CA2B1" w14:textId="77777777" w:rsidR="00670FD4" w:rsidRDefault="00670FD4" w:rsidP="001925BA">
            <w:pPr>
              <w:spacing w:after="0" w:line="240" w:lineRule="auto"/>
              <w:ind w:firstLine="34"/>
              <w:rPr>
                <w:rFonts w:eastAsia="Times New Roman" w:cs="Times New Roman"/>
                <w:sz w:val="20"/>
                <w:szCs w:val="20"/>
              </w:rPr>
            </w:pPr>
            <w:r w:rsidRPr="004B4475">
              <w:rPr>
                <w:rFonts w:eastAsia="Times New Roman" w:cs="Times New Roman"/>
                <w:sz w:val="20"/>
                <w:szCs w:val="20"/>
              </w:rPr>
              <w:t>Os5.a Stabilirea / consolidarea mecanismului de coordonare a managementului integrat al zonei de coastă care să aducă împreună toate instituțiile responsabile ale statului român</w:t>
            </w:r>
            <w:r>
              <w:rPr>
                <w:rFonts w:eastAsia="Times New Roman" w:cs="Times New Roman"/>
                <w:sz w:val="20"/>
                <w:szCs w:val="20"/>
              </w:rPr>
              <w:t>.</w:t>
            </w:r>
          </w:p>
        </w:tc>
        <w:tc>
          <w:tcPr>
            <w:tcW w:w="4111" w:type="dxa"/>
            <w:tcBorders>
              <w:top w:val="single" w:sz="4" w:space="0" w:color="auto"/>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129A2A2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1.2.1 Elaborarea unui studiu centralizat pentru toată zona costieră pentru stabilirea spațiilor critice din zona costieră</w:t>
            </w:r>
          </w:p>
        </w:tc>
        <w:tc>
          <w:tcPr>
            <w:tcW w:w="1418"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3F51044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7"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221EAC6E"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2025</w:t>
            </w:r>
          </w:p>
        </w:tc>
        <w:tc>
          <w:tcPr>
            <w:tcW w:w="1418"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0DC9C31E"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MMAP</w:t>
            </w:r>
          </w:p>
        </w:tc>
        <w:tc>
          <w:tcPr>
            <w:tcW w:w="1701" w:type="dxa"/>
            <w:tcBorders>
              <w:top w:val="single" w:sz="4" w:space="0" w:color="auto"/>
              <w:left w:val="nil"/>
              <w:bottom w:val="single" w:sz="5" w:space="0" w:color="000000"/>
              <w:right w:val="single" w:sz="6" w:space="0" w:color="000000"/>
            </w:tcBorders>
            <w:shd w:val="clear" w:color="auto" w:fill="auto"/>
            <w:tcMar>
              <w:top w:w="0" w:type="dxa"/>
              <w:left w:w="100" w:type="dxa"/>
              <w:bottom w:w="0" w:type="dxa"/>
              <w:right w:w="100" w:type="dxa"/>
            </w:tcMar>
          </w:tcPr>
          <w:p w14:paraId="104F107F"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Buget MMAP</w:t>
            </w:r>
          </w:p>
        </w:tc>
      </w:tr>
      <w:tr w:rsidR="00670FD4" w14:paraId="50080A89" w14:textId="77777777" w:rsidTr="001925BA">
        <w:trPr>
          <w:trHeight w:val="740"/>
        </w:trPr>
        <w:tc>
          <w:tcPr>
            <w:tcW w:w="1837" w:type="dxa"/>
            <w:vMerge/>
            <w:tcBorders>
              <w:top w:val="nil"/>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489014DD" w14:textId="77777777" w:rsidR="00670FD4" w:rsidRDefault="00670FD4" w:rsidP="001925BA">
            <w:pPr>
              <w:widowControl w:val="0"/>
              <w:pBdr>
                <w:top w:val="nil"/>
                <w:left w:val="nil"/>
                <w:bottom w:val="nil"/>
                <w:right w:val="nil"/>
                <w:between w:val="nil"/>
              </w:pBdr>
              <w:spacing w:after="0"/>
              <w:ind w:firstLine="36"/>
              <w:rPr>
                <w:rFonts w:eastAsia="Times New Roman" w:cs="Times New Roman"/>
                <w:sz w:val="20"/>
                <w:szCs w:val="20"/>
              </w:rPr>
            </w:pPr>
          </w:p>
        </w:tc>
        <w:tc>
          <w:tcPr>
            <w:tcW w:w="2126" w:type="dxa"/>
            <w:vMerge/>
            <w:tcBorders>
              <w:left w:val="single" w:sz="4" w:space="0" w:color="auto"/>
              <w:right w:val="single" w:sz="4" w:space="0" w:color="auto"/>
            </w:tcBorders>
          </w:tcPr>
          <w:p w14:paraId="5A7D2DBD" w14:textId="77777777" w:rsidR="00670FD4" w:rsidRDefault="00670FD4" w:rsidP="001925BA">
            <w:pPr>
              <w:spacing w:after="0" w:line="240" w:lineRule="auto"/>
              <w:ind w:firstLine="34"/>
              <w:rPr>
                <w:rFonts w:eastAsia="Times New Roman" w:cs="Times New Roman"/>
                <w:sz w:val="20"/>
                <w:szCs w:val="20"/>
              </w:rPr>
            </w:pPr>
          </w:p>
        </w:tc>
        <w:tc>
          <w:tcPr>
            <w:tcW w:w="4111"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0F50822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1.2.2 Stabilirea criteriilor de delimitare a spațiilor sensibile / critice / vulnerabile din zona costieră</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E9CF6FE"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6BC414C"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2025</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F21BDF9"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MMAP și MDLPA</w:t>
            </w:r>
          </w:p>
        </w:tc>
        <w:tc>
          <w:tcPr>
            <w:tcW w:w="1701"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C81F098"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Buget MMAP</w:t>
            </w:r>
          </w:p>
          <w:p w14:paraId="2FF7C9DE"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 xml:space="preserve">Buget MDLPA </w:t>
            </w:r>
          </w:p>
        </w:tc>
      </w:tr>
      <w:tr w:rsidR="00670FD4" w14:paraId="69B8A35C" w14:textId="77777777" w:rsidTr="001925BA">
        <w:trPr>
          <w:trHeight w:val="1175"/>
        </w:trPr>
        <w:tc>
          <w:tcPr>
            <w:tcW w:w="1837" w:type="dxa"/>
            <w:vMerge/>
            <w:tcBorders>
              <w:top w:val="nil"/>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5F890F25" w14:textId="77777777" w:rsidR="00670FD4" w:rsidRDefault="00670FD4" w:rsidP="001925BA">
            <w:pPr>
              <w:widowControl w:val="0"/>
              <w:pBdr>
                <w:top w:val="nil"/>
                <w:left w:val="nil"/>
                <w:bottom w:val="nil"/>
                <w:right w:val="nil"/>
                <w:between w:val="nil"/>
              </w:pBdr>
              <w:spacing w:after="0"/>
              <w:ind w:firstLine="36"/>
              <w:rPr>
                <w:rFonts w:eastAsia="Times New Roman" w:cs="Times New Roman"/>
                <w:sz w:val="20"/>
                <w:szCs w:val="20"/>
              </w:rPr>
            </w:pPr>
          </w:p>
        </w:tc>
        <w:tc>
          <w:tcPr>
            <w:tcW w:w="2126" w:type="dxa"/>
            <w:vMerge/>
            <w:tcBorders>
              <w:left w:val="single" w:sz="4" w:space="0" w:color="auto"/>
              <w:bottom w:val="single" w:sz="4" w:space="0" w:color="auto"/>
              <w:right w:val="single" w:sz="4" w:space="0" w:color="auto"/>
            </w:tcBorders>
          </w:tcPr>
          <w:p w14:paraId="2816F56E" w14:textId="77777777" w:rsidR="00670FD4" w:rsidRDefault="00670FD4" w:rsidP="001925BA">
            <w:pPr>
              <w:spacing w:after="0" w:line="240" w:lineRule="auto"/>
              <w:ind w:firstLine="34"/>
              <w:rPr>
                <w:rFonts w:eastAsia="Times New Roman" w:cs="Times New Roman"/>
                <w:sz w:val="20"/>
                <w:szCs w:val="20"/>
              </w:rPr>
            </w:pPr>
          </w:p>
        </w:tc>
        <w:tc>
          <w:tcPr>
            <w:tcW w:w="4111"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13D2418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1.2.3 Elaborarea și aprobarea proiectelor de revizuire a OUG 202/2002, precum și a actelor normative subsecvente Legea 597/31.10.2001, H.G. nr. 546/07.04.2004 și H.G. nr. 749/14.05.2004</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4286CE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DE593E3"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2027</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B671C06"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MMAP</w:t>
            </w:r>
          </w:p>
        </w:tc>
        <w:tc>
          <w:tcPr>
            <w:tcW w:w="1701"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DAABA45"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Buget MMAP</w:t>
            </w:r>
          </w:p>
        </w:tc>
      </w:tr>
      <w:tr w:rsidR="00670FD4" w14:paraId="07D99957" w14:textId="77777777" w:rsidTr="001925BA">
        <w:trPr>
          <w:trHeight w:val="570"/>
        </w:trPr>
        <w:tc>
          <w:tcPr>
            <w:tcW w:w="1837" w:type="dxa"/>
            <w:vMerge w:val="restart"/>
            <w:tcBorders>
              <w:top w:val="nil"/>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6B5FE666" w14:textId="77777777" w:rsidR="00670FD4" w:rsidRDefault="00670FD4" w:rsidP="001925BA">
            <w:pPr>
              <w:spacing w:after="0" w:line="240" w:lineRule="auto"/>
              <w:ind w:firstLine="36"/>
              <w:rPr>
                <w:rFonts w:eastAsia="Times New Roman" w:cs="Times New Roman"/>
                <w:sz w:val="20"/>
                <w:szCs w:val="20"/>
              </w:rPr>
            </w:pPr>
            <w:r>
              <w:rPr>
                <w:rFonts w:eastAsia="Times New Roman" w:cs="Times New Roman"/>
                <w:sz w:val="20"/>
                <w:szCs w:val="20"/>
              </w:rPr>
              <w:t>M1.3. Consolidarea capacității umane a aparatului administrativ</w:t>
            </w:r>
          </w:p>
        </w:tc>
        <w:tc>
          <w:tcPr>
            <w:tcW w:w="2126" w:type="dxa"/>
            <w:vMerge w:val="restart"/>
            <w:tcBorders>
              <w:top w:val="single" w:sz="4" w:space="0" w:color="auto"/>
              <w:left w:val="single" w:sz="4" w:space="0" w:color="auto"/>
              <w:right w:val="single" w:sz="4" w:space="0" w:color="auto"/>
            </w:tcBorders>
          </w:tcPr>
          <w:p w14:paraId="5916B90F" w14:textId="77777777" w:rsidR="00670FD4" w:rsidRDefault="00670FD4" w:rsidP="001925BA">
            <w:pPr>
              <w:spacing w:after="0" w:line="240" w:lineRule="auto"/>
              <w:ind w:firstLine="34"/>
              <w:rPr>
                <w:rFonts w:eastAsia="Times New Roman" w:cs="Times New Roman"/>
                <w:sz w:val="20"/>
                <w:szCs w:val="20"/>
              </w:rPr>
            </w:pPr>
            <w:r w:rsidRPr="004B4475">
              <w:rPr>
                <w:rFonts w:eastAsia="Times New Roman" w:cs="Times New Roman"/>
                <w:sz w:val="20"/>
                <w:szCs w:val="20"/>
              </w:rPr>
              <w:t>Os5.b Consolidarea capacităţii administrației publice</w:t>
            </w:r>
            <w:r>
              <w:rPr>
                <w:rFonts w:eastAsia="Times New Roman" w:cs="Times New Roman"/>
                <w:sz w:val="20"/>
                <w:szCs w:val="20"/>
              </w:rPr>
              <w:t>.</w:t>
            </w:r>
          </w:p>
        </w:tc>
        <w:tc>
          <w:tcPr>
            <w:tcW w:w="4111"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57C664C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1.3.1 Identificarea beneficiarilor instituționali potențiali și a nevoii acestora de asistență tehnică</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11497C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E0EBE2D"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2025</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6A28FF3"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MMAP</w:t>
            </w:r>
          </w:p>
        </w:tc>
        <w:tc>
          <w:tcPr>
            <w:tcW w:w="1701"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57941AF"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Buget MMAP</w:t>
            </w:r>
          </w:p>
        </w:tc>
      </w:tr>
      <w:tr w:rsidR="00670FD4" w14:paraId="692DFD8F" w14:textId="77777777" w:rsidTr="001925BA">
        <w:trPr>
          <w:trHeight w:val="285"/>
        </w:trPr>
        <w:tc>
          <w:tcPr>
            <w:tcW w:w="1837" w:type="dxa"/>
            <w:vMerge/>
            <w:tcBorders>
              <w:top w:val="nil"/>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41DC4C03" w14:textId="77777777" w:rsidR="00670FD4" w:rsidRDefault="00670FD4" w:rsidP="001925BA">
            <w:pPr>
              <w:widowControl w:val="0"/>
              <w:pBdr>
                <w:top w:val="nil"/>
                <w:left w:val="nil"/>
                <w:bottom w:val="nil"/>
                <w:right w:val="nil"/>
                <w:between w:val="nil"/>
              </w:pBdr>
              <w:spacing w:after="0"/>
              <w:ind w:firstLine="36"/>
              <w:rPr>
                <w:rFonts w:eastAsia="Times New Roman" w:cs="Times New Roman"/>
                <w:sz w:val="20"/>
                <w:szCs w:val="20"/>
              </w:rPr>
            </w:pPr>
          </w:p>
        </w:tc>
        <w:tc>
          <w:tcPr>
            <w:tcW w:w="2126" w:type="dxa"/>
            <w:vMerge/>
            <w:tcBorders>
              <w:left w:val="single" w:sz="4" w:space="0" w:color="auto"/>
              <w:right w:val="single" w:sz="4" w:space="0" w:color="auto"/>
            </w:tcBorders>
          </w:tcPr>
          <w:p w14:paraId="3B5CEBC7" w14:textId="77777777" w:rsidR="00670FD4" w:rsidRDefault="00670FD4" w:rsidP="001925BA">
            <w:pPr>
              <w:spacing w:after="0" w:line="240" w:lineRule="auto"/>
              <w:ind w:firstLine="34"/>
              <w:rPr>
                <w:rFonts w:eastAsia="Times New Roman" w:cs="Times New Roman"/>
                <w:sz w:val="20"/>
                <w:szCs w:val="20"/>
              </w:rPr>
            </w:pPr>
          </w:p>
        </w:tc>
        <w:tc>
          <w:tcPr>
            <w:tcW w:w="4111"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76CDFF3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1.3.2 Elaborarea planului de acțiuni de asistență tehnică</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7C4DD9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675A008"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2025</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98912E5"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MMAP</w:t>
            </w:r>
          </w:p>
        </w:tc>
        <w:tc>
          <w:tcPr>
            <w:tcW w:w="1701"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AA6B9AC"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Buget MMAP</w:t>
            </w:r>
          </w:p>
        </w:tc>
      </w:tr>
      <w:tr w:rsidR="00670FD4" w14:paraId="1F5601B4" w14:textId="77777777" w:rsidTr="001925BA">
        <w:trPr>
          <w:trHeight w:val="1318"/>
        </w:trPr>
        <w:tc>
          <w:tcPr>
            <w:tcW w:w="1837" w:type="dxa"/>
            <w:vMerge/>
            <w:tcBorders>
              <w:top w:val="nil"/>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24653D61" w14:textId="77777777" w:rsidR="00670FD4" w:rsidRDefault="00670FD4" w:rsidP="001925BA">
            <w:pPr>
              <w:widowControl w:val="0"/>
              <w:pBdr>
                <w:top w:val="nil"/>
                <w:left w:val="nil"/>
                <w:bottom w:val="nil"/>
                <w:right w:val="nil"/>
                <w:between w:val="nil"/>
              </w:pBdr>
              <w:spacing w:after="0"/>
              <w:ind w:firstLine="36"/>
              <w:rPr>
                <w:rFonts w:eastAsia="Times New Roman" w:cs="Times New Roman"/>
                <w:sz w:val="20"/>
                <w:szCs w:val="20"/>
              </w:rPr>
            </w:pPr>
          </w:p>
        </w:tc>
        <w:tc>
          <w:tcPr>
            <w:tcW w:w="2126" w:type="dxa"/>
            <w:vMerge/>
            <w:tcBorders>
              <w:left w:val="single" w:sz="4" w:space="0" w:color="auto"/>
              <w:bottom w:val="single" w:sz="4" w:space="0" w:color="auto"/>
              <w:right w:val="single" w:sz="4" w:space="0" w:color="auto"/>
            </w:tcBorders>
          </w:tcPr>
          <w:p w14:paraId="5AF07154" w14:textId="77777777" w:rsidR="00670FD4" w:rsidRDefault="00670FD4" w:rsidP="001925BA">
            <w:pPr>
              <w:spacing w:after="0" w:line="240" w:lineRule="auto"/>
              <w:ind w:firstLine="34"/>
              <w:rPr>
                <w:rFonts w:eastAsia="Times New Roman" w:cs="Times New Roman"/>
                <w:sz w:val="20"/>
                <w:szCs w:val="20"/>
              </w:rPr>
            </w:pPr>
          </w:p>
        </w:tc>
        <w:tc>
          <w:tcPr>
            <w:tcW w:w="4111" w:type="dxa"/>
            <w:tcBorders>
              <w:top w:val="nil"/>
              <w:left w:val="single" w:sz="4" w:space="0" w:color="auto"/>
              <w:bottom w:val="single" w:sz="4" w:space="0" w:color="auto"/>
              <w:right w:val="single" w:sz="5" w:space="0" w:color="000000"/>
            </w:tcBorders>
            <w:shd w:val="clear" w:color="auto" w:fill="auto"/>
            <w:tcMar>
              <w:top w:w="0" w:type="dxa"/>
              <w:left w:w="100" w:type="dxa"/>
              <w:bottom w:w="0" w:type="dxa"/>
              <w:right w:w="100" w:type="dxa"/>
            </w:tcMar>
          </w:tcPr>
          <w:p w14:paraId="55387B1B"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1.3.3 Implementarea planului de acțiuni de Asistență Tehnică</w:t>
            </w:r>
          </w:p>
        </w:tc>
        <w:tc>
          <w:tcPr>
            <w:tcW w:w="1418"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72D7A19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7"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555FBF9A"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2030</w:t>
            </w:r>
          </w:p>
        </w:tc>
        <w:tc>
          <w:tcPr>
            <w:tcW w:w="1418"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5546605E"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MMAP</w:t>
            </w:r>
          </w:p>
        </w:tc>
        <w:tc>
          <w:tcPr>
            <w:tcW w:w="1701"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07EBE5CC"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Buget MMAP*</w:t>
            </w:r>
          </w:p>
          <w:p w14:paraId="7FDB68F2"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Programul de cooperare ESPON 2030, Rețeaua europeană de observare a dezvoltării și coeziunii teritoriale</w:t>
            </w:r>
          </w:p>
        </w:tc>
      </w:tr>
      <w:tr w:rsidR="00670FD4" w14:paraId="3F5D694A" w14:textId="77777777" w:rsidTr="001925BA">
        <w:trPr>
          <w:trHeight w:val="818"/>
        </w:trPr>
        <w:tc>
          <w:tcPr>
            <w:tcW w:w="1837" w:type="dxa"/>
            <w:vMerge w:val="restart"/>
            <w:tcBorders>
              <w:top w:val="nil"/>
              <w:left w:val="single" w:sz="6" w:space="0" w:color="000000"/>
              <w:bottom w:val="single" w:sz="4" w:space="0" w:color="auto"/>
              <w:right w:val="single" w:sz="4" w:space="0" w:color="auto"/>
            </w:tcBorders>
            <w:shd w:val="clear" w:color="auto" w:fill="auto"/>
            <w:tcMar>
              <w:top w:w="0" w:type="dxa"/>
              <w:left w:w="100" w:type="dxa"/>
              <w:bottom w:w="0" w:type="dxa"/>
              <w:right w:w="100" w:type="dxa"/>
            </w:tcMar>
          </w:tcPr>
          <w:p w14:paraId="418C1E8C" w14:textId="77777777" w:rsidR="00670FD4" w:rsidRDefault="00670FD4" w:rsidP="001925BA">
            <w:pPr>
              <w:spacing w:after="0" w:line="240" w:lineRule="auto"/>
              <w:ind w:firstLine="36"/>
              <w:rPr>
                <w:rFonts w:eastAsia="Times New Roman" w:cs="Times New Roman"/>
                <w:sz w:val="20"/>
                <w:szCs w:val="20"/>
              </w:rPr>
            </w:pPr>
            <w:r>
              <w:rPr>
                <w:rFonts w:eastAsia="Times New Roman" w:cs="Times New Roman"/>
                <w:sz w:val="20"/>
                <w:szCs w:val="20"/>
              </w:rPr>
              <w:t xml:space="preserve">M1.4 Creșterea gradului de participare a tuturor </w:t>
            </w:r>
            <w:r>
              <w:rPr>
                <w:rFonts w:eastAsia="Times New Roman" w:cs="Times New Roman"/>
                <w:sz w:val="20"/>
                <w:szCs w:val="20"/>
              </w:rPr>
              <w:lastRenderedPageBreak/>
              <w:t>factorilor implicați în gestionarea zonei costiere</w:t>
            </w:r>
          </w:p>
        </w:tc>
        <w:tc>
          <w:tcPr>
            <w:tcW w:w="2126" w:type="dxa"/>
            <w:vMerge w:val="restart"/>
            <w:tcBorders>
              <w:top w:val="single" w:sz="4" w:space="0" w:color="auto"/>
              <w:left w:val="single" w:sz="4" w:space="0" w:color="auto"/>
              <w:bottom w:val="single" w:sz="4" w:space="0" w:color="auto"/>
              <w:right w:val="single" w:sz="4" w:space="0" w:color="auto"/>
            </w:tcBorders>
          </w:tcPr>
          <w:p w14:paraId="377CB7A1" w14:textId="77777777" w:rsidR="00670FD4" w:rsidRDefault="00670FD4" w:rsidP="001925BA">
            <w:pPr>
              <w:spacing w:line="240" w:lineRule="auto"/>
              <w:ind w:firstLine="34"/>
              <w:rPr>
                <w:rFonts w:eastAsia="Times New Roman" w:cs="Times New Roman"/>
                <w:sz w:val="20"/>
                <w:szCs w:val="20"/>
              </w:rPr>
            </w:pPr>
            <w:r w:rsidRPr="004B4475">
              <w:rPr>
                <w:rFonts w:eastAsia="Times New Roman" w:cs="Times New Roman"/>
                <w:sz w:val="20"/>
                <w:szCs w:val="20"/>
              </w:rPr>
              <w:lastRenderedPageBreak/>
              <w:t xml:space="preserve">Os6.a Crearea unui proces real participativ </w:t>
            </w:r>
            <w:r w:rsidRPr="004B4475">
              <w:rPr>
                <w:rFonts w:eastAsia="Times New Roman" w:cs="Times New Roman"/>
                <w:sz w:val="20"/>
                <w:szCs w:val="20"/>
              </w:rPr>
              <w:lastRenderedPageBreak/>
              <w:t>în gestionarea integrată a zonei costiere</w:t>
            </w:r>
            <w:r>
              <w:rPr>
                <w:rFonts w:eastAsia="Times New Roman" w:cs="Times New Roman"/>
                <w:sz w:val="20"/>
                <w:szCs w:val="20"/>
              </w:rPr>
              <w:t>;</w:t>
            </w:r>
          </w:p>
          <w:p w14:paraId="469D5C00" w14:textId="77777777" w:rsidR="00670FD4" w:rsidRPr="004B4475" w:rsidRDefault="00670FD4" w:rsidP="001925BA">
            <w:pPr>
              <w:spacing w:line="240" w:lineRule="auto"/>
              <w:ind w:firstLine="34"/>
              <w:rPr>
                <w:rFonts w:eastAsia="Times New Roman" w:cs="Times New Roman"/>
                <w:sz w:val="20"/>
                <w:szCs w:val="20"/>
              </w:rPr>
            </w:pPr>
            <w:r w:rsidRPr="004B4475">
              <w:rPr>
                <w:rFonts w:eastAsia="Times New Roman" w:cs="Times New Roman"/>
                <w:sz w:val="20"/>
                <w:szCs w:val="20"/>
              </w:rPr>
              <w:t>Os6.b Creșterea gradului de conștientizare cu privire la necesitatea de a păstra și îmbunătăți resursele zonei de coastă;</w:t>
            </w:r>
          </w:p>
          <w:p w14:paraId="1DDF54E7" w14:textId="77777777" w:rsidR="00670FD4" w:rsidRDefault="00670FD4" w:rsidP="001925BA">
            <w:pPr>
              <w:spacing w:line="240" w:lineRule="auto"/>
              <w:ind w:firstLine="34"/>
              <w:rPr>
                <w:rFonts w:eastAsia="Times New Roman" w:cs="Times New Roman"/>
                <w:sz w:val="20"/>
                <w:szCs w:val="20"/>
              </w:rPr>
            </w:pPr>
            <w:r w:rsidRPr="004B4475">
              <w:rPr>
                <w:rFonts w:eastAsia="Times New Roman" w:cs="Times New Roman"/>
                <w:sz w:val="20"/>
                <w:szCs w:val="20"/>
              </w:rPr>
              <w:t>Os6.c Implicarea cetățenilor în monitorizarea stării de sănătate a med</w:t>
            </w:r>
            <w:r>
              <w:rPr>
                <w:rFonts w:eastAsia="Times New Roman" w:cs="Times New Roman"/>
                <w:sz w:val="20"/>
                <w:szCs w:val="20"/>
              </w:rPr>
              <w:t>iului costier (Citizen-science).</w:t>
            </w:r>
          </w:p>
        </w:tc>
        <w:tc>
          <w:tcPr>
            <w:tcW w:w="4111" w:type="dxa"/>
            <w:tcBorders>
              <w:top w:val="single" w:sz="4" w:space="0" w:color="auto"/>
              <w:left w:val="single" w:sz="4" w:space="0" w:color="auto"/>
              <w:bottom w:val="single" w:sz="4" w:space="0" w:color="auto"/>
              <w:right w:val="single" w:sz="6" w:space="0" w:color="000000"/>
            </w:tcBorders>
            <w:shd w:val="clear" w:color="auto" w:fill="auto"/>
            <w:tcMar>
              <w:top w:w="0" w:type="dxa"/>
              <w:left w:w="100" w:type="dxa"/>
              <w:bottom w:w="0" w:type="dxa"/>
              <w:right w:w="100" w:type="dxa"/>
            </w:tcMar>
          </w:tcPr>
          <w:p w14:paraId="1BC8E0C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lastRenderedPageBreak/>
              <w:t>A 1.4.1 Elaborarea unui Plan de comunicare al Strategiei naționale pentru managementul integrat a zonei costiere</w:t>
            </w:r>
          </w:p>
        </w:tc>
        <w:tc>
          <w:tcPr>
            <w:tcW w:w="1418" w:type="dxa"/>
            <w:tcBorders>
              <w:top w:val="single" w:sz="4" w:space="0" w:color="auto"/>
              <w:left w:val="single" w:sz="6" w:space="0" w:color="000000"/>
              <w:bottom w:val="single" w:sz="5" w:space="0" w:color="000000"/>
              <w:right w:val="single" w:sz="5" w:space="0" w:color="000000"/>
            </w:tcBorders>
            <w:shd w:val="clear" w:color="auto" w:fill="auto"/>
            <w:tcMar>
              <w:top w:w="0" w:type="dxa"/>
              <w:left w:w="100" w:type="dxa"/>
              <w:bottom w:w="0" w:type="dxa"/>
              <w:right w:w="100" w:type="dxa"/>
            </w:tcMar>
          </w:tcPr>
          <w:p w14:paraId="046441B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7"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1539898F"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2025</w:t>
            </w:r>
          </w:p>
        </w:tc>
        <w:tc>
          <w:tcPr>
            <w:tcW w:w="1418"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5B5EED64"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MMAP</w:t>
            </w:r>
          </w:p>
        </w:tc>
        <w:tc>
          <w:tcPr>
            <w:tcW w:w="1701" w:type="dxa"/>
            <w:tcBorders>
              <w:top w:val="single" w:sz="4" w:space="0" w:color="auto"/>
              <w:left w:val="nil"/>
              <w:bottom w:val="single" w:sz="5" w:space="0" w:color="000000"/>
              <w:right w:val="single" w:sz="6" w:space="0" w:color="000000"/>
            </w:tcBorders>
            <w:shd w:val="clear" w:color="auto" w:fill="auto"/>
            <w:tcMar>
              <w:top w:w="0" w:type="dxa"/>
              <w:left w:w="100" w:type="dxa"/>
              <w:bottom w:w="0" w:type="dxa"/>
              <w:right w:w="100" w:type="dxa"/>
            </w:tcMar>
          </w:tcPr>
          <w:p w14:paraId="63C6093E"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Buget MMAP</w:t>
            </w:r>
          </w:p>
        </w:tc>
      </w:tr>
      <w:tr w:rsidR="00670FD4" w14:paraId="52EF0401" w14:textId="77777777" w:rsidTr="001925BA">
        <w:trPr>
          <w:trHeight w:val="742"/>
        </w:trPr>
        <w:tc>
          <w:tcPr>
            <w:tcW w:w="1837" w:type="dxa"/>
            <w:vMerge/>
            <w:tcBorders>
              <w:top w:val="single" w:sz="4" w:space="0" w:color="auto"/>
              <w:left w:val="single" w:sz="6" w:space="0" w:color="000000"/>
              <w:bottom w:val="single" w:sz="5" w:space="0" w:color="000000"/>
              <w:right w:val="single" w:sz="4" w:space="0" w:color="auto"/>
            </w:tcBorders>
            <w:shd w:val="clear" w:color="auto" w:fill="auto"/>
            <w:tcMar>
              <w:top w:w="0" w:type="dxa"/>
              <w:left w:w="100" w:type="dxa"/>
              <w:bottom w:w="0" w:type="dxa"/>
              <w:right w:w="100" w:type="dxa"/>
            </w:tcMar>
          </w:tcPr>
          <w:p w14:paraId="7D9D0695" w14:textId="77777777" w:rsidR="00670FD4" w:rsidRDefault="00670FD4" w:rsidP="001925BA">
            <w:pPr>
              <w:widowControl w:val="0"/>
              <w:pBdr>
                <w:top w:val="nil"/>
                <w:left w:val="nil"/>
                <w:bottom w:val="nil"/>
                <w:right w:val="nil"/>
                <w:between w:val="nil"/>
              </w:pBdr>
              <w:spacing w:after="0"/>
              <w:ind w:firstLine="36"/>
              <w:rPr>
                <w:rFonts w:eastAsia="Times New Roman" w:cs="Times New Roman"/>
                <w:sz w:val="20"/>
                <w:szCs w:val="20"/>
              </w:rPr>
            </w:pPr>
          </w:p>
        </w:tc>
        <w:tc>
          <w:tcPr>
            <w:tcW w:w="2126" w:type="dxa"/>
            <w:vMerge/>
            <w:tcBorders>
              <w:top w:val="single" w:sz="4" w:space="0" w:color="auto"/>
              <w:left w:val="single" w:sz="4" w:space="0" w:color="auto"/>
              <w:right w:val="single" w:sz="4" w:space="0" w:color="auto"/>
            </w:tcBorders>
          </w:tcPr>
          <w:p w14:paraId="0C128602" w14:textId="77777777" w:rsidR="00670FD4" w:rsidRDefault="00670FD4" w:rsidP="001925BA">
            <w:pPr>
              <w:spacing w:after="0" w:line="240" w:lineRule="auto"/>
              <w:ind w:firstLine="34"/>
              <w:rPr>
                <w:rFonts w:eastAsia="Times New Roman" w:cs="Times New Roman"/>
                <w:sz w:val="20"/>
                <w:szCs w:val="20"/>
              </w:rPr>
            </w:pPr>
          </w:p>
        </w:tc>
        <w:tc>
          <w:tcPr>
            <w:tcW w:w="4111" w:type="dxa"/>
            <w:tcBorders>
              <w:top w:val="single" w:sz="4" w:space="0" w:color="auto"/>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3DABA23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1.4. 2 Implementarea Planului de comunicare al Strategiei naționale pentru managementul integrat a zonei costiere</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C7AE74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2068933"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2030</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FCA2240"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MMAP</w:t>
            </w:r>
          </w:p>
        </w:tc>
        <w:tc>
          <w:tcPr>
            <w:tcW w:w="1701" w:type="dxa"/>
            <w:tcBorders>
              <w:top w:val="nil"/>
              <w:left w:val="nil"/>
              <w:bottom w:val="single" w:sz="5" w:space="0" w:color="000000"/>
              <w:right w:val="single" w:sz="6" w:space="0" w:color="000000"/>
            </w:tcBorders>
            <w:shd w:val="clear" w:color="auto" w:fill="auto"/>
            <w:tcMar>
              <w:top w:w="0" w:type="dxa"/>
              <w:left w:w="100" w:type="dxa"/>
              <w:bottom w:w="0" w:type="dxa"/>
              <w:right w:w="100" w:type="dxa"/>
            </w:tcMar>
          </w:tcPr>
          <w:p w14:paraId="2890B7FC"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Buget MMAP</w:t>
            </w:r>
          </w:p>
        </w:tc>
      </w:tr>
      <w:tr w:rsidR="00670FD4" w14:paraId="6E71E629" w14:textId="77777777" w:rsidTr="001925BA">
        <w:trPr>
          <w:trHeight w:val="1110"/>
        </w:trPr>
        <w:tc>
          <w:tcPr>
            <w:tcW w:w="1837" w:type="dxa"/>
            <w:vMerge/>
            <w:tcBorders>
              <w:top w:val="nil"/>
              <w:left w:val="single" w:sz="6" w:space="0" w:color="000000"/>
              <w:bottom w:val="single" w:sz="4" w:space="0" w:color="auto"/>
              <w:right w:val="single" w:sz="4" w:space="0" w:color="auto"/>
            </w:tcBorders>
            <w:shd w:val="clear" w:color="auto" w:fill="auto"/>
            <w:tcMar>
              <w:top w:w="0" w:type="dxa"/>
              <w:left w:w="100" w:type="dxa"/>
              <w:bottom w:w="0" w:type="dxa"/>
              <w:right w:w="100" w:type="dxa"/>
            </w:tcMar>
          </w:tcPr>
          <w:p w14:paraId="367982D0" w14:textId="77777777" w:rsidR="00670FD4" w:rsidRDefault="00670FD4" w:rsidP="001925BA">
            <w:pPr>
              <w:widowControl w:val="0"/>
              <w:pBdr>
                <w:top w:val="nil"/>
                <w:left w:val="nil"/>
                <w:bottom w:val="nil"/>
                <w:right w:val="nil"/>
                <w:between w:val="nil"/>
              </w:pBdr>
              <w:spacing w:after="0"/>
              <w:ind w:firstLine="36"/>
              <w:rPr>
                <w:rFonts w:eastAsia="Times New Roman" w:cs="Times New Roman"/>
                <w:sz w:val="20"/>
                <w:szCs w:val="20"/>
              </w:rPr>
            </w:pPr>
          </w:p>
        </w:tc>
        <w:tc>
          <w:tcPr>
            <w:tcW w:w="2126" w:type="dxa"/>
            <w:vMerge/>
            <w:tcBorders>
              <w:left w:val="single" w:sz="4" w:space="0" w:color="auto"/>
              <w:bottom w:val="single" w:sz="4" w:space="0" w:color="auto"/>
              <w:right w:val="single" w:sz="4" w:space="0" w:color="auto"/>
            </w:tcBorders>
          </w:tcPr>
          <w:p w14:paraId="6E9C4757" w14:textId="77777777" w:rsidR="00670FD4" w:rsidRDefault="00670FD4" w:rsidP="001925BA">
            <w:pPr>
              <w:spacing w:after="0" w:line="240" w:lineRule="auto"/>
              <w:ind w:firstLine="34"/>
              <w:rPr>
                <w:rFonts w:eastAsia="Times New Roman" w:cs="Times New Roman"/>
                <w:sz w:val="20"/>
                <w:szCs w:val="20"/>
              </w:rPr>
            </w:pPr>
          </w:p>
        </w:tc>
        <w:tc>
          <w:tcPr>
            <w:tcW w:w="4111" w:type="dxa"/>
            <w:tcBorders>
              <w:top w:val="nil"/>
              <w:left w:val="single" w:sz="4" w:space="0" w:color="auto"/>
              <w:bottom w:val="single" w:sz="4" w:space="0" w:color="auto"/>
              <w:right w:val="single" w:sz="5" w:space="0" w:color="000000"/>
            </w:tcBorders>
            <w:shd w:val="clear" w:color="auto" w:fill="auto"/>
            <w:tcMar>
              <w:top w:w="0" w:type="dxa"/>
              <w:left w:w="100" w:type="dxa"/>
              <w:bottom w:w="0" w:type="dxa"/>
              <w:right w:w="100" w:type="dxa"/>
            </w:tcMar>
          </w:tcPr>
          <w:p w14:paraId="7C69D66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1.4.3 Promovarea, prin campanii de conștientizare, a unui instrument de tip citizen-science în vederea implicării directe a cetățenilor, pe bază de voluntariat, în procesul de management integrat al zonei costiere</w:t>
            </w:r>
          </w:p>
        </w:tc>
        <w:tc>
          <w:tcPr>
            <w:tcW w:w="1418"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0352382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Medie</w:t>
            </w:r>
          </w:p>
        </w:tc>
        <w:tc>
          <w:tcPr>
            <w:tcW w:w="1417"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0441262F"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2030</w:t>
            </w:r>
          </w:p>
        </w:tc>
        <w:tc>
          <w:tcPr>
            <w:tcW w:w="1418"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52628FC6"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MMAP</w:t>
            </w:r>
          </w:p>
        </w:tc>
        <w:tc>
          <w:tcPr>
            <w:tcW w:w="1701" w:type="dxa"/>
            <w:tcBorders>
              <w:top w:val="nil"/>
              <w:left w:val="nil"/>
              <w:bottom w:val="single" w:sz="4" w:space="0" w:color="auto"/>
              <w:right w:val="single" w:sz="6" w:space="0" w:color="000000"/>
            </w:tcBorders>
            <w:shd w:val="clear" w:color="auto" w:fill="auto"/>
            <w:tcMar>
              <w:top w:w="0" w:type="dxa"/>
              <w:left w:w="100" w:type="dxa"/>
              <w:bottom w:w="0" w:type="dxa"/>
              <w:right w:w="100" w:type="dxa"/>
            </w:tcMar>
          </w:tcPr>
          <w:p w14:paraId="2A328054"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Buget MMAP</w:t>
            </w:r>
          </w:p>
        </w:tc>
      </w:tr>
      <w:tr w:rsidR="00670FD4" w14:paraId="1FF22176" w14:textId="77777777" w:rsidTr="001925BA">
        <w:trPr>
          <w:trHeight w:val="636"/>
        </w:trPr>
        <w:tc>
          <w:tcPr>
            <w:tcW w:w="1837" w:type="dxa"/>
            <w:vMerge/>
            <w:tcBorders>
              <w:top w:val="single" w:sz="4" w:space="0" w:color="auto"/>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2297B652" w14:textId="77777777" w:rsidR="00670FD4" w:rsidRDefault="00670FD4" w:rsidP="001925BA">
            <w:pPr>
              <w:widowControl w:val="0"/>
              <w:pBdr>
                <w:top w:val="nil"/>
                <w:left w:val="nil"/>
                <w:bottom w:val="nil"/>
                <w:right w:val="nil"/>
                <w:between w:val="nil"/>
              </w:pBdr>
              <w:spacing w:after="0"/>
              <w:ind w:firstLine="36"/>
              <w:rPr>
                <w:rFonts w:eastAsia="Times New Roman" w:cs="Times New Roman"/>
                <w:sz w:val="20"/>
                <w:szCs w:val="20"/>
              </w:rPr>
            </w:pPr>
          </w:p>
        </w:tc>
        <w:tc>
          <w:tcPr>
            <w:tcW w:w="2126" w:type="dxa"/>
            <w:vMerge/>
            <w:tcBorders>
              <w:top w:val="single" w:sz="4" w:space="0" w:color="auto"/>
              <w:left w:val="single" w:sz="4" w:space="0" w:color="auto"/>
              <w:right w:val="single" w:sz="4" w:space="0" w:color="auto"/>
            </w:tcBorders>
          </w:tcPr>
          <w:p w14:paraId="313A3258" w14:textId="77777777" w:rsidR="00670FD4" w:rsidRDefault="00670FD4" w:rsidP="001925BA">
            <w:pPr>
              <w:spacing w:after="0" w:line="240" w:lineRule="auto"/>
              <w:ind w:firstLine="34"/>
              <w:rPr>
                <w:rFonts w:eastAsia="Times New Roman" w:cs="Times New Roman"/>
                <w:sz w:val="20"/>
                <w:szCs w:val="20"/>
              </w:rPr>
            </w:pPr>
          </w:p>
        </w:tc>
        <w:tc>
          <w:tcPr>
            <w:tcW w:w="4111" w:type="dxa"/>
            <w:tcBorders>
              <w:top w:val="single" w:sz="4" w:space="0" w:color="auto"/>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20AA298B"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1.4.4 Organizare de cursuri periodice de instruire a voluntarilor în aplicarea tehnicilor de monitoring</w:t>
            </w:r>
          </w:p>
        </w:tc>
        <w:tc>
          <w:tcPr>
            <w:tcW w:w="1418"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3B088F9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Medie</w:t>
            </w:r>
          </w:p>
        </w:tc>
        <w:tc>
          <w:tcPr>
            <w:tcW w:w="1417"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52796261"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2030</w:t>
            </w:r>
          </w:p>
        </w:tc>
        <w:tc>
          <w:tcPr>
            <w:tcW w:w="1418"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15C00ADE"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MMAP, MCID (INCD-uri), ME (universități)</w:t>
            </w:r>
          </w:p>
        </w:tc>
        <w:tc>
          <w:tcPr>
            <w:tcW w:w="1701"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036DA225"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Buget MMAP*</w:t>
            </w:r>
          </w:p>
        </w:tc>
      </w:tr>
      <w:tr w:rsidR="00670FD4" w14:paraId="4FA5BBE8" w14:textId="77777777" w:rsidTr="001925BA">
        <w:trPr>
          <w:trHeight w:val="748"/>
        </w:trPr>
        <w:tc>
          <w:tcPr>
            <w:tcW w:w="1837" w:type="dxa"/>
            <w:vMerge/>
            <w:tcBorders>
              <w:top w:val="nil"/>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26FA724D" w14:textId="77777777" w:rsidR="00670FD4" w:rsidRDefault="00670FD4" w:rsidP="001925BA">
            <w:pPr>
              <w:widowControl w:val="0"/>
              <w:pBdr>
                <w:top w:val="nil"/>
                <w:left w:val="nil"/>
                <w:bottom w:val="nil"/>
                <w:right w:val="nil"/>
                <w:between w:val="nil"/>
              </w:pBdr>
              <w:spacing w:after="0"/>
              <w:ind w:firstLine="36"/>
              <w:rPr>
                <w:rFonts w:eastAsia="Times New Roman" w:cs="Times New Roman"/>
                <w:sz w:val="20"/>
                <w:szCs w:val="20"/>
              </w:rPr>
            </w:pPr>
          </w:p>
        </w:tc>
        <w:tc>
          <w:tcPr>
            <w:tcW w:w="2126" w:type="dxa"/>
            <w:vMerge/>
            <w:tcBorders>
              <w:left w:val="single" w:sz="4" w:space="0" w:color="auto"/>
              <w:bottom w:val="single" w:sz="4" w:space="0" w:color="auto"/>
              <w:right w:val="single" w:sz="4" w:space="0" w:color="auto"/>
            </w:tcBorders>
          </w:tcPr>
          <w:p w14:paraId="70FFC3EB" w14:textId="77777777" w:rsidR="00670FD4" w:rsidRDefault="00670FD4" w:rsidP="001925BA">
            <w:pPr>
              <w:spacing w:after="0" w:line="240" w:lineRule="auto"/>
              <w:ind w:firstLine="34"/>
              <w:rPr>
                <w:rFonts w:eastAsia="Times New Roman" w:cs="Times New Roman"/>
                <w:sz w:val="20"/>
                <w:szCs w:val="20"/>
              </w:rPr>
            </w:pPr>
          </w:p>
        </w:tc>
        <w:tc>
          <w:tcPr>
            <w:tcW w:w="4111"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1F0C074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1.4..5 Realizarea unui mecanism care să permită accesul voluntarilor la infrastructura de monitorizare a organizațiilor specializate</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B811BC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Medie</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31325A4"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2025</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097CC95"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MMAP, MCID (INCD-uri), ME (universități)</w:t>
            </w:r>
          </w:p>
        </w:tc>
        <w:tc>
          <w:tcPr>
            <w:tcW w:w="1701"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A905F53"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Buget MMAP*</w:t>
            </w:r>
          </w:p>
        </w:tc>
      </w:tr>
      <w:tr w:rsidR="00670FD4" w14:paraId="7B1F01B9" w14:textId="77777777" w:rsidTr="001925BA">
        <w:trPr>
          <w:trHeight w:val="1395"/>
        </w:trPr>
        <w:tc>
          <w:tcPr>
            <w:tcW w:w="1837" w:type="dxa"/>
            <w:vMerge w:val="restart"/>
            <w:tcBorders>
              <w:top w:val="nil"/>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24269B6F" w14:textId="77777777" w:rsidR="00670FD4" w:rsidRDefault="00670FD4" w:rsidP="001925BA">
            <w:pPr>
              <w:spacing w:after="0" w:line="240" w:lineRule="auto"/>
              <w:ind w:firstLine="36"/>
              <w:rPr>
                <w:rFonts w:eastAsia="Times New Roman" w:cs="Times New Roman"/>
                <w:sz w:val="20"/>
                <w:szCs w:val="20"/>
              </w:rPr>
            </w:pPr>
            <w:r>
              <w:rPr>
                <w:rFonts w:eastAsia="Times New Roman" w:cs="Times New Roman"/>
                <w:sz w:val="20"/>
                <w:szCs w:val="20"/>
              </w:rPr>
              <w:t>M1.5 Creșterea eficienței supravegherii și controlului utilizării resurselor zonei costiere</w:t>
            </w:r>
          </w:p>
          <w:p w14:paraId="7825B73B" w14:textId="77777777" w:rsidR="00670FD4" w:rsidRDefault="00670FD4" w:rsidP="001925BA">
            <w:pPr>
              <w:spacing w:after="0" w:line="240" w:lineRule="auto"/>
              <w:ind w:firstLine="36"/>
              <w:rPr>
                <w:rFonts w:eastAsia="Times New Roman" w:cs="Times New Roman"/>
                <w:sz w:val="20"/>
                <w:szCs w:val="20"/>
              </w:rPr>
            </w:pPr>
            <w:r>
              <w:rPr>
                <w:rFonts w:eastAsia="Times New Roman" w:cs="Times New Roman"/>
                <w:sz w:val="20"/>
                <w:szCs w:val="20"/>
              </w:rPr>
              <w:t xml:space="preserve"> </w:t>
            </w:r>
          </w:p>
        </w:tc>
        <w:tc>
          <w:tcPr>
            <w:tcW w:w="2126" w:type="dxa"/>
            <w:vMerge w:val="restart"/>
            <w:tcBorders>
              <w:top w:val="single" w:sz="4" w:space="0" w:color="auto"/>
              <w:left w:val="single" w:sz="4" w:space="0" w:color="auto"/>
              <w:right w:val="single" w:sz="4" w:space="0" w:color="auto"/>
            </w:tcBorders>
          </w:tcPr>
          <w:p w14:paraId="59F33E54" w14:textId="77777777" w:rsidR="00670FD4" w:rsidRDefault="00670FD4" w:rsidP="001925BA">
            <w:pPr>
              <w:spacing w:line="240" w:lineRule="auto"/>
              <w:ind w:firstLine="34"/>
              <w:rPr>
                <w:rFonts w:eastAsia="Times New Roman" w:cs="Times New Roman"/>
                <w:sz w:val="20"/>
                <w:szCs w:val="20"/>
              </w:rPr>
            </w:pPr>
            <w:r w:rsidRPr="00820F4E">
              <w:rPr>
                <w:rFonts w:eastAsia="Times New Roman" w:cs="Times New Roman"/>
                <w:sz w:val="20"/>
                <w:szCs w:val="20"/>
              </w:rPr>
              <w:t>Os5.c Întărirea aplicării normelor specifice sectoarelor economice din zona costieră</w:t>
            </w:r>
            <w:r>
              <w:rPr>
                <w:rFonts w:eastAsia="Times New Roman" w:cs="Times New Roman"/>
                <w:sz w:val="20"/>
                <w:szCs w:val="20"/>
              </w:rPr>
              <w:t>;</w:t>
            </w:r>
          </w:p>
          <w:p w14:paraId="63AB0BEF" w14:textId="77777777" w:rsidR="00670FD4" w:rsidRPr="00820F4E" w:rsidRDefault="00670FD4" w:rsidP="001925BA">
            <w:pPr>
              <w:spacing w:line="240" w:lineRule="auto"/>
              <w:ind w:firstLine="34"/>
              <w:rPr>
                <w:rFonts w:eastAsia="Times New Roman" w:cs="Times New Roman"/>
                <w:sz w:val="20"/>
                <w:szCs w:val="20"/>
              </w:rPr>
            </w:pPr>
            <w:r w:rsidRPr="00820F4E">
              <w:rPr>
                <w:rFonts w:eastAsia="Times New Roman" w:cs="Times New Roman"/>
                <w:sz w:val="20"/>
                <w:szCs w:val="20"/>
              </w:rPr>
              <w:t>Os4.a Gestionarea durabi</w:t>
            </w:r>
            <w:r>
              <w:rPr>
                <w:rFonts w:eastAsia="Times New Roman" w:cs="Times New Roman"/>
                <w:sz w:val="20"/>
                <w:szCs w:val="20"/>
              </w:rPr>
              <w:t>lă a resurselor zonei de coastă.</w:t>
            </w:r>
          </w:p>
          <w:p w14:paraId="33F5AD7C" w14:textId="77777777" w:rsidR="00670FD4" w:rsidRDefault="00670FD4" w:rsidP="001925BA">
            <w:pPr>
              <w:spacing w:line="240" w:lineRule="auto"/>
              <w:ind w:firstLine="34"/>
              <w:rPr>
                <w:rFonts w:eastAsia="Times New Roman" w:cs="Times New Roman"/>
                <w:sz w:val="20"/>
                <w:szCs w:val="20"/>
              </w:rPr>
            </w:pPr>
          </w:p>
        </w:tc>
        <w:tc>
          <w:tcPr>
            <w:tcW w:w="4111"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730D49D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1.5.1 Dezvoltarea unor mecanisme pentru îmbunătățirea coordonării acțiunilor entităților/organizațiilor responsabile pentru supravegherea și controlul activităților de pescuit, poluării apelor subterane și de suprafață, poluării solului, construcțiilor ilegale, etc.</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FD65DC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DD85643"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2025</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F72204F"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MMAP</w:t>
            </w:r>
          </w:p>
        </w:tc>
        <w:tc>
          <w:tcPr>
            <w:tcW w:w="1701"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84E339E"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buget propriu MMAP</w:t>
            </w:r>
          </w:p>
        </w:tc>
      </w:tr>
      <w:tr w:rsidR="00670FD4" w14:paraId="4C44EC04" w14:textId="77777777" w:rsidTr="001925BA">
        <w:trPr>
          <w:trHeight w:val="570"/>
        </w:trPr>
        <w:tc>
          <w:tcPr>
            <w:tcW w:w="1837" w:type="dxa"/>
            <w:vMerge/>
            <w:tcBorders>
              <w:top w:val="nil"/>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6F92016D" w14:textId="77777777" w:rsidR="00670FD4" w:rsidRDefault="00670FD4" w:rsidP="001925BA">
            <w:pPr>
              <w:widowControl w:val="0"/>
              <w:pBdr>
                <w:top w:val="nil"/>
                <w:left w:val="nil"/>
                <w:bottom w:val="nil"/>
                <w:right w:val="nil"/>
                <w:between w:val="nil"/>
              </w:pBdr>
              <w:spacing w:after="0"/>
              <w:rPr>
                <w:rFonts w:eastAsia="Times New Roman" w:cs="Times New Roman"/>
                <w:sz w:val="20"/>
                <w:szCs w:val="20"/>
              </w:rPr>
            </w:pPr>
          </w:p>
        </w:tc>
        <w:tc>
          <w:tcPr>
            <w:tcW w:w="2126" w:type="dxa"/>
            <w:vMerge/>
            <w:tcBorders>
              <w:left w:val="single" w:sz="4" w:space="0" w:color="auto"/>
              <w:right w:val="single" w:sz="4" w:space="0" w:color="auto"/>
            </w:tcBorders>
          </w:tcPr>
          <w:p w14:paraId="4F4DB01A" w14:textId="77777777" w:rsidR="00670FD4" w:rsidRDefault="00670FD4" w:rsidP="001925BA">
            <w:pPr>
              <w:spacing w:after="0" w:line="240" w:lineRule="auto"/>
              <w:rPr>
                <w:rFonts w:eastAsia="Times New Roman" w:cs="Times New Roman"/>
                <w:sz w:val="20"/>
                <w:szCs w:val="20"/>
              </w:rPr>
            </w:pPr>
          </w:p>
        </w:tc>
        <w:tc>
          <w:tcPr>
            <w:tcW w:w="4111"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7269B8D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1.5.2 Realizarea periodică de programe de instruire a personalului de control</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CE644A3"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Medie</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8E40459"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2030</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E8789B9"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MMAP</w:t>
            </w:r>
          </w:p>
        </w:tc>
        <w:tc>
          <w:tcPr>
            <w:tcW w:w="1701"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0BB4B4F"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buget propriu MMAP</w:t>
            </w:r>
          </w:p>
        </w:tc>
      </w:tr>
      <w:tr w:rsidR="00670FD4" w14:paraId="136DA9CB" w14:textId="77777777" w:rsidTr="001925BA">
        <w:trPr>
          <w:trHeight w:val="2108"/>
        </w:trPr>
        <w:tc>
          <w:tcPr>
            <w:tcW w:w="1837" w:type="dxa"/>
            <w:vMerge/>
            <w:tcBorders>
              <w:top w:val="nil"/>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0B1F38E3" w14:textId="77777777" w:rsidR="00670FD4" w:rsidRDefault="00670FD4" w:rsidP="001925BA">
            <w:pPr>
              <w:widowControl w:val="0"/>
              <w:pBdr>
                <w:top w:val="nil"/>
                <w:left w:val="nil"/>
                <w:bottom w:val="nil"/>
                <w:right w:val="nil"/>
                <w:between w:val="nil"/>
              </w:pBdr>
              <w:spacing w:after="0"/>
              <w:rPr>
                <w:rFonts w:eastAsia="Times New Roman" w:cs="Times New Roman"/>
                <w:sz w:val="20"/>
                <w:szCs w:val="20"/>
              </w:rPr>
            </w:pPr>
          </w:p>
        </w:tc>
        <w:tc>
          <w:tcPr>
            <w:tcW w:w="2126" w:type="dxa"/>
            <w:vMerge/>
            <w:tcBorders>
              <w:left w:val="single" w:sz="4" w:space="0" w:color="auto"/>
              <w:bottom w:val="single" w:sz="4" w:space="0" w:color="auto"/>
              <w:right w:val="single" w:sz="4" w:space="0" w:color="auto"/>
            </w:tcBorders>
          </w:tcPr>
          <w:p w14:paraId="47D6115D" w14:textId="77777777" w:rsidR="00670FD4" w:rsidRDefault="00670FD4" w:rsidP="001925BA">
            <w:pPr>
              <w:spacing w:after="0" w:line="240" w:lineRule="auto"/>
              <w:rPr>
                <w:rFonts w:eastAsia="Times New Roman" w:cs="Times New Roman"/>
                <w:sz w:val="20"/>
                <w:szCs w:val="20"/>
              </w:rPr>
            </w:pPr>
          </w:p>
        </w:tc>
        <w:tc>
          <w:tcPr>
            <w:tcW w:w="4111"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7A64FFC3"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1.5.3 Realizarea de programe de consolidare a capacităților tehnice (utilizarea unor mijloace moderne de supraveghere și control, în special din perspectiva prevenirii utilizării mijloacelor interzise în pescuit, introducerii interzise de specii invazive, construcţiilor ilegale, valorificării comerciale a patrimoniului natural şi cultural de pe uscat şi pe mare, poluării</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FB4DA0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Medie</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81CC729"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2030</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3114576"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MMAP (prin ARBDD, ANANP, GNM), MADR (prin ANPA), MAI și ANRM.</w:t>
            </w:r>
          </w:p>
        </w:tc>
        <w:tc>
          <w:tcPr>
            <w:tcW w:w="1701"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8A2AA56" w14:textId="77777777" w:rsidR="00670FD4" w:rsidRDefault="00670FD4" w:rsidP="001925BA">
            <w:pPr>
              <w:spacing w:after="0" w:line="240" w:lineRule="auto"/>
              <w:ind w:firstLine="41"/>
              <w:rPr>
                <w:rFonts w:eastAsia="Times New Roman" w:cs="Times New Roman"/>
                <w:sz w:val="20"/>
                <w:szCs w:val="20"/>
              </w:rPr>
            </w:pPr>
            <w:r>
              <w:rPr>
                <w:rFonts w:eastAsia="Times New Roman" w:cs="Times New Roman"/>
                <w:sz w:val="20"/>
                <w:szCs w:val="20"/>
              </w:rPr>
              <w:t>Bugetele proprii ale organizațiilor responsabile pentru control și supraveghere</w:t>
            </w:r>
          </w:p>
        </w:tc>
      </w:tr>
    </w:tbl>
    <w:p w14:paraId="711790A8" w14:textId="77777777" w:rsidR="00670FD4" w:rsidRDefault="00670FD4" w:rsidP="00670FD4">
      <w:pPr>
        <w:rPr>
          <w:rFonts w:eastAsia="Times New Roman" w:cs="Times New Roman"/>
        </w:rPr>
      </w:pPr>
    </w:p>
    <w:p w14:paraId="30157AE9" w14:textId="77777777" w:rsidR="00670FD4" w:rsidRDefault="00670FD4" w:rsidP="00670FD4">
      <w:pPr>
        <w:spacing w:before="0"/>
        <w:ind w:firstLine="720"/>
        <w:rPr>
          <w:rFonts w:eastAsia="Times New Roman" w:cs="Times New Roman"/>
        </w:rPr>
      </w:pPr>
      <w:r>
        <w:rPr>
          <w:rFonts w:eastAsia="Times New Roman" w:cs="Times New Roman"/>
        </w:rPr>
        <w:lastRenderedPageBreak/>
        <w:t xml:space="preserve">Activitățile ce se vor realiza în vederea implementării </w:t>
      </w:r>
      <w:r>
        <w:rPr>
          <w:rFonts w:eastAsia="Times New Roman" w:cs="Times New Roman"/>
          <w:b/>
          <w:i/>
        </w:rPr>
        <w:t>Programului de Măsuri</w:t>
      </w:r>
      <w:r>
        <w:rPr>
          <w:b/>
          <w:color w:val="000000"/>
        </w:rPr>
        <w:t xml:space="preserve"> </w:t>
      </w:r>
      <w:r>
        <w:rPr>
          <w:rFonts w:eastAsia="Times New Roman" w:cs="Times New Roman"/>
          <w:b/>
          <w:i/>
          <w:color w:val="000000"/>
        </w:rPr>
        <w:t>de protecție și conservare a patrimoniul cultural și peisajului</w:t>
      </w:r>
      <w:r>
        <w:rPr>
          <w:b/>
          <w:color w:val="000000"/>
        </w:rPr>
        <w:t xml:space="preserve"> </w:t>
      </w:r>
      <w:r>
        <w:rPr>
          <w:rFonts w:eastAsia="Times New Roman" w:cs="Times New Roman"/>
        </w:rPr>
        <w:t>sunt prezentate în Tabelul de mai jos, unde sunt indicate termenele de implementare, organizațiile responsabile pentru realizarea activităților, și implicit implementarea măsurilor, precum și posibilele surse de finanțare.</w:t>
      </w:r>
    </w:p>
    <w:tbl>
      <w:tblPr>
        <w:tblW w:w="14043" w:type="dxa"/>
        <w:tblInd w:w="-19" w:type="dxa"/>
        <w:tblBorders>
          <w:top w:val="nil"/>
          <w:left w:val="nil"/>
          <w:bottom w:val="nil"/>
          <w:right w:val="nil"/>
          <w:insideH w:val="nil"/>
          <w:insideV w:val="nil"/>
        </w:tblBorders>
        <w:tblLayout w:type="fixed"/>
        <w:tblLook w:val="0600" w:firstRow="0" w:lastRow="0" w:firstColumn="0" w:lastColumn="0" w:noHBand="1" w:noVBand="1"/>
      </w:tblPr>
      <w:tblGrid>
        <w:gridCol w:w="1875"/>
        <w:gridCol w:w="2098"/>
        <w:gridCol w:w="4112"/>
        <w:gridCol w:w="1419"/>
        <w:gridCol w:w="1418"/>
        <w:gridCol w:w="1419"/>
        <w:gridCol w:w="1702"/>
      </w:tblGrid>
      <w:tr w:rsidR="00670FD4" w14:paraId="27D5536E" w14:textId="77777777" w:rsidTr="001925BA">
        <w:trPr>
          <w:trHeight w:val="570"/>
        </w:trPr>
        <w:tc>
          <w:tcPr>
            <w:tcW w:w="1875" w:type="dxa"/>
            <w:tcBorders>
              <w:top w:val="single" w:sz="5" w:space="0" w:color="000000"/>
              <w:left w:val="single" w:sz="5" w:space="0" w:color="000000"/>
              <w:bottom w:val="single" w:sz="4" w:space="0" w:color="000000"/>
              <w:right w:val="single" w:sz="4" w:space="0" w:color="auto"/>
            </w:tcBorders>
            <w:tcMar>
              <w:top w:w="0" w:type="dxa"/>
              <w:left w:w="100" w:type="dxa"/>
              <w:bottom w:w="0" w:type="dxa"/>
              <w:right w:w="100" w:type="dxa"/>
            </w:tcMar>
          </w:tcPr>
          <w:p w14:paraId="43191C7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Masură</w:t>
            </w:r>
          </w:p>
        </w:tc>
        <w:tc>
          <w:tcPr>
            <w:tcW w:w="2098" w:type="dxa"/>
            <w:tcBorders>
              <w:top w:val="single" w:sz="4" w:space="0" w:color="auto"/>
              <w:left w:val="single" w:sz="4" w:space="0" w:color="auto"/>
              <w:bottom w:val="single" w:sz="4" w:space="0" w:color="auto"/>
              <w:right w:val="single" w:sz="4" w:space="0" w:color="auto"/>
            </w:tcBorders>
          </w:tcPr>
          <w:p w14:paraId="35665A60" w14:textId="77777777" w:rsidR="00670FD4" w:rsidRDefault="00670FD4" w:rsidP="001925BA">
            <w:pPr>
              <w:spacing w:after="0" w:line="240" w:lineRule="auto"/>
              <w:ind w:firstLine="16"/>
              <w:rPr>
                <w:rFonts w:eastAsia="Times New Roman" w:cs="Times New Roman"/>
                <w:sz w:val="20"/>
                <w:szCs w:val="20"/>
              </w:rPr>
            </w:pPr>
            <w:r>
              <w:rPr>
                <w:rFonts w:eastAsia="Times New Roman" w:cs="Times New Roman"/>
                <w:sz w:val="20"/>
                <w:szCs w:val="20"/>
              </w:rPr>
              <w:t>Obiective vizate</w:t>
            </w:r>
          </w:p>
        </w:tc>
        <w:tc>
          <w:tcPr>
            <w:tcW w:w="4112" w:type="dxa"/>
            <w:tcBorders>
              <w:top w:val="single" w:sz="5" w:space="0" w:color="000000"/>
              <w:left w:val="single" w:sz="4" w:space="0" w:color="auto"/>
              <w:bottom w:val="single" w:sz="4" w:space="0" w:color="000000"/>
              <w:right w:val="single" w:sz="5" w:space="0" w:color="000000"/>
            </w:tcBorders>
            <w:tcMar>
              <w:top w:w="0" w:type="dxa"/>
              <w:left w:w="100" w:type="dxa"/>
              <w:bottom w:w="0" w:type="dxa"/>
              <w:right w:w="100" w:type="dxa"/>
            </w:tcMar>
          </w:tcPr>
          <w:p w14:paraId="32A5D77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Activitate</w:t>
            </w:r>
          </w:p>
        </w:tc>
        <w:tc>
          <w:tcPr>
            <w:tcW w:w="1419" w:type="dxa"/>
            <w:tcBorders>
              <w:top w:val="single" w:sz="5" w:space="0" w:color="000000"/>
              <w:left w:val="nil"/>
              <w:bottom w:val="single" w:sz="4" w:space="0" w:color="000000"/>
              <w:right w:val="single" w:sz="5" w:space="0" w:color="000000"/>
            </w:tcBorders>
            <w:tcMar>
              <w:top w:w="0" w:type="dxa"/>
              <w:left w:w="100" w:type="dxa"/>
              <w:bottom w:w="0" w:type="dxa"/>
              <w:right w:w="100" w:type="dxa"/>
            </w:tcMar>
          </w:tcPr>
          <w:p w14:paraId="1F489C3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Prioritate</w:t>
            </w:r>
          </w:p>
        </w:tc>
        <w:tc>
          <w:tcPr>
            <w:tcW w:w="1418" w:type="dxa"/>
            <w:tcBorders>
              <w:top w:val="single" w:sz="5" w:space="0" w:color="000000"/>
              <w:left w:val="nil"/>
              <w:bottom w:val="single" w:sz="4" w:space="0" w:color="000000"/>
              <w:right w:val="single" w:sz="5" w:space="0" w:color="000000"/>
            </w:tcBorders>
            <w:tcMar>
              <w:top w:w="0" w:type="dxa"/>
              <w:left w:w="100" w:type="dxa"/>
              <w:bottom w:w="0" w:type="dxa"/>
              <w:right w:w="100" w:type="dxa"/>
            </w:tcMar>
          </w:tcPr>
          <w:p w14:paraId="3F9EDB7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Termen de implementare</w:t>
            </w:r>
          </w:p>
        </w:tc>
        <w:tc>
          <w:tcPr>
            <w:tcW w:w="1419" w:type="dxa"/>
            <w:tcBorders>
              <w:top w:val="single" w:sz="5" w:space="0" w:color="000000"/>
              <w:left w:val="nil"/>
              <w:bottom w:val="single" w:sz="4" w:space="0" w:color="000000"/>
              <w:right w:val="single" w:sz="5" w:space="0" w:color="000000"/>
            </w:tcBorders>
            <w:tcMar>
              <w:top w:w="0" w:type="dxa"/>
              <w:left w:w="100" w:type="dxa"/>
              <w:bottom w:w="0" w:type="dxa"/>
              <w:right w:w="100" w:type="dxa"/>
            </w:tcMar>
          </w:tcPr>
          <w:p w14:paraId="4C55BE5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Instituții responsabile</w:t>
            </w:r>
          </w:p>
        </w:tc>
        <w:tc>
          <w:tcPr>
            <w:tcW w:w="1702" w:type="dxa"/>
            <w:tcBorders>
              <w:top w:val="single" w:sz="5" w:space="0" w:color="000000"/>
              <w:left w:val="nil"/>
              <w:bottom w:val="single" w:sz="4" w:space="0" w:color="000000"/>
              <w:right w:val="single" w:sz="5" w:space="0" w:color="000000"/>
            </w:tcBorders>
            <w:tcMar>
              <w:top w:w="0" w:type="dxa"/>
              <w:left w:w="100" w:type="dxa"/>
              <w:bottom w:w="0" w:type="dxa"/>
              <w:right w:w="100" w:type="dxa"/>
            </w:tcMar>
          </w:tcPr>
          <w:p w14:paraId="107306B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Finanțare</w:t>
            </w:r>
          </w:p>
        </w:tc>
      </w:tr>
      <w:tr w:rsidR="00670FD4" w14:paraId="368F3252" w14:textId="77777777" w:rsidTr="001925BA">
        <w:trPr>
          <w:trHeight w:val="1417"/>
        </w:trPr>
        <w:tc>
          <w:tcPr>
            <w:tcW w:w="1875" w:type="dxa"/>
            <w:vMerge w:val="restart"/>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3DEE583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M2.1 Creșterea eficienței protecției, conservării și restaurării patrimoniului cultural existent de interes național (monumente istorice, situri, imobile sau amenajări cu valoare arhitectural urbanistică, precum și peisajele din zona costieră)</w:t>
            </w:r>
          </w:p>
        </w:tc>
        <w:tc>
          <w:tcPr>
            <w:tcW w:w="2098" w:type="dxa"/>
            <w:vMerge w:val="restart"/>
            <w:tcBorders>
              <w:top w:val="single" w:sz="4" w:space="0" w:color="auto"/>
              <w:left w:val="single" w:sz="4" w:space="0" w:color="auto"/>
              <w:bottom w:val="single" w:sz="4" w:space="0" w:color="auto"/>
              <w:right w:val="single" w:sz="4" w:space="0" w:color="auto"/>
            </w:tcBorders>
          </w:tcPr>
          <w:p w14:paraId="7BBBD541" w14:textId="77777777" w:rsidR="00670FD4" w:rsidRDefault="00670FD4" w:rsidP="001925BA">
            <w:pPr>
              <w:spacing w:after="0" w:line="240" w:lineRule="auto"/>
              <w:ind w:firstLine="16"/>
              <w:rPr>
                <w:rFonts w:eastAsia="Times New Roman" w:cs="Times New Roman"/>
                <w:sz w:val="20"/>
                <w:szCs w:val="20"/>
              </w:rPr>
            </w:pPr>
            <w:r w:rsidRPr="00820F4E">
              <w:rPr>
                <w:rFonts w:eastAsia="Times New Roman" w:cs="Times New Roman"/>
                <w:sz w:val="20"/>
                <w:szCs w:val="20"/>
              </w:rPr>
              <w:t>Os1.a Protejarea eficientă a valorilor naturale, peisagistice și culturale</w:t>
            </w:r>
            <w:r>
              <w:rPr>
                <w:rFonts w:eastAsia="Times New Roman" w:cs="Times New Roman"/>
                <w:sz w:val="20"/>
                <w:szCs w:val="20"/>
              </w:rPr>
              <w:t>.</w:t>
            </w:r>
          </w:p>
        </w:tc>
        <w:tc>
          <w:tcPr>
            <w:tcW w:w="4112" w:type="dxa"/>
            <w:tcBorders>
              <w:top w:val="single" w:sz="8" w:space="0" w:color="000000"/>
              <w:left w:val="single" w:sz="4" w:space="0" w:color="auto"/>
              <w:bottom w:val="single" w:sz="8" w:space="0" w:color="000000"/>
              <w:right w:val="single" w:sz="8" w:space="0" w:color="000000"/>
            </w:tcBorders>
            <w:tcMar>
              <w:top w:w="0" w:type="dxa"/>
              <w:left w:w="100" w:type="dxa"/>
              <w:bottom w:w="0" w:type="dxa"/>
              <w:right w:w="100" w:type="dxa"/>
            </w:tcMar>
          </w:tcPr>
          <w:p w14:paraId="6FF1082F" w14:textId="77777777" w:rsidR="00670FD4" w:rsidRDefault="00670FD4" w:rsidP="001925BA">
            <w:pPr>
              <w:spacing w:after="0" w:line="240" w:lineRule="auto"/>
              <w:ind w:firstLine="0"/>
              <w:rPr>
                <w:rFonts w:eastAsia="Times New Roman" w:cs="Times New Roman"/>
                <w:sz w:val="20"/>
                <w:szCs w:val="20"/>
                <w:highlight w:val="white"/>
              </w:rPr>
            </w:pPr>
            <w:r>
              <w:rPr>
                <w:rFonts w:eastAsia="Times New Roman" w:cs="Times New Roman"/>
                <w:sz w:val="20"/>
                <w:szCs w:val="20"/>
              </w:rPr>
              <w:t>A 2.1.1 Inițierea și implementarea de programe de promovare a identității și a patrimoniului cultural local și regional, material și imaterial, precum și de punere în valoare a clădirilor cu valoare arhitecturală şi culturală pentru comunitate</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CD3F0BB"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Medie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9C700F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27BCA3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MC, autorități locale</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20936F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 propriu MC, bugete locale, Programul Național de Restaurare a Monumentelor – 2023, Programul Regional Sud-Est, PNRR</w:t>
            </w:r>
          </w:p>
        </w:tc>
      </w:tr>
      <w:tr w:rsidR="00670FD4" w14:paraId="509F7791" w14:textId="77777777" w:rsidTr="001925BA">
        <w:trPr>
          <w:trHeight w:val="646"/>
        </w:trPr>
        <w:tc>
          <w:tcPr>
            <w:tcW w:w="1875"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2E8A464A"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2098" w:type="dxa"/>
            <w:vMerge/>
            <w:tcBorders>
              <w:left w:val="single" w:sz="4" w:space="0" w:color="auto"/>
              <w:bottom w:val="single" w:sz="4" w:space="0" w:color="auto"/>
              <w:right w:val="single" w:sz="4" w:space="0" w:color="auto"/>
            </w:tcBorders>
          </w:tcPr>
          <w:p w14:paraId="09B74ED7" w14:textId="77777777" w:rsidR="00670FD4" w:rsidRDefault="00670FD4" w:rsidP="001925BA">
            <w:pPr>
              <w:spacing w:after="0" w:line="240" w:lineRule="auto"/>
              <w:ind w:firstLine="16"/>
              <w:rPr>
                <w:rFonts w:eastAsia="Times New Roman" w:cs="Times New Roman"/>
                <w:sz w:val="20"/>
                <w:szCs w:val="20"/>
              </w:rPr>
            </w:pPr>
          </w:p>
        </w:tc>
        <w:tc>
          <w:tcPr>
            <w:tcW w:w="4112" w:type="dxa"/>
            <w:tcBorders>
              <w:top w:val="single" w:sz="8" w:space="0" w:color="000000"/>
              <w:left w:val="single" w:sz="4" w:space="0" w:color="auto"/>
              <w:bottom w:val="single" w:sz="8" w:space="0" w:color="000000"/>
              <w:right w:val="single" w:sz="8" w:space="0" w:color="000000"/>
            </w:tcBorders>
            <w:tcMar>
              <w:top w:w="0" w:type="dxa"/>
              <w:left w:w="100" w:type="dxa"/>
              <w:bottom w:w="0" w:type="dxa"/>
              <w:right w:w="100" w:type="dxa"/>
            </w:tcMar>
          </w:tcPr>
          <w:p w14:paraId="58584C4B" w14:textId="77777777" w:rsidR="00670FD4" w:rsidRDefault="00670FD4" w:rsidP="001925BA">
            <w:pPr>
              <w:spacing w:after="0" w:line="240" w:lineRule="auto"/>
              <w:ind w:firstLine="0"/>
              <w:rPr>
                <w:rFonts w:eastAsia="Times New Roman" w:cs="Times New Roman"/>
                <w:sz w:val="20"/>
                <w:szCs w:val="20"/>
                <w:highlight w:val="white"/>
              </w:rPr>
            </w:pPr>
            <w:r>
              <w:rPr>
                <w:rFonts w:eastAsia="Times New Roman" w:cs="Times New Roman"/>
                <w:sz w:val="20"/>
                <w:szCs w:val="20"/>
              </w:rPr>
              <w:t>A 2.1.2 Implementarea de proiecte pilot de reabilitare a patrimoniului cultural local și regional, material și immaterial</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E73D04E"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C0B323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492B88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MC, autorități locale,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BBD1A1B"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 propriu MC, bugete locale, Programul Național de Restaurare a Monumentelor – 2023, Programul Regional Sud-Est, PNRR</w:t>
            </w:r>
          </w:p>
        </w:tc>
      </w:tr>
      <w:tr w:rsidR="00670FD4" w14:paraId="6AD77082" w14:textId="77777777" w:rsidTr="001925BA">
        <w:trPr>
          <w:trHeight w:val="899"/>
        </w:trPr>
        <w:tc>
          <w:tcPr>
            <w:tcW w:w="1875"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10BAD5F6"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2098" w:type="dxa"/>
            <w:vMerge/>
            <w:tcBorders>
              <w:left w:val="single" w:sz="4" w:space="0" w:color="auto"/>
              <w:bottom w:val="single" w:sz="4" w:space="0" w:color="auto"/>
              <w:right w:val="single" w:sz="4" w:space="0" w:color="auto"/>
            </w:tcBorders>
          </w:tcPr>
          <w:p w14:paraId="6AAF0180" w14:textId="77777777" w:rsidR="00670FD4" w:rsidRDefault="00670FD4" w:rsidP="001925BA">
            <w:pPr>
              <w:spacing w:after="0" w:line="240" w:lineRule="auto"/>
              <w:ind w:firstLine="16"/>
              <w:rPr>
                <w:rFonts w:eastAsia="Times New Roman" w:cs="Times New Roman"/>
                <w:sz w:val="20"/>
                <w:szCs w:val="20"/>
              </w:rPr>
            </w:pPr>
          </w:p>
        </w:tc>
        <w:tc>
          <w:tcPr>
            <w:tcW w:w="4112" w:type="dxa"/>
            <w:tcBorders>
              <w:top w:val="single" w:sz="8" w:space="0" w:color="000000"/>
              <w:left w:val="single" w:sz="4" w:space="0" w:color="auto"/>
              <w:bottom w:val="single" w:sz="8" w:space="0" w:color="000000"/>
              <w:right w:val="single" w:sz="8" w:space="0" w:color="000000"/>
            </w:tcBorders>
            <w:tcMar>
              <w:top w:w="0" w:type="dxa"/>
              <w:left w:w="100" w:type="dxa"/>
              <w:bottom w:w="0" w:type="dxa"/>
              <w:right w:w="100" w:type="dxa"/>
            </w:tcMar>
          </w:tcPr>
          <w:p w14:paraId="56D9821C" w14:textId="77777777" w:rsidR="00670FD4" w:rsidRDefault="00670FD4" w:rsidP="001925BA">
            <w:pPr>
              <w:spacing w:after="0" w:line="240" w:lineRule="auto"/>
              <w:ind w:firstLine="0"/>
              <w:rPr>
                <w:rFonts w:eastAsia="Times New Roman" w:cs="Times New Roman"/>
                <w:sz w:val="20"/>
                <w:szCs w:val="20"/>
                <w:highlight w:val="white"/>
              </w:rPr>
            </w:pPr>
            <w:r>
              <w:rPr>
                <w:rFonts w:eastAsia="Times New Roman" w:cs="Times New Roman"/>
                <w:sz w:val="20"/>
                <w:szCs w:val="20"/>
              </w:rPr>
              <w:t>A 2.1.3 Inițierea și implementarea de programe-cadru de dezvoltare locală care să aibă în vedere regenerarea urbană și reabilitarea centrelor urbane cu valoare istorică</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1615A9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EDE2F33"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CC57C3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Autorități locale, MDLPA</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F3BF94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 propriu MC, bugete locale, Programul Național de Restaurare a Monumentelor – 2023</w:t>
            </w:r>
            <w:r>
              <w:t xml:space="preserve">, </w:t>
            </w:r>
            <w:r>
              <w:rPr>
                <w:rFonts w:eastAsia="Times New Roman" w:cs="Times New Roman"/>
                <w:sz w:val="20"/>
                <w:szCs w:val="20"/>
              </w:rPr>
              <w:t xml:space="preserve">Programul Regional Sud-Est, PNRR și </w:t>
            </w:r>
            <w:r>
              <w:rPr>
                <w:rFonts w:eastAsia="Times New Roman" w:cs="Times New Roman"/>
                <w:sz w:val="20"/>
                <w:szCs w:val="20"/>
              </w:rPr>
              <w:lastRenderedPageBreak/>
              <w:t>Programul Interreg URBACT IV 2021 – 2027)</w:t>
            </w:r>
          </w:p>
        </w:tc>
      </w:tr>
      <w:tr w:rsidR="00670FD4" w14:paraId="3B46740A" w14:textId="77777777" w:rsidTr="001925BA">
        <w:trPr>
          <w:trHeight w:val="1185"/>
        </w:trPr>
        <w:tc>
          <w:tcPr>
            <w:tcW w:w="1875"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66042954"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2098" w:type="dxa"/>
            <w:vMerge/>
            <w:tcBorders>
              <w:left w:val="single" w:sz="4" w:space="0" w:color="auto"/>
              <w:bottom w:val="single" w:sz="4" w:space="0" w:color="auto"/>
              <w:right w:val="single" w:sz="4" w:space="0" w:color="auto"/>
            </w:tcBorders>
          </w:tcPr>
          <w:p w14:paraId="48B27054" w14:textId="77777777" w:rsidR="00670FD4" w:rsidRDefault="00670FD4" w:rsidP="001925BA">
            <w:pPr>
              <w:spacing w:after="0" w:line="240" w:lineRule="auto"/>
              <w:ind w:firstLine="16"/>
              <w:rPr>
                <w:rFonts w:eastAsia="Times New Roman" w:cs="Times New Roman"/>
                <w:sz w:val="20"/>
                <w:szCs w:val="20"/>
              </w:rPr>
            </w:pPr>
          </w:p>
        </w:tc>
        <w:tc>
          <w:tcPr>
            <w:tcW w:w="4112" w:type="dxa"/>
            <w:tcBorders>
              <w:top w:val="single" w:sz="8" w:space="0" w:color="000000"/>
              <w:left w:val="single" w:sz="4" w:space="0" w:color="auto"/>
              <w:bottom w:val="single" w:sz="8" w:space="0" w:color="000000"/>
              <w:right w:val="single" w:sz="8" w:space="0" w:color="000000"/>
            </w:tcBorders>
            <w:tcMar>
              <w:top w:w="0" w:type="dxa"/>
              <w:left w:w="100" w:type="dxa"/>
              <w:bottom w:w="0" w:type="dxa"/>
              <w:right w:w="100" w:type="dxa"/>
            </w:tcMar>
          </w:tcPr>
          <w:p w14:paraId="008C272D" w14:textId="77777777" w:rsidR="00670FD4" w:rsidRDefault="00670FD4" w:rsidP="001925BA">
            <w:pPr>
              <w:spacing w:after="0" w:line="240" w:lineRule="auto"/>
              <w:ind w:firstLine="0"/>
              <w:rPr>
                <w:rFonts w:eastAsia="Times New Roman" w:cs="Times New Roman"/>
                <w:sz w:val="20"/>
                <w:szCs w:val="20"/>
                <w:highlight w:val="white"/>
              </w:rPr>
            </w:pPr>
            <w:r>
              <w:rPr>
                <w:rFonts w:eastAsia="Times New Roman" w:cs="Times New Roman"/>
                <w:sz w:val="20"/>
                <w:szCs w:val="20"/>
              </w:rPr>
              <w:t>A 2.1.4 Implementarea de proiecte de evaluare și prevenire a riscurilor pentru protejarea patrimoniului cultural de efectele dezastrelor naturale și de amenințările determinate de acțiunea uman</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BC7A8F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5A9C76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D52835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MC, autorități locale,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18520C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 propriu MC, bugete locale, Programul Național de Restaurare a Monumentelor – 2023, Programul Regional Sud-Est, PNRR</w:t>
            </w:r>
          </w:p>
        </w:tc>
      </w:tr>
      <w:tr w:rsidR="00670FD4" w14:paraId="7D6384DE" w14:textId="77777777" w:rsidTr="001925BA">
        <w:trPr>
          <w:trHeight w:val="612"/>
        </w:trPr>
        <w:tc>
          <w:tcPr>
            <w:tcW w:w="1875" w:type="dxa"/>
            <w:vMerge w:val="restart"/>
            <w:tcBorders>
              <w:top w:val="single" w:sz="4" w:space="0" w:color="auto"/>
              <w:left w:val="single" w:sz="4" w:space="0" w:color="000000"/>
              <w:right w:val="single" w:sz="4" w:space="0" w:color="auto"/>
            </w:tcBorders>
            <w:shd w:val="clear" w:color="auto" w:fill="auto"/>
            <w:tcMar>
              <w:top w:w="100" w:type="dxa"/>
              <w:left w:w="100" w:type="dxa"/>
              <w:bottom w:w="100" w:type="dxa"/>
              <w:right w:w="100" w:type="dxa"/>
            </w:tcMar>
          </w:tcPr>
          <w:p w14:paraId="18DE7B00"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M2.2</w:t>
            </w:r>
            <w:r>
              <w:t xml:space="preserve"> </w:t>
            </w:r>
            <w:r>
              <w:rPr>
                <w:rFonts w:eastAsia="Times New Roman" w:cs="Times New Roman"/>
                <w:color w:val="000000"/>
                <w:sz w:val="20"/>
                <w:szCs w:val="20"/>
              </w:rPr>
              <w:t xml:space="preserve">Alcătuirea cadastrului monumentelor și siturilor arheologice </w:t>
            </w:r>
          </w:p>
        </w:tc>
        <w:tc>
          <w:tcPr>
            <w:tcW w:w="2098" w:type="dxa"/>
            <w:vMerge w:val="restart"/>
            <w:tcBorders>
              <w:top w:val="single" w:sz="4" w:space="0" w:color="auto"/>
              <w:left w:val="single" w:sz="4" w:space="0" w:color="auto"/>
              <w:right w:val="single" w:sz="4" w:space="0" w:color="auto"/>
            </w:tcBorders>
          </w:tcPr>
          <w:p w14:paraId="2A2180E6" w14:textId="77777777" w:rsidR="00670FD4" w:rsidRDefault="00670FD4" w:rsidP="001925BA">
            <w:pPr>
              <w:spacing w:after="0" w:line="240" w:lineRule="auto"/>
              <w:ind w:firstLine="16"/>
              <w:rPr>
                <w:rFonts w:eastAsia="Times New Roman" w:cs="Times New Roman"/>
                <w:sz w:val="20"/>
                <w:szCs w:val="20"/>
              </w:rPr>
            </w:pPr>
            <w:r w:rsidRPr="00820F4E">
              <w:rPr>
                <w:rFonts w:eastAsia="Times New Roman" w:cs="Times New Roman"/>
                <w:sz w:val="20"/>
                <w:szCs w:val="20"/>
              </w:rPr>
              <w:t>Os1.a Protejarea eficientă a valorilor naturale, peisagistice și culturale</w:t>
            </w:r>
          </w:p>
        </w:tc>
        <w:tc>
          <w:tcPr>
            <w:tcW w:w="4112" w:type="dxa"/>
            <w:tcBorders>
              <w:top w:val="single" w:sz="8" w:space="0" w:color="000000"/>
              <w:left w:val="single" w:sz="4" w:space="0" w:color="auto"/>
              <w:bottom w:val="single" w:sz="8" w:space="0" w:color="000000"/>
              <w:right w:val="single" w:sz="4" w:space="0" w:color="000000"/>
            </w:tcBorders>
            <w:tcMar>
              <w:top w:w="0" w:type="dxa"/>
              <w:left w:w="100" w:type="dxa"/>
              <w:bottom w:w="0" w:type="dxa"/>
              <w:right w:w="100" w:type="dxa"/>
            </w:tcMar>
          </w:tcPr>
          <w:p w14:paraId="625ABF7C" w14:textId="77777777" w:rsidR="00670FD4" w:rsidRDefault="00670FD4" w:rsidP="001925BA">
            <w:pPr>
              <w:spacing w:after="0" w:line="240" w:lineRule="auto"/>
              <w:ind w:firstLine="0"/>
              <w:rPr>
                <w:rFonts w:eastAsia="Times New Roman" w:cs="Times New Roman"/>
                <w:sz w:val="20"/>
                <w:szCs w:val="20"/>
                <w:highlight w:val="white"/>
              </w:rPr>
            </w:pPr>
            <w:r>
              <w:rPr>
                <w:rFonts w:eastAsia="Times New Roman" w:cs="Times New Roman"/>
                <w:sz w:val="20"/>
                <w:szCs w:val="20"/>
              </w:rPr>
              <w:t>A 2.2.1 Crearea unei baze de date geospațiale a monumentelor și siturilor arheologice din Lista Monumentelor Istorice pentru zona costieră</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E70E04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B58AA4E"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38A5A1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MC (INP), ANCPI, MDLPA, autorități locale</w:t>
            </w:r>
          </w:p>
        </w:tc>
        <w:tc>
          <w:tcPr>
            <w:tcW w:w="1702" w:type="dxa"/>
            <w:vMerge w:val="restart"/>
            <w:tcBorders>
              <w:top w:val="single" w:sz="4" w:space="0" w:color="000000"/>
              <w:left w:val="single" w:sz="4" w:space="0" w:color="000000"/>
              <w:right w:val="single" w:sz="4" w:space="0" w:color="000000"/>
            </w:tcBorders>
            <w:shd w:val="clear" w:color="auto" w:fill="auto"/>
            <w:tcMar>
              <w:top w:w="100" w:type="dxa"/>
              <w:left w:w="100" w:type="dxa"/>
              <w:bottom w:w="100" w:type="dxa"/>
              <w:right w:w="100" w:type="dxa"/>
            </w:tcMar>
          </w:tcPr>
          <w:p w14:paraId="1DAFD3F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Programul Național de Cadastru și Carte Funciară, Programul Național de Restaurare a Monumentelor, bugete locale, Programul Regional Sud-Est</w:t>
            </w:r>
          </w:p>
        </w:tc>
      </w:tr>
      <w:tr w:rsidR="00670FD4" w14:paraId="2641AEBA" w14:textId="77777777" w:rsidTr="001925BA">
        <w:trPr>
          <w:trHeight w:val="612"/>
        </w:trPr>
        <w:tc>
          <w:tcPr>
            <w:tcW w:w="1875" w:type="dxa"/>
            <w:vMerge/>
            <w:tcBorders>
              <w:top w:val="single" w:sz="4" w:space="0" w:color="000000"/>
              <w:left w:val="single" w:sz="4" w:space="0" w:color="000000"/>
              <w:right w:val="single" w:sz="4" w:space="0" w:color="auto"/>
            </w:tcBorders>
            <w:shd w:val="clear" w:color="auto" w:fill="auto"/>
            <w:tcMar>
              <w:top w:w="100" w:type="dxa"/>
              <w:left w:w="100" w:type="dxa"/>
              <w:bottom w:w="100" w:type="dxa"/>
              <w:right w:w="100" w:type="dxa"/>
            </w:tcMar>
          </w:tcPr>
          <w:p w14:paraId="6DED2631"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2098" w:type="dxa"/>
            <w:vMerge/>
            <w:tcBorders>
              <w:left w:val="single" w:sz="4" w:space="0" w:color="auto"/>
              <w:right w:val="single" w:sz="4" w:space="0" w:color="auto"/>
            </w:tcBorders>
          </w:tcPr>
          <w:p w14:paraId="3DDF1538" w14:textId="77777777" w:rsidR="00670FD4" w:rsidRDefault="00670FD4" w:rsidP="001925BA">
            <w:pPr>
              <w:spacing w:after="0" w:line="240" w:lineRule="auto"/>
              <w:ind w:firstLine="16"/>
              <w:rPr>
                <w:rFonts w:eastAsia="Times New Roman" w:cs="Times New Roman"/>
                <w:sz w:val="20"/>
                <w:szCs w:val="20"/>
              </w:rPr>
            </w:pPr>
          </w:p>
        </w:tc>
        <w:tc>
          <w:tcPr>
            <w:tcW w:w="4112" w:type="dxa"/>
            <w:tcBorders>
              <w:top w:val="single" w:sz="8" w:space="0" w:color="000000"/>
              <w:left w:val="single" w:sz="4" w:space="0" w:color="auto"/>
              <w:bottom w:val="single" w:sz="8" w:space="0" w:color="000000"/>
              <w:right w:val="single" w:sz="4" w:space="0" w:color="000000"/>
            </w:tcBorders>
            <w:tcMar>
              <w:top w:w="0" w:type="dxa"/>
              <w:left w:w="100" w:type="dxa"/>
              <w:bottom w:w="0" w:type="dxa"/>
              <w:right w:w="100" w:type="dxa"/>
            </w:tcMar>
          </w:tcPr>
          <w:p w14:paraId="323DE315" w14:textId="77777777" w:rsidR="00670FD4" w:rsidRDefault="00670FD4" w:rsidP="001925BA">
            <w:pPr>
              <w:spacing w:after="0" w:line="240" w:lineRule="auto"/>
              <w:ind w:firstLine="0"/>
              <w:rPr>
                <w:rFonts w:eastAsia="Times New Roman" w:cs="Times New Roman"/>
                <w:sz w:val="20"/>
                <w:szCs w:val="20"/>
                <w:highlight w:val="white"/>
              </w:rPr>
            </w:pPr>
            <w:r>
              <w:rPr>
                <w:rFonts w:eastAsia="Times New Roman" w:cs="Times New Roman"/>
                <w:sz w:val="20"/>
                <w:szCs w:val="20"/>
              </w:rPr>
              <w:t>A 2.2.2 Realizarea unui atlas al elementelor de patrimoniu construit din LMI din zona costieră</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B3D590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Medie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B8CFE1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AFC9A0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MC, MDLPA</w:t>
            </w:r>
          </w:p>
        </w:tc>
        <w:tc>
          <w:tcPr>
            <w:tcW w:w="1702" w:type="dxa"/>
            <w:vMerge/>
            <w:tcBorders>
              <w:top w:val="single" w:sz="4" w:space="0" w:color="000000"/>
              <w:left w:val="single" w:sz="4" w:space="0" w:color="000000"/>
              <w:right w:val="single" w:sz="4" w:space="0" w:color="000000"/>
            </w:tcBorders>
            <w:shd w:val="clear" w:color="auto" w:fill="auto"/>
            <w:tcMar>
              <w:top w:w="100" w:type="dxa"/>
              <w:left w:w="100" w:type="dxa"/>
              <w:bottom w:w="100" w:type="dxa"/>
              <w:right w:w="100" w:type="dxa"/>
            </w:tcMar>
          </w:tcPr>
          <w:p w14:paraId="47AF2C42"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r>
      <w:tr w:rsidR="00670FD4" w14:paraId="48696EFD" w14:textId="77777777" w:rsidTr="001925BA">
        <w:trPr>
          <w:trHeight w:val="612"/>
        </w:trPr>
        <w:tc>
          <w:tcPr>
            <w:tcW w:w="1875" w:type="dxa"/>
            <w:vMerge/>
            <w:tcBorders>
              <w:top w:val="single" w:sz="4" w:space="0" w:color="000000"/>
              <w:left w:val="single" w:sz="4" w:space="0" w:color="000000"/>
              <w:right w:val="single" w:sz="4" w:space="0" w:color="auto"/>
            </w:tcBorders>
            <w:shd w:val="clear" w:color="auto" w:fill="auto"/>
            <w:tcMar>
              <w:top w:w="100" w:type="dxa"/>
              <w:left w:w="100" w:type="dxa"/>
              <w:bottom w:w="100" w:type="dxa"/>
              <w:right w:w="100" w:type="dxa"/>
            </w:tcMar>
          </w:tcPr>
          <w:p w14:paraId="40D8EBBD"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2098" w:type="dxa"/>
            <w:vMerge/>
            <w:tcBorders>
              <w:left w:val="single" w:sz="4" w:space="0" w:color="auto"/>
              <w:bottom w:val="single" w:sz="4" w:space="0" w:color="auto"/>
              <w:right w:val="single" w:sz="4" w:space="0" w:color="auto"/>
            </w:tcBorders>
          </w:tcPr>
          <w:p w14:paraId="5CD88727" w14:textId="77777777" w:rsidR="00670FD4" w:rsidRDefault="00670FD4" w:rsidP="001925BA">
            <w:pPr>
              <w:spacing w:after="0" w:line="240" w:lineRule="auto"/>
              <w:ind w:firstLine="16"/>
              <w:rPr>
                <w:rFonts w:eastAsia="Times New Roman" w:cs="Times New Roman"/>
                <w:sz w:val="20"/>
                <w:szCs w:val="20"/>
              </w:rPr>
            </w:pPr>
          </w:p>
        </w:tc>
        <w:tc>
          <w:tcPr>
            <w:tcW w:w="4112" w:type="dxa"/>
            <w:tcBorders>
              <w:top w:val="single" w:sz="8" w:space="0" w:color="000000"/>
              <w:left w:val="single" w:sz="4" w:space="0" w:color="auto"/>
              <w:bottom w:val="single" w:sz="8" w:space="0" w:color="000000"/>
              <w:right w:val="single" w:sz="4" w:space="0" w:color="000000"/>
            </w:tcBorders>
            <w:tcMar>
              <w:top w:w="0" w:type="dxa"/>
              <w:left w:w="100" w:type="dxa"/>
              <w:bottom w:w="0" w:type="dxa"/>
              <w:right w:w="100" w:type="dxa"/>
            </w:tcMar>
          </w:tcPr>
          <w:p w14:paraId="79C5C6AB" w14:textId="77777777" w:rsidR="00670FD4" w:rsidRDefault="00670FD4" w:rsidP="001925BA">
            <w:pPr>
              <w:spacing w:after="0" w:line="240" w:lineRule="auto"/>
              <w:ind w:firstLine="0"/>
              <w:rPr>
                <w:rFonts w:eastAsia="Times New Roman" w:cs="Times New Roman"/>
                <w:sz w:val="20"/>
                <w:szCs w:val="20"/>
                <w:highlight w:val="white"/>
              </w:rPr>
            </w:pPr>
            <w:r>
              <w:rPr>
                <w:rFonts w:eastAsia="Times New Roman" w:cs="Times New Roman"/>
                <w:sz w:val="20"/>
                <w:szCs w:val="20"/>
              </w:rPr>
              <w:t>A 2.2.3 Identificarea regimului de proprietate pentru monumentele și siturile din LMI de grupă valorică A (de importanță națională și internațională) din zona costieră</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36396B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E99C96B"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CD0C6AB"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Autorități locale, MDLPA, MC</w:t>
            </w:r>
          </w:p>
        </w:tc>
        <w:tc>
          <w:tcPr>
            <w:tcW w:w="1702" w:type="dxa"/>
            <w:vMerge/>
            <w:tcBorders>
              <w:top w:val="single" w:sz="4" w:space="0" w:color="000000"/>
              <w:left w:val="single" w:sz="4" w:space="0" w:color="000000"/>
              <w:right w:val="single" w:sz="4" w:space="0" w:color="000000"/>
            </w:tcBorders>
            <w:shd w:val="clear" w:color="auto" w:fill="auto"/>
            <w:tcMar>
              <w:top w:w="100" w:type="dxa"/>
              <w:left w:w="100" w:type="dxa"/>
              <w:bottom w:w="100" w:type="dxa"/>
              <w:right w:w="100" w:type="dxa"/>
            </w:tcMar>
          </w:tcPr>
          <w:p w14:paraId="30625BD3"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r>
      <w:tr w:rsidR="00670FD4" w14:paraId="7BED9795" w14:textId="77777777" w:rsidTr="001925BA">
        <w:trPr>
          <w:trHeight w:val="466"/>
        </w:trPr>
        <w:tc>
          <w:tcPr>
            <w:tcW w:w="1875" w:type="dxa"/>
            <w:vMerge w:val="restart"/>
            <w:tcBorders>
              <w:top w:val="single" w:sz="4" w:space="0" w:color="000000"/>
              <w:left w:val="single" w:sz="4" w:space="0" w:color="000000"/>
              <w:right w:val="single" w:sz="4" w:space="0" w:color="auto"/>
            </w:tcBorders>
            <w:shd w:val="clear" w:color="auto" w:fill="auto"/>
            <w:tcMar>
              <w:top w:w="100" w:type="dxa"/>
              <w:left w:w="100" w:type="dxa"/>
              <w:bottom w:w="100" w:type="dxa"/>
              <w:right w:w="100" w:type="dxa"/>
            </w:tcMar>
          </w:tcPr>
          <w:p w14:paraId="0FD3C8BD" w14:textId="77777777" w:rsidR="00670FD4" w:rsidRDefault="00670FD4" w:rsidP="001925BA">
            <w:pPr>
              <w:spacing w:after="0" w:line="240" w:lineRule="auto"/>
              <w:ind w:firstLine="0"/>
              <w:rPr>
                <w:rFonts w:eastAsia="Times New Roman" w:cs="Times New Roman"/>
                <w:color w:val="000000"/>
                <w:sz w:val="20"/>
                <w:szCs w:val="20"/>
              </w:rPr>
            </w:pPr>
          </w:p>
          <w:p w14:paraId="4AC8B28E" w14:textId="77777777" w:rsidR="00670FD4" w:rsidRDefault="00670FD4" w:rsidP="001925BA">
            <w:pPr>
              <w:spacing w:after="0" w:line="240" w:lineRule="auto"/>
              <w:ind w:firstLine="0"/>
              <w:rPr>
                <w:rFonts w:eastAsia="Times New Roman" w:cs="Times New Roman"/>
                <w:color w:val="000000"/>
                <w:sz w:val="20"/>
                <w:szCs w:val="20"/>
              </w:rPr>
            </w:pPr>
          </w:p>
          <w:p w14:paraId="1076DEC2" w14:textId="77777777" w:rsidR="00670FD4" w:rsidRDefault="00670FD4" w:rsidP="001925BA">
            <w:pPr>
              <w:spacing w:after="0" w:line="240" w:lineRule="auto"/>
              <w:ind w:firstLine="0"/>
              <w:rPr>
                <w:rFonts w:eastAsia="Times New Roman" w:cs="Times New Roman"/>
                <w:color w:val="000000"/>
                <w:sz w:val="20"/>
                <w:szCs w:val="20"/>
              </w:rPr>
            </w:pPr>
          </w:p>
          <w:p w14:paraId="3B4C84E7" w14:textId="77777777" w:rsidR="00670FD4" w:rsidRDefault="00670FD4" w:rsidP="001925BA">
            <w:pPr>
              <w:spacing w:after="0" w:line="240" w:lineRule="auto"/>
              <w:ind w:firstLine="0"/>
              <w:rPr>
                <w:rFonts w:eastAsia="Times New Roman" w:cs="Times New Roman"/>
                <w:color w:val="000000"/>
                <w:sz w:val="20"/>
                <w:szCs w:val="20"/>
              </w:rPr>
            </w:pPr>
          </w:p>
          <w:p w14:paraId="01937640" w14:textId="77777777" w:rsidR="00670FD4" w:rsidRDefault="00670FD4" w:rsidP="001925BA">
            <w:pPr>
              <w:spacing w:after="0" w:line="240" w:lineRule="auto"/>
              <w:ind w:firstLine="0"/>
              <w:rPr>
                <w:rFonts w:eastAsia="Times New Roman" w:cs="Times New Roman"/>
                <w:color w:val="000000"/>
                <w:sz w:val="20"/>
                <w:szCs w:val="20"/>
              </w:rPr>
            </w:pPr>
          </w:p>
          <w:p w14:paraId="112C310C"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M2.3 Inventarierea, cercetarea și punerea în valoare a patrimoniului cultural subacvatic</w:t>
            </w:r>
          </w:p>
        </w:tc>
        <w:tc>
          <w:tcPr>
            <w:tcW w:w="2098" w:type="dxa"/>
            <w:vMerge w:val="restart"/>
            <w:tcBorders>
              <w:top w:val="single" w:sz="4" w:space="0" w:color="auto"/>
              <w:left w:val="single" w:sz="4" w:space="0" w:color="auto"/>
              <w:bottom w:val="nil"/>
              <w:right w:val="single" w:sz="4" w:space="0" w:color="auto"/>
            </w:tcBorders>
          </w:tcPr>
          <w:p w14:paraId="67624AE3" w14:textId="77777777" w:rsidR="00670FD4" w:rsidRDefault="00670FD4" w:rsidP="001925BA">
            <w:pPr>
              <w:spacing w:after="0" w:line="240" w:lineRule="auto"/>
              <w:ind w:firstLine="16"/>
              <w:rPr>
                <w:rFonts w:eastAsia="Times New Roman" w:cs="Times New Roman"/>
                <w:sz w:val="20"/>
                <w:szCs w:val="20"/>
              </w:rPr>
            </w:pPr>
            <w:r w:rsidRPr="00820F4E">
              <w:rPr>
                <w:rFonts w:eastAsia="Times New Roman" w:cs="Times New Roman"/>
                <w:sz w:val="20"/>
                <w:szCs w:val="20"/>
              </w:rPr>
              <w:lastRenderedPageBreak/>
              <w:t>Os1.a Protejarea eficientă a valorilor naturale, peisagistice și culturale</w:t>
            </w:r>
            <w:r>
              <w:rPr>
                <w:rFonts w:eastAsia="Times New Roman" w:cs="Times New Roman"/>
                <w:sz w:val="20"/>
                <w:szCs w:val="20"/>
              </w:rPr>
              <w:t>.</w:t>
            </w:r>
          </w:p>
        </w:tc>
        <w:tc>
          <w:tcPr>
            <w:tcW w:w="4112"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40DFCE4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2.3.1 Modificarea cadrului legislativ privitor la cercetarea arheologică a mediului subacvatic</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4F959D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CF8D4C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2025</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108260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MC</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0A66E9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 propriu MC</w:t>
            </w:r>
          </w:p>
        </w:tc>
      </w:tr>
      <w:tr w:rsidR="00670FD4" w14:paraId="5032055F" w14:textId="77777777" w:rsidTr="001925BA">
        <w:trPr>
          <w:trHeight w:val="612"/>
        </w:trPr>
        <w:tc>
          <w:tcPr>
            <w:tcW w:w="1875"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64DD16B7"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2098" w:type="dxa"/>
            <w:vMerge/>
            <w:tcBorders>
              <w:left w:val="single" w:sz="4" w:space="0" w:color="auto"/>
              <w:bottom w:val="single" w:sz="4" w:space="0" w:color="auto"/>
              <w:right w:val="single" w:sz="4" w:space="0" w:color="auto"/>
            </w:tcBorders>
          </w:tcPr>
          <w:p w14:paraId="10BD5C26" w14:textId="77777777" w:rsidR="00670FD4" w:rsidRDefault="00670FD4" w:rsidP="001925BA">
            <w:pPr>
              <w:spacing w:after="0" w:line="240" w:lineRule="auto"/>
              <w:ind w:firstLine="16"/>
              <w:rPr>
                <w:rFonts w:eastAsia="Times New Roman" w:cs="Times New Roman"/>
                <w:sz w:val="20"/>
                <w:szCs w:val="20"/>
              </w:rPr>
            </w:pPr>
          </w:p>
        </w:tc>
        <w:tc>
          <w:tcPr>
            <w:tcW w:w="4112"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4B84E65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 xml:space="preserve">A 2.3.2 Inițierea și implementarea unui program național de pregătire și formare profesională a arheologilor, în scopul constituirii unui corp </w:t>
            </w:r>
            <w:r>
              <w:rPr>
                <w:rFonts w:eastAsia="Times New Roman" w:cs="Times New Roman"/>
                <w:sz w:val="20"/>
                <w:szCs w:val="20"/>
              </w:rPr>
              <w:lastRenderedPageBreak/>
              <w:t>profesional dedicat domeniului care să asigure standarde de calitate ale intervenţiilor de cercetare și conservare a patrimoniului cultural subacvatic</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485447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lastRenderedPageBreak/>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7A141AE"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0619AF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MC</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B83892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 propriu MC, Program Regional Sud-Est</w:t>
            </w:r>
          </w:p>
        </w:tc>
      </w:tr>
      <w:tr w:rsidR="00670FD4" w14:paraId="08BBD48F" w14:textId="77777777" w:rsidTr="001925BA">
        <w:trPr>
          <w:trHeight w:val="612"/>
        </w:trPr>
        <w:tc>
          <w:tcPr>
            <w:tcW w:w="1875" w:type="dxa"/>
            <w:vMerge/>
            <w:tcBorders>
              <w:top w:val="single" w:sz="4" w:space="0" w:color="auto"/>
              <w:left w:val="single" w:sz="4" w:space="0" w:color="000000"/>
              <w:right w:val="single" w:sz="4" w:space="0" w:color="auto"/>
            </w:tcBorders>
            <w:shd w:val="clear" w:color="auto" w:fill="auto"/>
            <w:tcMar>
              <w:top w:w="100" w:type="dxa"/>
              <w:left w:w="100" w:type="dxa"/>
              <w:bottom w:w="100" w:type="dxa"/>
              <w:right w:w="100" w:type="dxa"/>
            </w:tcMar>
          </w:tcPr>
          <w:p w14:paraId="2A04E3AE"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2098" w:type="dxa"/>
            <w:vMerge/>
            <w:tcBorders>
              <w:top w:val="single" w:sz="4" w:space="0" w:color="auto"/>
              <w:left w:val="single" w:sz="4" w:space="0" w:color="auto"/>
              <w:bottom w:val="nil"/>
              <w:right w:val="single" w:sz="4" w:space="0" w:color="auto"/>
            </w:tcBorders>
          </w:tcPr>
          <w:p w14:paraId="189F5FB5" w14:textId="77777777" w:rsidR="00670FD4" w:rsidRDefault="00670FD4" w:rsidP="001925BA">
            <w:pPr>
              <w:spacing w:after="0" w:line="240" w:lineRule="auto"/>
              <w:ind w:firstLine="16"/>
              <w:rPr>
                <w:rFonts w:eastAsia="Times New Roman" w:cs="Times New Roman"/>
                <w:sz w:val="20"/>
                <w:szCs w:val="20"/>
              </w:rPr>
            </w:pPr>
          </w:p>
        </w:tc>
        <w:tc>
          <w:tcPr>
            <w:tcW w:w="4112" w:type="dxa"/>
            <w:tcBorders>
              <w:top w:val="single" w:sz="4" w:space="0" w:color="auto"/>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35275FE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2.3.3. Înființarea unui centru de cercetări arheologice subacvatice, dotat cu aparatura și tehnica necesare derulării acestui tip de investigații</w:t>
            </w:r>
          </w:p>
        </w:tc>
        <w:tc>
          <w:tcPr>
            <w:tcW w:w="1419"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4296B66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2AE12C1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000000"/>
              <w:left w:val="single" w:sz="4" w:space="0" w:color="000000"/>
              <w:bottom w:val="single" w:sz="4" w:space="0" w:color="auto"/>
              <w:right w:val="single" w:sz="4" w:space="0" w:color="000000"/>
            </w:tcBorders>
            <w:shd w:val="clear" w:color="auto" w:fill="auto"/>
            <w:tcMar>
              <w:top w:w="100" w:type="dxa"/>
              <w:left w:w="100" w:type="dxa"/>
              <w:bottom w:w="100" w:type="dxa"/>
              <w:right w:w="100" w:type="dxa"/>
            </w:tcMar>
          </w:tcPr>
          <w:p w14:paraId="1B656CE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MC, MCID (INCD GeoEcoMar)</w:t>
            </w:r>
          </w:p>
        </w:tc>
        <w:tc>
          <w:tcPr>
            <w:tcW w:w="1702" w:type="dxa"/>
            <w:tcBorders>
              <w:top w:val="single" w:sz="4" w:space="0" w:color="000000"/>
              <w:left w:val="single" w:sz="4" w:space="0" w:color="000000"/>
              <w:bottom w:val="single" w:sz="4" w:space="0" w:color="auto"/>
              <w:right w:val="single" w:sz="4" w:space="0" w:color="000000"/>
            </w:tcBorders>
            <w:shd w:val="clear" w:color="auto" w:fill="auto"/>
            <w:tcMar>
              <w:top w:w="100" w:type="dxa"/>
              <w:left w:w="100" w:type="dxa"/>
              <w:bottom w:w="100" w:type="dxa"/>
              <w:right w:w="100" w:type="dxa"/>
            </w:tcMar>
          </w:tcPr>
          <w:p w14:paraId="1D0FF87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 propriu MC, PNCDI IV, Horizon Europe, Program Regional Sud-Est</w:t>
            </w:r>
          </w:p>
        </w:tc>
      </w:tr>
      <w:tr w:rsidR="00670FD4" w14:paraId="63FA0A8E" w14:textId="77777777" w:rsidTr="001925BA">
        <w:trPr>
          <w:trHeight w:val="612"/>
        </w:trPr>
        <w:tc>
          <w:tcPr>
            <w:tcW w:w="1875" w:type="dxa"/>
            <w:vMerge/>
            <w:tcBorders>
              <w:top w:val="single" w:sz="4" w:space="0" w:color="000000"/>
              <w:left w:val="single" w:sz="4" w:space="0" w:color="000000"/>
              <w:right w:val="single" w:sz="4" w:space="0" w:color="auto"/>
            </w:tcBorders>
            <w:shd w:val="clear" w:color="auto" w:fill="auto"/>
            <w:tcMar>
              <w:top w:w="100" w:type="dxa"/>
              <w:left w:w="100" w:type="dxa"/>
              <w:bottom w:w="100" w:type="dxa"/>
              <w:right w:w="100" w:type="dxa"/>
            </w:tcMar>
          </w:tcPr>
          <w:p w14:paraId="28D637EF"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2098" w:type="dxa"/>
            <w:vMerge/>
            <w:tcBorders>
              <w:left w:val="single" w:sz="4" w:space="0" w:color="auto"/>
              <w:bottom w:val="nil"/>
              <w:right w:val="single" w:sz="4" w:space="0" w:color="auto"/>
            </w:tcBorders>
          </w:tcPr>
          <w:p w14:paraId="3D2C9854" w14:textId="77777777" w:rsidR="00670FD4" w:rsidRDefault="00670FD4" w:rsidP="001925BA">
            <w:pPr>
              <w:spacing w:after="0" w:line="240" w:lineRule="auto"/>
              <w:ind w:firstLine="16"/>
              <w:rPr>
                <w:rFonts w:eastAsia="Times New Roman" w:cs="Times New Roman"/>
                <w:sz w:val="20"/>
                <w:szCs w:val="20"/>
              </w:rPr>
            </w:pPr>
          </w:p>
        </w:tc>
        <w:tc>
          <w:tcPr>
            <w:tcW w:w="4112"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72DC937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2.3.4 Realizarea unei baze de date care va cuprinde informații istorice, descriptive și spațiale privitoare la patrimoniul cultural și peisajul istoric subacvatic</w:t>
            </w:r>
          </w:p>
        </w:tc>
        <w:tc>
          <w:tcPr>
            <w:tcW w:w="1419"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31180D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18783E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auto"/>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6DC14A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MC, MCID (INCD GeoEcoMar)</w:t>
            </w:r>
          </w:p>
        </w:tc>
        <w:tc>
          <w:tcPr>
            <w:tcW w:w="1702" w:type="dxa"/>
            <w:tcBorders>
              <w:top w:val="single" w:sz="4" w:space="0" w:color="auto"/>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4120FE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 propriu MC, PNCDI IV</w:t>
            </w:r>
          </w:p>
        </w:tc>
      </w:tr>
      <w:tr w:rsidR="00670FD4" w14:paraId="78EFF5F7" w14:textId="77777777" w:rsidTr="001925BA">
        <w:trPr>
          <w:trHeight w:val="612"/>
        </w:trPr>
        <w:tc>
          <w:tcPr>
            <w:tcW w:w="1875" w:type="dxa"/>
            <w:vMerge/>
            <w:tcBorders>
              <w:top w:val="single" w:sz="4" w:space="0" w:color="000000"/>
              <w:left w:val="single" w:sz="4" w:space="0" w:color="000000"/>
              <w:bottom w:val="single" w:sz="4" w:space="0" w:color="000000"/>
              <w:right w:val="single" w:sz="4" w:space="0" w:color="auto"/>
            </w:tcBorders>
            <w:shd w:val="clear" w:color="auto" w:fill="auto"/>
            <w:tcMar>
              <w:top w:w="100" w:type="dxa"/>
              <w:left w:w="100" w:type="dxa"/>
              <w:bottom w:w="100" w:type="dxa"/>
              <w:right w:w="100" w:type="dxa"/>
            </w:tcMar>
          </w:tcPr>
          <w:p w14:paraId="0A73D569"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2098" w:type="dxa"/>
            <w:vMerge/>
            <w:tcBorders>
              <w:left w:val="single" w:sz="4" w:space="0" w:color="auto"/>
              <w:bottom w:val="nil"/>
              <w:right w:val="single" w:sz="4" w:space="0" w:color="auto"/>
            </w:tcBorders>
          </w:tcPr>
          <w:p w14:paraId="18CEDF3C" w14:textId="77777777" w:rsidR="00670FD4" w:rsidRDefault="00670FD4" w:rsidP="001925BA">
            <w:pPr>
              <w:spacing w:after="0" w:line="240" w:lineRule="auto"/>
              <w:ind w:firstLine="16"/>
              <w:rPr>
                <w:rFonts w:eastAsia="Times New Roman" w:cs="Times New Roman"/>
                <w:sz w:val="20"/>
                <w:szCs w:val="20"/>
              </w:rPr>
            </w:pPr>
          </w:p>
        </w:tc>
        <w:tc>
          <w:tcPr>
            <w:tcW w:w="4112"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5356BC3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2.3.5 Crearea în cadrul muzeelor de istorie și arheologie de infrastructuri pentru analiza, conservarea și restaurarea patrimoniului cultural subacvatic, asigurându-se astfel păstrarea în condiții optime, punerea în valoare și accesibilitatea atât pentru specialiști, cât și publicul larg</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17F656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Medie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F619E3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F00A67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MC, autorități locale</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6FED2F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 propriu MC, bugete locale, Program Regional Sud-Est</w:t>
            </w:r>
          </w:p>
        </w:tc>
      </w:tr>
      <w:tr w:rsidR="00670FD4" w14:paraId="38632492" w14:textId="77777777" w:rsidTr="001925BA">
        <w:trPr>
          <w:trHeight w:val="612"/>
        </w:trPr>
        <w:tc>
          <w:tcPr>
            <w:tcW w:w="1875" w:type="dxa"/>
            <w:vMerge w:val="restart"/>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28BBF354"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M2.4 Inventarierea și evaluarea peisajului în zona costieră</w:t>
            </w:r>
          </w:p>
        </w:tc>
        <w:tc>
          <w:tcPr>
            <w:tcW w:w="2098" w:type="dxa"/>
            <w:vMerge w:val="restart"/>
            <w:tcBorders>
              <w:top w:val="nil"/>
              <w:left w:val="single" w:sz="4" w:space="0" w:color="auto"/>
              <w:right w:val="single" w:sz="4" w:space="0" w:color="auto"/>
            </w:tcBorders>
          </w:tcPr>
          <w:p w14:paraId="4D7294E3" w14:textId="77777777" w:rsidR="00670FD4" w:rsidRDefault="00670FD4" w:rsidP="001925BA">
            <w:pPr>
              <w:spacing w:after="0" w:line="240" w:lineRule="auto"/>
              <w:ind w:firstLine="16"/>
              <w:rPr>
                <w:rFonts w:eastAsia="Times New Roman" w:cs="Times New Roman"/>
                <w:sz w:val="20"/>
                <w:szCs w:val="20"/>
              </w:rPr>
            </w:pPr>
          </w:p>
          <w:p w14:paraId="3FC6AB38" w14:textId="77777777" w:rsidR="00670FD4" w:rsidRDefault="00670FD4" w:rsidP="001925BA">
            <w:pPr>
              <w:spacing w:after="0" w:line="240" w:lineRule="auto"/>
              <w:ind w:firstLine="16"/>
              <w:rPr>
                <w:rFonts w:eastAsia="Times New Roman" w:cs="Times New Roman"/>
                <w:sz w:val="20"/>
                <w:szCs w:val="20"/>
              </w:rPr>
            </w:pPr>
          </w:p>
          <w:p w14:paraId="43A36C9E" w14:textId="77777777" w:rsidR="00670FD4" w:rsidRDefault="00670FD4" w:rsidP="001925BA">
            <w:pPr>
              <w:spacing w:after="0" w:line="240" w:lineRule="auto"/>
              <w:ind w:firstLine="16"/>
              <w:rPr>
                <w:rFonts w:eastAsia="Times New Roman" w:cs="Times New Roman"/>
                <w:sz w:val="20"/>
                <w:szCs w:val="20"/>
              </w:rPr>
            </w:pPr>
            <w:r w:rsidRPr="00820F4E">
              <w:rPr>
                <w:rFonts w:eastAsia="Times New Roman" w:cs="Times New Roman"/>
                <w:sz w:val="20"/>
                <w:szCs w:val="20"/>
              </w:rPr>
              <w:t>Os1.a Protejarea eficientă a valorilor naturale, peisagistice și culturale</w:t>
            </w:r>
            <w:r>
              <w:rPr>
                <w:rFonts w:eastAsia="Times New Roman" w:cs="Times New Roman"/>
                <w:sz w:val="20"/>
                <w:szCs w:val="20"/>
              </w:rPr>
              <w:t>.</w:t>
            </w:r>
          </w:p>
        </w:tc>
        <w:tc>
          <w:tcPr>
            <w:tcW w:w="4112"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6F8ACB1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2.4.1 Elaborarea unei metodologii pentru inventarierea și evaluarea peisajului costier</w:t>
            </w:r>
          </w:p>
          <w:p w14:paraId="3A9E9F41" w14:textId="77777777" w:rsidR="00670FD4" w:rsidRDefault="00670FD4" w:rsidP="001925BA">
            <w:pPr>
              <w:spacing w:after="0" w:line="240" w:lineRule="auto"/>
              <w:ind w:firstLine="0"/>
              <w:rPr>
                <w:rFonts w:eastAsia="Times New Roman" w:cs="Times New Roman"/>
                <w:sz w:val="20"/>
                <w:szCs w:val="20"/>
                <w:highlight w:val="white"/>
              </w:rPr>
            </w:pP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2504F5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Medie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E0178F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2027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989FE4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MDLPA,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DED019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Fondurii proprii MDLPA, Programul Regional Sud-Est, PNRR</w:t>
            </w:r>
          </w:p>
        </w:tc>
      </w:tr>
      <w:tr w:rsidR="00670FD4" w14:paraId="5020C496" w14:textId="77777777" w:rsidTr="001925BA">
        <w:trPr>
          <w:trHeight w:val="612"/>
        </w:trPr>
        <w:tc>
          <w:tcPr>
            <w:tcW w:w="1875"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4E7ED4B9" w14:textId="77777777" w:rsidR="00670FD4" w:rsidRDefault="00670FD4" w:rsidP="001925BA">
            <w:pPr>
              <w:widowControl w:val="0"/>
              <w:pBdr>
                <w:top w:val="nil"/>
                <w:left w:val="nil"/>
                <w:bottom w:val="nil"/>
                <w:right w:val="nil"/>
                <w:between w:val="nil"/>
              </w:pBdr>
              <w:spacing w:after="0"/>
              <w:rPr>
                <w:rFonts w:eastAsia="Times New Roman" w:cs="Times New Roman"/>
                <w:sz w:val="20"/>
                <w:szCs w:val="20"/>
              </w:rPr>
            </w:pPr>
          </w:p>
        </w:tc>
        <w:tc>
          <w:tcPr>
            <w:tcW w:w="2098" w:type="dxa"/>
            <w:vMerge/>
            <w:tcBorders>
              <w:left w:val="single" w:sz="4" w:space="0" w:color="auto"/>
              <w:right w:val="single" w:sz="4" w:space="0" w:color="auto"/>
            </w:tcBorders>
          </w:tcPr>
          <w:p w14:paraId="72B39552" w14:textId="77777777" w:rsidR="00670FD4" w:rsidRDefault="00670FD4" w:rsidP="001925BA">
            <w:pPr>
              <w:spacing w:after="0" w:line="240" w:lineRule="auto"/>
              <w:rPr>
                <w:rFonts w:eastAsia="Times New Roman" w:cs="Times New Roman"/>
                <w:sz w:val="20"/>
                <w:szCs w:val="20"/>
              </w:rPr>
            </w:pPr>
          </w:p>
        </w:tc>
        <w:tc>
          <w:tcPr>
            <w:tcW w:w="4112"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6E745C0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2.4.2 Realizarea atlasului peisajului costier</w:t>
            </w:r>
          </w:p>
          <w:p w14:paraId="00FA7DE4" w14:textId="77777777" w:rsidR="00670FD4" w:rsidRDefault="00670FD4" w:rsidP="001925BA">
            <w:pPr>
              <w:spacing w:after="0" w:line="240" w:lineRule="auto"/>
              <w:ind w:firstLine="0"/>
              <w:rPr>
                <w:rFonts w:eastAsia="Times New Roman" w:cs="Times New Roman"/>
                <w:sz w:val="20"/>
                <w:szCs w:val="20"/>
                <w:highlight w:val="white"/>
              </w:rPr>
            </w:pP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4BC3A1E"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Medie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40E63C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2027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7165DD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MDLPA,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01BA89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 xml:space="preserve">Fonduri proprii MDLPA, Programul Național de Cadastru și Carte Funciară, </w:t>
            </w:r>
            <w:r>
              <w:rPr>
                <w:rFonts w:eastAsia="Times New Roman" w:cs="Times New Roman"/>
                <w:sz w:val="20"/>
                <w:szCs w:val="20"/>
              </w:rPr>
              <w:lastRenderedPageBreak/>
              <w:t>Programul Regional Sud-Est, PNRR</w:t>
            </w:r>
          </w:p>
        </w:tc>
      </w:tr>
      <w:tr w:rsidR="00670FD4" w14:paraId="4040C20B" w14:textId="77777777" w:rsidTr="001925BA">
        <w:trPr>
          <w:trHeight w:val="612"/>
        </w:trPr>
        <w:tc>
          <w:tcPr>
            <w:tcW w:w="1875"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14228CC1" w14:textId="77777777" w:rsidR="00670FD4" w:rsidRDefault="00670FD4" w:rsidP="001925BA">
            <w:pPr>
              <w:widowControl w:val="0"/>
              <w:pBdr>
                <w:top w:val="nil"/>
                <w:left w:val="nil"/>
                <w:bottom w:val="nil"/>
                <w:right w:val="nil"/>
                <w:between w:val="nil"/>
              </w:pBdr>
              <w:spacing w:after="0"/>
              <w:rPr>
                <w:rFonts w:eastAsia="Times New Roman" w:cs="Times New Roman"/>
                <w:sz w:val="20"/>
                <w:szCs w:val="20"/>
              </w:rPr>
            </w:pPr>
          </w:p>
        </w:tc>
        <w:tc>
          <w:tcPr>
            <w:tcW w:w="2098" w:type="dxa"/>
            <w:vMerge/>
            <w:tcBorders>
              <w:left w:val="single" w:sz="4" w:space="0" w:color="auto"/>
              <w:bottom w:val="single" w:sz="4" w:space="0" w:color="auto"/>
              <w:right w:val="single" w:sz="4" w:space="0" w:color="auto"/>
            </w:tcBorders>
          </w:tcPr>
          <w:p w14:paraId="0C7E8EED" w14:textId="77777777" w:rsidR="00670FD4" w:rsidRDefault="00670FD4" w:rsidP="001925BA">
            <w:pPr>
              <w:spacing w:after="0" w:line="240" w:lineRule="auto"/>
              <w:rPr>
                <w:rFonts w:eastAsia="Times New Roman" w:cs="Times New Roman"/>
                <w:sz w:val="20"/>
                <w:szCs w:val="20"/>
              </w:rPr>
            </w:pPr>
          </w:p>
        </w:tc>
        <w:tc>
          <w:tcPr>
            <w:tcW w:w="4112"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6E3DC029" w14:textId="77777777" w:rsidR="00670FD4" w:rsidRDefault="00670FD4" w:rsidP="001925BA">
            <w:pPr>
              <w:spacing w:after="0" w:line="240" w:lineRule="auto"/>
              <w:ind w:firstLine="0"/>
              <w:rPr>
                <w:rFonts w:eastAsia="Times New Roman" w:cs="Times New Roman"/>
                <w:sz w:val="20"/>
                <w:szCs w:val="20"/>
                <w:highlight w:val="white"/>
              </w:rPr>
            </w:pPr>
            <w:r>
              <w:rPr>
                <w:rFonts w:eastAsia="Times New Roman" w:cs="Times New Roman"/>
                <w:sz w:val="20"/>
                <w:szCs w:val="20"/>
              </w:rPr>
              <w:t>A 2.4.3 Elaborarea unei metodologii / ghid pentru programele de conservare /reabilitare / valorificare a peisajului costier</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201C93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99171F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2027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BCCE30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MDLPA, MCID (INCD-uri),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E2F1B8E"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Fonduri proprii MDLPA, PNCDI IV, PNRR, Programul Regional Sud-Est</w:t>
            </w:r>
          </w:p>
        </w:tc>
      </w:tr>
    </w:tbl>
    <w:p w14:paraId="0F610753" w14:textId="77777777" w:rsidR="00670FD4" w:rsidRDefault="00670FD4" w:rsidP="00670FD4">
      <w:pPr>
        <w:tabs>
          <w:tab w:val="left" w:pos="7824"/>
        </w:tabs>
        <w:spacing w:line="257" w:lineRule="auto"/>
        <w:ind w:firstLine="0"/>
        <w:rPr>
          <w:rFonts w:eastAsia="Times New Roman" w:cs="Times New Roman"/>
        </w:rPr>
      </w:pPr>
    </w:p>
    <w:p w14:paraId="1862C123" w14:textId="77777777" w:rsidR="00670FD4" w:rsidRDefault="00670FD4" w:rsidP="00670FD4">
      <w:pPr>
        <w:spacing w:before="0"/>
        <w:ind w:firstLine="567"/>
        <w:rPr>
          <w:rFonts w:eastAsia="Times New Roman" w:cs="Times New Roman"/>
        </w:rPr>
      </w:pPr>
      <w:r>
        <w:rPr>
          <w:rFonts w:eastAsia="Times New Roman" w:cs="Times New Roman"/>
        </w:rPr>
        <w:t xml:space="preserve">Activitățile ce se vor realiza în vederea implementării </w:t>
      </w:r>
      <w:r>
        <w:rPr>
          <w:rFonts w:eastAsia="Times New Roman" w:cs="Times New Roman"/>
          <w:b/>
          <w:i/>
        </w:rPr>
        <w:t>Programului de Măsuri</w:t>
      </w:r>
      <w:r>
        <w:rPr>
          <w:rFonts w:eastAsia="Times New Roman" w:cs="Times New Roman"/>
          <w:b/>
          <w:color w:val="000000"/>
        </w:rPr>
        <w:t xml:space="preserve"> </w:t>
      </w:r>
      <w:r>
        <w:rPr>
          <w:rFonts w:eastAsia="Times New Roman" w:cs="Times New Roman"/>
          <w:b/>
          <w:i/>
          <w:color w:val="000000"/>
        </w:rPr>
        <w:t xml:space="preserve">de protecție și conservarea biodiversității și habitatelor zonei costiere </w:t>
      </w:r>
      <w:r>
        <w:rPr>
          <w:rFonts w:eastAsia="Times New Roman" w:cs="Times New Roman"/>
        </w:rPr>
        <w:t>sunt prezentate în Tabelul de mai jos, unde sunt indicate termenele de implementare, organizațiile responsabile pentru realizarea activităților, și implicit implementarea măsurilor, precum și posibilele surse de finanțare.</w:t>
      </w:r>
    </w:p>
    <w:tbl>
      <w:tblPr>
        <w:tblW w:w="14049" w:type="dxa"/>
        <w:tblInd w:w="-27" w:type="dxa"/>
        <w:tblBorders>
          <w:top w:val="nil"/>
          <w:left w:val="nil"/>
          <w:bottom w:val="nil"/>
          <w:right w:val="nil"/>
          <w:insideH w:val="nil"/>
          <w:insideV w:val="nil"/>
        </w:tblBorders>
        <w:tblLayout w:type="fixed"/>
        <w:tblLook w:val="0600" w:firstRow="0" w:lastRow="0" w:firstColumn="0" w:lastColumn="0" w:noHBand="1" w:noVBand="1"/>
      </w:tblPr>
      <w:tblGrid>
        <w:gridCol w:w="1943"/>
        <w:gridCol w:w="2036"/>
        <w:gridCol w:w="4254"/>
        <w:gridCol w:w="1277"/>
        <w:gridCol w:w="1418"/>
        <w:gridCol w:w="1419"/>
        <w:gridCol w:w="1702"/>
      </w:tblGrid>
      <w:tr w:rsidR="00670FD4" w14:paraId="3E0D27BF" w14:textId="77777777" w:rsidTr="001925BA">
        <w:trPr>
          <w:trHeight w:val="390"/>
        </w:trPr>
        <w:tc>
          <w:tcPr>
            <w:tcW w:w="1943" w:type="dxa"/>
            <w:tcBorders>
              <w:top w:val="single" w:sz="5" w:space="0" w:color="000000"/>
              <w:left w:val="single" w:sz="5" w:space="0" w:color="000000"/>
              <w:bottom w:val="single" w:sz="4" w:space="0" w:color="000000"/>
              <w:right w:val="single" w:sz="4" w:space="0" w:color="auto"/>
            </w:tcBorders>
            <w:tcMar>
              <w:top w:w="0" w:type="dxa"/>
              <w:left w:w="100" w:type="dxa"/>
              <w:bottom w:w="0" w:type="dxa"/>
              <w:right w:w="100" w:type="dxa"/>
            </w:tcMar>
          </w:tcPr>
          <w:p w14:paraId="1F98283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Măsură</w:t>
            </w:r>
          </w:p>
        </w:tc>
        <w:tc>
          <w:tcPr>
            <w:tcW w:w="2036" w:type="dxa"/>
            <w:tcBorders>
              <w:top w:val="single" w:sz="4" w:space="0" w:color="auto"/>
              <w:left w:val="single" w:sz="4" w:space="0" w:color="auto"/>
              <w:bottom w:val="single" w:sz="4" w:space="0" w:color="auto"/>
              <w:right w:val="single" w:sz="4" w:space="0" w:color="auto"/>
            </w:tcBorders>
          </w:tcPr>
          <w:p w14:paraId="2B4BB14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Obiective vizate</w:t>
            </w:r>
          </w:p>
        </w:tc>
        <w:tc>
          <w:tcPr>
            <w:tcW w:w="4254" w:type="dxa"/>
            <w:tcBorders>
              <w:top w:val="single" w:sz="5" w:space="0" w:color="000000"/>
              <w:left w:val="single" w:sz="4" w:space="0" w:color="auto"/>
              <w:bottom w:val="single" w:sz="4" w:space="0" w:color="000000"/>
              <w:right w:val="single" w:sz="5" w:space="0" w:color="000000"/>
            </w:tcBorders>
            <w:tcMar>
              <w:top w:w="0" w:type="dxa"/>
              <w:left w:w="100" w:type="dxa"/>
              <w:bottom w:w="0" w:type="dxa"/>
              <w:right w:w="100" w:type="dxa"/>
            </w:tcMar>
          </w:tcPr>
          <w:p w14:paraId="11DCCED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Activitate</w:t>
            </w:r>
          </w:p>
        </w:tc>
        <w:tc>
          <w:tcPr>
            <w:tcW w:w="1277" w:type="dxa"/>
            <w:tcBorders>
              <w:top w:val="single" w:sz="5" w:space="0" w:color="000000"/>
              <w:left w:val="nil"/>
              <w:bottom w:val="single" w:sz="4" w:space="0" w:color="000000"/>
              <w:right w:val="single" w:sz="5" w:space="0" w:color="000000"/>
            </w:tcBorders>
            <w:tcMar>
              <w:top w:w="0" w:type="dxa"/>
              <w:left w:w="100" w:type="dxa"/>
              <w:bottom w:w="0" w:type="dxa"/>
              <w:right w:w="100" w:type="dxa"/>
            </w:tcMar>
          </w:tcPr>
          <w:p w14:paraId="5EF7734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Prioritate</w:t>
            </w:r>
          </w:p>
        </w:tc>
        <w:tc>
          <w:tcPr>
            <w:tcW w:w="1418" w:type="dxa"/>
            <w:tcBorders>
              <w:top w:val="single" w:sz="5" w:space="0" w:color="000000"/>
              <w:left w:val="nil"/>
              <w:bottom w:val="single" w:sz="4" w:space="0" w:color="000000"/>
              <w:right w:val="single" w:sz="5" w:space="0" w:color="000000"/>
            </w:tcBorders>
            <w:tcMar>
              <w:top w:w="0" w:type="dxa"/>
              <w:left w:w="100" w:type="dxa"/>
              <w:bottom w:w="0" w:type="dxa"/>
              <w:right w:w="100" w:type="dxa"/>
            </w:tcMar>
          </w:tcPr>
          <w:p w14:paraId="560E69F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Termen de implementare</w:t>
            </w:r>
          </w:p>
        </w:tc>
        <w:tc>
          <w:tcPr>
            <w:tcW w:w="1419" w:type="dxa"/>
            <w:tcBorders>
              <w:top w:val="single" w:sz="5" w:space="0" w:color="000000"/>
              <w:left w:val="nil"/>
              <w:bottom w:val="single" w:sz="4" w:space="0" w:color="000000"/>
              <w:right w:val="single" w:sz="5" w:space="0" w:color="000000"/>
            </w:tcBorders>
            <w:tcMar>
              <w:top w:w="0" w:type="dxa"/>
              <w:left w:w="100" w:type="dxa"/>
              <w:bottom w:w="0" w:type="dxa"/>
              <w:right w:w="100" w:type="dxa"/>
            </w:tcMar>
          </w:tcPr>
          <w:p w14:paraId="02034C2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Instituții responsabile</w:t>
            </w:r>
          </w:p>
        </w:tc>
        <w:tc>
          <w:tcPr>
            <w:tcW w:w="1702" w:type="dxa"/>
            <w:tcBorders>
              <w:top w:val="single" w:sz="5" w:space="0" w:color="000000"/>
              <w:left w:val="nil"/>
              <w:bottom w:val="single" w:sz="4" w:space="0" w:color="000000"/>
              <w:right w:val="single" w:sz="5" w:space="0" w:color="000000"/>
            </w:tcBorders>
            <w:tcMar>
              <w:top w:w="0" w:type="dxa"/>
              <w:left w:w="100" w:type="dxa"/>
              <w:bottom w:w="0" w:type="dxa"/>
              <w:right w:w="100" w:type="dxa"/>
            </w:tcMar>
          </w:tcPr>
          <w:p w14:paraId="538C079E"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Finanțare</w:t>
            </w:r>
          </w:p>
        </w:tc>
      </w:tr>
      <w:tr w:rsidR="00670FD4" w14:paraId="39EAC683" w14:textId="77777777" w:rsidTr="001925BA">
        <w:trPr>
          <w:trHeight w:val="776"/>
        </w:trPr>
        <w:tc>
          <w:tcPr>
            <w:tcW w:w="1943" w:type="dxa"/>
            <w:vMerge w:val="restart"/>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19BA91B9" w14:textId="77777777" w:rsidR="00670FD4" w:rsidRDefault="00670FD4" w:rsidP="001925BA">
            <w:pPr>
              <w:spacing w:after="0" w:line="240" w:lineRule="auto"/>
              <w:ind w:firstLine="0"/>
              <w:rPr>
                <w:rFonts w:eastAsia="Times New Roman" w:cs="Times New Roman"/>
                <w:color w:val="000000"/>
                <w:sz w:val="20"/>
                <w:szCs w:val="20"/>
              </w:rPr>
            </w:pPr>
          </w:p>
          <w:p w14:paraId="257516B0" w14:textId="77777777" w:rsidR="00670FD4" w:rsidRDefault="00670FD4" w:rsidP="001925BA">
            <w:pPr>
              <w:spacing w:after="0" w:line="240" w:lineRule="auto"/>
              <w:ind w:firstLine="0"/>
              <w:rPr>
                <w:rFonts w:eastAsia="Times New Roman" w:cs="Times New Roman"/>
                <w:color w:val="000000"/>
                <w:sz w:val="20"/>
                <w:szCs w:val="20"/>
              </w:rPr>
            </w:pPr>
          </w:p>
          <w:p w14:paraId="17F4256C" w14:textId="77777777" w:rsidR="00670FD4" w:rsidRDefault="00670FD4" w:rsidP="001925BA">
            <w:pPr>
              <w:spacing w:after="0" w:line="240" w:lineRule="auto"/>
              <w:ind w:firstLine="0"/>
              <w:rPr>
                <w:rFonts w:eastAsia="Times New Roman" w:cs="Times New Roman"/>
                <w:color w:val="000000"/>
                <w:sz w:val="20"/>
                <w:szCs w:val="20"/>
              </w:rPr>
            </w:pPr>
          </w:p>
          <w:p w14:paraId="0C4C5EA7" w14:textId="77777777" w:rsidR="00670FD4" w:rsidRDefault="00670FD4" w:rsidP="001925BA">
            <w:pPr>
              <w:spacing w:after="0" w:line="240" w:lineRule="auto"/>
              <w:ind w:firstLine="0"/>
              <w:rPr>
                <w:rFonts w:eastAsia="Times New Roman" w:cs="Times New Roman"/>
                <w:color w:val="000000"/>
                <w:sz w:val="20"/>
                <w:szCs w:val="20"/>
              </w:rPr>
            </w:pPr>
          </w:p>
          <w:p w14:paraId="68D7EBE8" w14:textId="77777777" w:rsidR="00670FD4" w:rsidRDefault="00670FD4" w:rsidP="001925BA">
            <w:pPr>
              <w:spacing w:after="0" w:line="240" w:lineRule="auto"/>
              <w:ind w:firstLine="0"/>
              <w:rPr>
                <w:rFonts w:eastAsia="Times New Roman" w:cs="Times New Roman"/>
                <w:color w:val="000000"/>
                <w:sz w:val="20"/>
                <w:szCs w:val="20"/>
              </w:rPr>
            </w:pPr>
          </w:p>
          <w:p w14:paraId="3E8208CF"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M3.1 Creșterea gradului de protecție și conservare a habitatelor zonei costiere</w:t>
            </w:r>
          </w:p>
          <w:p w14:paraId="1D98CBC3" w14:textId="77777777" w:rsidR="00670FD4" w:rsidRDefault="00670FD4" w:rsidP="001925BA">
            <w:pPr>
              <w:spacing w:after="0" w:line="240" w:lineRule="auto"/>
              <w:ind w:firstLine="0"/>
              <w:rPr>
                <w:rFonts w:eastAsia="Times New Roman" w:cs="Times New Roman"/>
                <w:color w:val="000000"/>
                <w:sz w:val="20"/>
                <w:szCs w:val="20"/>
              </w:rPr>
            </w:pPr>
          </w:p>
          <w:p w14:paraId="09CDB429" w14:textId="77777777" w:rsidR="00670FD4" w:rsidRDefault="00670FD4" w:rsidP="001925BA">
            <w:pPr>
              <w:spacing w:after="0" w:line="240" w:lineRule="auto"/>
              <w:ind w:firstLine="0"/>
              <w:rPr>
                <w:rFonts w:eastAsia="Times New Roman" w:cs="Times New Roman"/>
                <w:sz w:val="20"/>
                <w:szCs w:val="20"/>
              </w:rPr>
            </w:pPr>
          </w:p>
        </w:tc>
        <w:tc>
          <w:tcPr>
            <w:tcW w:w="2036" w:type="dxa"/>
            <w:vMerge w:val="restart"/>
            <w:tcBorders>
              <w:top w:val="single" w:sz="4" w:space="0" w:color="auto"/>
              <w:left w:val="single" w:sz="4" w:space="0" w:color="auto"/>
              <w:bottom w:val="single" w:sz="4" w:space="0" w:color="auto"/>
              <w:right w:val="single" w:sz="4" w:space="0" w:color="auto"/>
            </w:tcBorders>
          </w:tcPr>
          <w:p w14:paraId="338544D7" w14:textId="77777777" w:rsidR="00670FD4" w:rsidRPr="00820F4E" w:rsidRDefault="00670FD4" w:rsidP="001925BA">
            <w:pPr>
              <w:spacing w:line="240" w:lineRule="auto"/>
              <w:ind w:firstLine="0"/>
              <w:rPr>
                <w:rFonts w:eastAsia="Times New Roman" w:cs="Times New Roman"/>
                <w:sz w:val="20"/>
                <w:szCs w:val="20"/>
              </w:rPr>
            </w:pPr>
            <w:r w:rsidRPr="00820F4E">
              <w:rPr>
                <w:rFonts w:eastAsia="Times New Roman" w:cs="Times New Roman"/>
                <w:sz w:val="20"/>
                <w:szCs w:val="20"/>
              </w:rPr>
              <w:lastRenderedPageBreak/>
              <w:t>Os1.a Protejarea eficientă a valorilor naturale, peisagistice și culturale</w:t>
            </w:r>
          </w:p>
          <w:p w14:paraId="1AAEAB93" w14:textId="77777777" w:rsidR="00670FD4" w:rsidRDefault="00670FD4" w:rsidP="001925BA">
            <w:pPr>
              <w:spacing w:line="240" w:lineRule="auto"/>
              <w:ind w:firstLine="0"/>
              <w:rPr>
                <w:rFonts w:eastAsia="Times New Roman" w:cs="Times New Roman"/>
                <w:sz w:val="20"/>
                <w:szCs w:val="20"/>
              </w:rPr>
            </w:pPr>
            <w:r w:rsidRPr="00820F4E">
              <w:rPr>
                <w:rFonts w:eastAsia="Times New Roman" w:cs="Times New Roman"/>
                <w:sz w:val="20"/>
                <w:szCs w:val="20"/>
              </w:rPr>
              <w:t>Os2.a Atingerea stării ecologice bune a ecosistemelor.</w:t>
            </w: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39F8D41C" w14:textId="77777777" w:rsidR="00670FD4" w:rsidRDefault="00670FD4" w:rsidP="001925BA">
            <w:pPr>
              <w:spacing w:after="0" w:line="240" w:lineRule="auto"/>
              <w:ind w:firstLine="0"/>
              <w:rPr>
                <w:rFonts w:eastAsia="Times New Roman" w:cs="Times New Roman"/>
                <w:sz w:val="20"/>
                <w:szCs w:val="20"/>
                <w:highlight w:val="white"/>
              </w:rPr>
            </w:pPr>
            <w:r>
              <w:rPr>
                <w:rFonts w:eastAsia="Times New Roman" w:cs="Times New Roman"/>
                <w:sz w:val="20"/>
                <w:szCs w:val="20"/>
              </w:rPr>
              <w:t>A 3.1.1 Stabilirea unui cadru de guvernanță consolidat pentru a remedia disparitățile existente, pentru a asigura punerea în aplicare deplină a legislației UE și care sa reunească toate eforturile existente.</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9EE085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BC3E1F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2027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4C02563"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MMAP</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A66EEF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 propriu MMAP</w:t>
            </w:r>
          </w:p>
        </w:tc>
      </w:tr>
      <w:tr w:rsidR="00670FD4" w14:paraId="11BDC406" w14:textId="77777777" w:rsidTr="001925BA">
        <w:trPr>
          <w:trHeight w:val="542"/>
        </w:trPr>
        <w:tc>
          <w:tcPr>
            <w:tcW w:w="1943" w:type="dxa"/>
            <w:vMerge/>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7ECE5352"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2036" w:type="dxa"/>
            <w:vMerge/>
            <w:tcBorders>
              <w:top w:val="single" w:sz="4" w:space="0" w:color="auto"/>
              <w:left w:val="single" w:sz="4" w:space="0" w:color="auto"/>
              <w:bottom w:val="single" w:sz="4" w:space="0" w:color="auto"/>
              <w:right w:val="single" w:sz="4" w:space="0" w:color="auto"/>
            </w:tcBorders>
          </w:tcPr>
          <w:p w14:paraId="4C5F78C9" w14:textId="77777777" w:rsidR="00670FD4" w:rsidRDefault="00670FD4" w:rsidP="001925BA">
            <w:pPr>
              <w:spacing w:after="0" w:line="240" w:lineRule="auto"/>
              <w:ind w:firstLine="0"/>
              <w:rPr>
                <w:rFonts w:eastAsia="Times New Roman" w:cs="Times New Roman"/>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05A98493" w14:textId="77777777" w:rsidR="00670FD4" w:rsidRDefault="00670FD4" w:rsidP="001925BA">
            <w:pPr>
              <w:spacing w:after="0" w:line="240" w:lineRule="auto"/>
              <w:ind w:firstLine="0"/>
              <w:rPr>
                <w:rFonts w:eastAsia="Times New Roman" w:cs="Times New Roman"/>
                <w:sz w:val="20"/>
                <w:szCs w:val="20"/>
                <w:highlight w:val="white"/>
              </w:rPr>
            </w:pPr>
            <w:r>
              <w:rPr>
                <w:rFonts w:eastAsia="Times New Roman" w:cs="Times New Roman"/>
                <w:sz w:val="20"/>
                <w:szCs w:val="20"/>
              </w:rPr>
              <w:t>A 3.1.2 Monitorizarea și cartarea ecosistemelor costiere, în scopul de a spori capacitatea acestora de a oferi beneficii esențiale pentru dezvoltare sustenabilă.</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34FAEC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2F1DF8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4198EA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MMAP (ANANP, ARBDD), MCID (INCD-uri),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3821DC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Bugetul propriul MMAP, programe LIFE, PNRR și Horizon Europe, Planul Național de Cercetare Dezvoltare și Inovare 2022-2027 (PNCDI IV)</w:t>
            </w:r>
          </w:p>
        </w:tc>
      </w:tr>
      <w:tr w:rsidR="00670FD4" w14:paraId="56041BE2" w14:textId="77777777" w:rsidTr="001925BA">
        <w:trPr>
          <w:trHeight w:val="1031"/>
        </w:trPr>
        <w:tc>
          <w:tcPr>
            <w:tcW w:w="1943" w:type="dxa"/>
            <w:vMerge/>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3815D466"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2036" w:type="dxa"/>
            <w:vMerge/>
            <w:tcBorders>
              <w:top w:val="single" w:sz="4" w:space="0" w:color="auto"/>
              <w:left w:val="single" w:sz="4" w:space="0" w:color="auto"/>
              <w:bottom w:val="single" w:sz="4" w:space="0" w:color="auto"/>
              <w:right w:val="single" w:sz="4" w:space="0" w:color="auto"/>
            </w:tcBorders>
          </w:tcPr>
          <w:p w14:paraId="38822C11" w14:textId="77777777" w:rsidR="00670FD4" w:rsidRDefault="00670FD4" w:rsidP="001925BA">
            <w:pPr>
              <w:spacing w:after="0" w:line="240" w:lineRule="auto"/>
              <w:ind w:firstLine="0"/>
              <w:rPr>
                <w:rFonts w:eastAsia="Times New Roman" w:cs="Times New Roman"/>
                <w:sz w:val="20"/>
                <w:szCs w:val="20"/>
                <w:highlight w:val="white"/>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74E147F0" w14:textId="77777777" w:rsidR="00670FD4" w:rsidRDefault="00670FD4" w:rsidP="001925BA">
            <w:pPr>
              <w:spacing w:after="0" w:line="240" w:lineRule="auto"/>
              <w:ind w:firstLine="0"/>
              <w:rPr>
                <w:rFonts w:eastAsia="Times New Roman" w:cs="Times New Roman"/>
                <w:sz w:val="20"/>
                <w:szCs w:val="20"/>
                <w:highlight w:val="white"/>
              </w:rPr>
            </w:pPr>
            <w:r>
              <w:rPr>
                <w:rFonts w:eastAsia="Times New Roman" w:cs="Times New Roman"/>
                <w:sz w:val="20"/>
                <w:szCs w:val="20"/>
                <w:highlight w:val="white"/>
              </w:rPr>
              <w:t xml:space="preserve">A 3.1.3 </w:t>
            </w:r>
            <w:r>
              <w:rPr>
                <w:rFonts w:eastAsia="Times New Roman" w:cs="Times New Roman"/>
                <w:sz w:val="20"/>
                <w:szCs w:val="20"/>
              </w:rPr>
              <w:t>Dezvoltarea și implementarea de proiecte pilot pentru conservarea unor specii sau a unor habitate periclitate pe plan național și/sau European.</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191B22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Medie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D6B843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0BBFED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MMAP (ANAP, ARBDD), MCID (INCD-uri),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72D0AC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Bugetul propriul MMAP, programe LIFE, PNRR și Horizon Europe, Planul Național de Cercetare Dezvoltare și Inovare 2022-2027 (PNCDI IV)</w:t>
            </w:r>
          </w:p>
        </w:tc>
      </w:tr>
      <w:tr w:rsidR="00670FD4" w14:paraId="571B6BA5" w14:textId="77777777" w:rsidTr="001925BA">
        <w:trPr>
          <w:trHeight w:val="1025"/>
        </w:trPr>
        <w:tc>
          <w:tcPr>
            <w:tcW w:w="1943" w:type="dxa"/>
            <w:vMerge w:val="restart"/>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76AE9CE4"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M3.2. Elaborarea sau actualizarea, după caz, a Planurilor de Management pentru ariile naturale protejate din zona costieră</w:t>
            </w:r>
          </w:p>
        </w:tc>
        <w:tc>
          <w:tcPr>
            <w:tcW w:w="2036" w:type="dxa"/>
            <w:vMerge w:val="restart"/>
            <w:tcBorders>
              <w:top w:val="single" w:sz="4" w:space="0" w:color="auto"/>
              <w:left w:val="single" w:sz="4" w:space="0" w:color="auto"/>
              <w:bottom w:val="single" w:sz="4" w:space="0" w:color="auto"/>
              <w:right w:val="single" w:sz="4" w:space="0" w:color="auto"/>
            </w:tcBorders>
          </w:tcPr>
          <w:p w14:paraId="23C5D755" w14:textId="77777777" w:rsidR="00670FD4" w:rsidRPr="00AC1E5C" w:rsidRDefault="00670FD4" w:rsidP="001925BA">
            <w:pPr>
              <w:spacing w:line="240" w:lineRule="auto"/>
              <w:ind w:firstLine="0"/>
              <w:rPr>
                <w:rFonts w:eastAsia="Times New Roman" w:cs="Times New Roman"/>
                <w:sz w:val="20"/>
                <w:szCs w:val="20"/>
              </w:rPr>
            </w:pPr>
            <w:r w:rsidRPr="00AC1E5C">
              <w:rPr>
                <w:rFonts w:eastAsia="Times New Roman" w:cs="Times New Roman"/>
                <w:sz w:val="20"/>
                <w:szCs w:val="20"/>
              </w:rPr>
              <w:t>Os1.a Protejarea eficientă a valorilor naturale, peisagistice și culturale</w:t>
            </w:r>
          </w:p>
          <w:p w14:paraId="77E29F22" w14:textId="77777777" w:rsidR="00670FD4" w:rsidRDefault="00670FD4" w:rsidP="001925BA">
            <w:pPr>
              <w:spacing w:line="240" w:lineRule="auto"/>
              <w:ind w:firstLine="0"/>
              <w:rPr>
                <w:rFonts w:eastAsia="Times New Roman" w:cs="Times New Roman"/>
                <w:sz w:val="20"/>
                <w:szCs w:val="20"/>
                <w:highlight w:val="white"/>
              </w:rPr>
            </w:pPr>
            <w:r w:rsidRPr="00AC1E5C">
              <w:rPr>
                <w:rFonts w:eastAsia="Times New Roman" w:cs="Times New Roman"/>
                <w:sz w:val="20"/>
                <w:szCs w:val="20"/>
              </w:rPr>
              <w:t>Os2.a Atingerea stării ecologice bune a ecosistemelor.</w:t>
            </w: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4BFFD197" w14:textId="77777777" w:rsidR="00670FD4" w:rsidRDefault="00670FD4" w:rsidP="001925BA">
            <w:pPr>
              <w:spacing w:after="0" w:line="240" w:lineRule="auto"/>
              <w:ind w:firstLine="0"/>
              <w:rPr>
                <w:rFonts w:eastAsia="Times New Roman" w:cs="Times New Roman"/>
                <w:sz w:val="20"/>
                <w:szCs w:val="20"/>
                <w:highlight w:val="white"/>
              </w:rPr>
            </w:pPr>
            <w:r>
              <w:rPr>
                <w:rFonts w:eastAsia="Times New Roman" w:cs="Times New Roman"/>
                <w:sz w:val="20"/>
                <w:szCs w:val="20"/>
                <w:highlight w:val="white"/>
              </w:rPr>
              <w:t xml:space="preserve">A 3.2.1 </w:t>
            </w:r>
            <w:r>
              <w:rPr>
                <w:rFonts w:eastAsia="Times New Roman" w:cs="Times New Roman"/>
                <w:sz w:val="20"/>
                <w:szCs w:val="20"/>
              </w:rPr>
              <w:t>Elaborarea/Actualizarea și implementarea Planurilor de management, strategiilor şi a măsurilor de management a ariilor naturale protejate, precum şi altor activităţi conexe (activităţi preliminare măsurilor concrete de investiţii sau conservare).</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018599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13281A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9A49E2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MMAP (ANAP, ARBDD), MCID (INCD-uri),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B556BF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 propriu MMAP, Programe LIFE, PNRR, Horizon Europe, Planul Național de Cercetare Dezvoltare și Inovare 2022-2027 (PNCDI IV)</w:t>
            </w:r>
          </w:p>
        </w:tc>
      </w:tr>
      <w:tr w:rsidR="00670FD4" w14:paraId="6EFCEA5E" w14:textId="77777777" w:rsidTr="001925BA">
        <w:trPr>
          <w:trHeight w:val="816"/>
        </w:trPr>
        <w:tc>
          <w:tcPr>
            <w:tcW w:w="1943" w:type="dxa"/>
            <w:vMerge/>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51FD8A62"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2036" w:type="dxa"/>
            <w:vMerge/>
            <w:tcBorders>
              <w:top w:val="single" w:sz="4" w:space="0" w:color="auto"/>
              <w:left w:val="single" w:sz="4" w:space="0" w:color="auto"/>
              <w:bottom w:val="single" w:sz="4" w:space="0" w:color="auto"/>
              <w:right w:val="single" w:sz="4" w:space="0" w:color="auto"/>
            </w:tcBorders>
          </w:tcPr>
          <w:p w14:paraId="06B2AB98" w14:textId="77777777" w:rsidR="00670FD4" w:rsidRDefault="00670FD4" w:rsidP="001925BA">
            <w:pPr>
              <w:spacing w:after="0" w:line="240" w:lineRule="auto"/>
              <w:ind w:firstLine="0"/>
              <w:rPr>
                <w:rFonts w:eastAsia="Times New Roman" w:cs="Times New Roman"/>
                <w:sz w:val="20"/>
                <w:szCs w:val="20"/>
                <w:highlight w:val="white"/>
              </w:rPr>
            </w:pPr>
          </w:p>
        </w:tc>
        <w:tc>
          <w:tcPr>
            <w:tcW w:w="4254"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0F6D9F78" w14:textId="77777777" w:rsidR="00670FD4" w:rsidRDefault="00670FD4" w:rsidP="001925BA">
            <w:pPr>
              <w:spacing w:after="0" w:line="240" w:lineRule="auto"/>
              <w:ind w:firstLine="0"/>
              <w:rPr>
                <w:rFonts w:eastAsia="Times New Roman" w:cs="Times New Roman"/>
                <w:sz w:val="20"/>
                <w:szCs w:val="20"/>
                <w:highlight w:val="white"/>
              </w:rPr>
            </w:pPr>
            <w:r>
              <w:rPr>
                <w:rFonts w:eastAsia="Times New Roman" w:cs="Times New Roman"/>
                <w:sz w:val="20"/>
                <w:szCs w:val="20"/>
                <w:highlight w:val="white"/>
              </w:rPr>
              <w:t xml:space="preserve">A 3.2.2 </w:t>
            </w:r>
            <w:r>
              <w:rPr>
                <w:rFonts w:eastAsia="Times New Roman" w:cs="Times New Roman"/>
                <w:sz w:val="20"/>
                <w:szCs w:val="20"/>
              </w:rPr>
              <w:t>Inițierea și implementarea de programe de cercetare pentru protecția și conservarea ariilor protejate și a resurselor acvatice vii.</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B8B696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Medie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E567D3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70E6BD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MMAP (ANAP, ARBDD), MCID (INCD-uri),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F4BEE2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Programe LIFE, PNRR, Horizon Europe, Planul Național de Cercetare Dezvoltare și Inovare 2022-2027 (PNCDI IV)</w:t>
            </w:r>
          </w:p>
        </w:tc>
      </w:tr>
      <w:tr w:rsidR="00670FD4" w14:paraId="30102B93" w14:textId="77777777" w:rsidTr="001925BA">
        <w:trPr>
          <w:trHeight w:val="858"/>
        </w:trPr>
        <w:tc>
          <w:tcPr>
            <w:tcW w:w="1943" w:type="dxa"/>
            <w:vMerge w:val="restart"/>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77B816ED"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 xml:space="preserve">M3.3. Restabilirea/refacerea și utilizarea sustenabilă a ecosistemelor costiere utilizând </w:t>
            </w:r>
            <w:r>
              <w:rPr>
                <w:rFonts w:eastAsia="Times New Roman" w:cs="Times New Roman"/>
                <w:color w:val="000000"/>
                <w:sz w:val="20"/>
                <w:szCs w:val="20"/>
              </w:rPr>
              <w:lastRenderedPageBreak/>
              <w:t>soluțiile bazate pe natură</w:t>
            </w:r>
          </w:p>
        </w:tc>
        <w:tc>
          <w:tcPr>
            <w:tcW w:w="2036" w:type="dxa"/>
            <w:vMerge w:val="restart"/>
            <w:tcBorders>
              <w:top w:val="single" w:sz="4" w:space="0" w:color="auto"/>
              <w:left w:val="single" w:sz="4" w:space="0" w:color="auto"/>
              <w:bottom w:val="single" w:sz="4" w:space="0" w:color="auto"/>
              <w:right w:val="single" w:sz="4" w:space="0" w:color="auto"/>
            </w:tcBorders>
          </w:tcPr>
          <w:p w14:paraId="6C5468D2" w14:textId="77777777" w:rsidR="00670FD4" w:rsidRPr="00AC1E5C" w:rsidRDefault="00670FD4" w:rsidP="001925BA">
            <w:pPr>
              <w:spacing w:line="240" w:lineRule="auto"/>
              <w:ind w:firstLine="0"/>
              <w:rPr>
                <w:rFonts w:eastAsia="Times New Roman" w:cs="Times New Roman"/>
                <w:sz w:val="20"/>
                <w:szCs w:val="20"/>
              </w:rPr>
            </w:pPr>
            <w:r w:rsidRPr="00AC1E5C">
              <w:rPr>
                <w:rFonts w:eastAsia="Times New Roman" w:cs="Times New Roman"/>
                <w:sz w:val="20"/>
                <w:szCs w:val="20"/>
              </w:rPr>
              <w:lastRenderedPageBreak/>
              <w:t>Os1.a Protejarea eficientă a valorilor naturale, peisagistice și culturale</w:t>
            </w:r>
            <w:r>
              <w:rPr>
                <w:rFonts w:eastAsia="Times New Roman" w:cs="Times New Roman"/>
                <w:sz w:val="20"/>
                <w:szCs w:val="20"/>
              </w:rPr>
              <w:t>;</w:t>
            </w:r>
          </w:p>
          <w:p w14:paraId="7D4641B0" w14:textId="77777777" w:rsidR="00670FD4" w:rsidRPr="00AC1E5C" w:rsidRDefault="00670FD4" w:rsidP="001925BA">
            <w:pPr>
              <w:spacing w:line="240" w:lineRule="auto"/>
              <w:ind w:firstLine="0"/>
              <w:rPr>
                <w:rFonts w:eastAsia="Times New Roman" w:cs="Times New Roman"/>
                <w:sz w:val="20"/>
                <w:szCs w:val="20"/>
              </w:rPr>
            </w:pPr>
            <w:r w:rsidRPr="00AC1E5C">
              <w:rPr>
                <w:rFonts w:eastAsia="Times New Roman" w:cs="Times New Roman"/>
                <w:sz w:val="20"/>
                <w:szCs w:val="20"/>
              </w:rPr>
              <w:lastRenderedPageBreak/>
              <w:t>Os2.c Stimularea dezvoltării infrastructurii verzi</w:t>
            </w:r>
            <w:r>
              <w:rPr>
                <w:rFonts w:eastAsia="Times New Roman" w:cs="Times New Roman"/>
                <w:sz w:val="20"/>
                <w:szCs w:val="20"/>
              </w:rPr>
              <w:t>;</w:t>
            </w:r>
          </w:p>
          <w:p w14:paraId="0B52F174" w14:textId="77777777" w:rsidR="00670FD4" w:rsidRDefault="00670FD4" w:rsidP="001925BA">
            <w:pPr>
              <w:spacing w:line="240" w:lineRule="auto"/>
              <w:ind w:firstLine="0"/>
              <w:rPr>
                <w:rFonts w:eastAsia="Times New Roman" w:cs="Times New Roman"/>
                <w:sz w:val="20"/>
                <w:szCs w:val="20"/>
              </w:rPr>
            </w:pPr>
            <w:r w:rsidRPr="00AC1E5C">
              <w:rPr>
                <w:rFonts w:eastAsia="Times New Roman" w:cs="Times New Roman"/>
                <w:sz w:val="20"/>
                <w:szCs w:val="20"/>
              </w:rPr>
              <w:t>Os2.a Atingerea stării ecologice bune a ecosistemelor.</w:t>
            </w: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0805B401" w14:textId="77777777" w:rsidR="00670FD4" w:rsidRDefault="00670FD4" w:rsidP="001925BA">
            <w:pPr>
              <w:spacing w:after="0" w:line="240" w:lineRule="auto"/>
              <w:ind w:firstLine="0"/>
              <w:rPr>
                <w:rFonts w:eastAsia="Times New Roman" w:cs="Times New Roman"/>
                <w:sz w:val="20"/>
                <w:szCs w:val="20"/>
                <w:highlight w:val="white"/>
              </w:rPr>
            </w:pPr>
            <w:r>
              <w:rPr>
                <w:rFonts w:eastAsia="Times New Roman" w:cs="Times New Roman"/>
                <w:sz w:val="20"/>
                <w:szCs w:val="20"/>
              </w:rPr>
              <w:lastRenderedPageBreak/>
              <w:t>A 3.3.1 Elaborarea unui plan de refacere a habitatelor, în special a celor cu rol major în combaterea efectelor schimbărilor climatice (zonele umede, pajiști marine, apele costiere, lagune, păduri, soluri fertile).</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DD73B1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501D79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2027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2B787B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MMAP (ANAP, ARBDD), MCID (INCD-uri),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5DED14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 xml:space="preserve">Buget propriu MMAP, Programe LIFE, PNRR, Programul de </w:t>
            </w:r>
            <w:r>
              <w:rPr>
                <w:rFonts w:eastAsia="Times New Roman" w:cs="Times New Roman"/>
                <w:sz w:val="20"/>
                <w:szCs w:val="20"/>
              </w:rPr>
              <w:t>Dezvoltare</w:t>
            </w:r>
            <w:r>
              <w:rPr>
                <w:rFonts w:eastAsia="Times New Roman" w:cs="Times New Roman"/>
                <w:color w:val="000000"/>
                <w:sz w:val="20"/>
                <w:szCs w:val="20"/>
              </w:rPr>
              <w:t xml:space="preserve"> Durabilă și Horizon Europe. </w:t>
            </w:r>
          </w:p>
        </w:tc>
      </w:tr>
      <w:tr w:rsidR="00670FD4" w14:paraId="6F0B961E" w14:textId="77777777" w:rsidTr="001925BA">
        <w:trPr>
          <w:trHeight w:val="786"/>
        </w:trPr>
        <w:tc>
          <w:tcPr>
            <w:tcW w:w="1943" w:type="dxa"/>
            <w:vMerge/>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77646D82"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2036" w:type="dxa"/>
            <w:vMerge/>
            <w:tcBorders>
              <w:top w:val="single" w:sz="4" w:space="0" w:color="auto"/>
              <w:left w:val="single" w:sz="4" w:space="0" w:color="auto"/>
              <w:bottom w:val="single" w:sz="4" w:space="0" w:color="auto"/>
              <w:right w:val="single" w:sz="4" w:space="0" w:color="auto"/>
            </w:tcBorders>
          </w:tcPr>
          <w:p w14:paraId="62C9FC86" w14:textId="77777777" w:rsidR="00670FD4" w:rsidRDefault="00670FD4" w:rsidP="001925BA">
            <w:pPr>
              <w:spacing w:after="0" w:line="240" w:lineRule="auto"/>
              <w:ind w:firstLine="0"/>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79E99AE2" w14:textId="77777777" w:rsidR="00670FD4" w:rsidRDefault="00670FD4" w:rsidP="001925BA">
            <w:pPr>
              <w:spacing w:after="0" w:line="240" w:lineRule="auto"/>
              <w:ind w:firstLine="0"/>
              <w:rPr>
                <w:rFonts w:eastAsia="Times New Roman" w:cs="Times New Roman"/>
                <w:sz w:val="20"/>
                <w:szCs w:val="20"/>
                <w:highlight w:val="white"/>
              </w:rPr>
            </w:pPr>
            <w:r>
              <w:rPr>
                <w:rFonts w:eastAsia="Times New Roman" w:cs="Times New Roman"/>
                <w:color w:val="000000"/>
                <w:sz w:val="20"/>
                <w:szCs w:val="20"/>
              </w:rPr>
              <w:t>A 3.3.2 Identificarea și diminuarea factorilor care conduc la pierderea şi degradarea habitatelor din zona costieră și refacerea acestora utilizând soluțiile bazate pe natură.</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1E7DA1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6A7A13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7E09F8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MMAP, MCID (INCD-uri),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F551B7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Buget propriu MMAP, Programe LIFE, PNRR, Horizon Europe, Planul Național de Cercetare Dezvoltare și Inovare 2022-2027 (PNCDI IV)</w:t>
            </w:r>
          </w:p>
        </w:tc>
      </w:tr>
      <w:tr w:rsidR="00670FD4" w14:paraId="00772302" w14:textId="77777777" w:rsidTr="001925BA">
        <w:trPr>
          <w:trHeight w:val="599"/>
        </w:trPr>
        <w:tc>
          <w:tcPr>
            <w:tcW w:w="1943" w:type="dxa"/>
            <w:vMerge/>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2A8B00B3"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2036" w:type="dxa"/>
            <w:vMerge/>
            <w:tcBorders>
              <w:top w:val="single" w:sz="4" w:space="0" w:color="auto"/>
              <w:left w:val="single" w:sz="4" w:space="0" w:color="auto"/>
              <w:bottom w:val="single" w:sz="4" w:space="0" w:color="auto"/>
              <w:right w:val="single" w:sz="4" w:space="0" w:color="auto"/>
            </w:tcBorders>
          </w:tcPr>
          <w:p w14:paraId="31A699FC" w14:textId="77777777" w:rsidR="00670FD4" w:rsidRDefault="00670FD4" w:rsidP="001925BA">
            <w:pPr>
              <w:spacing w:after="0" w:line="240" w:lineRule="auto"/>
              <w:ind w:firstLine="0"/>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5F6E32E9" w14:textId="77777777" w:rsidR="00670FD4" w:rsidRDefault="00670FD4" w:rsidP="001925BA">
            <w:pPr>
              <w:spacing w:after="0" w:line="240" w:lineRule="auto"/>
              <w:ind w:firstLine="0"/>
              <w:rPr>
                <w:rFonts w:eastAsia="Times New Roman" w:cs="Times New Roman"/>
                <w:sz w:val="20"/>
                <w:szCs w:val="20"/>
                <w:highlight w:val="white"/>
              </w:rPr>
            </w:pPr>
            <w:r>
              <w:rPr>
                <w:rFonts w:eastAsia="Times New Roman" w:cs="Times New Roman"/>
                <w:color w:val="000000"/>
                <w:sz w:val="20"/>
                <w:szCs w:val="20"/>
              </w:rPr>
              <w:t>A 3.3.3 Dezvoltarea și implementarea unor proiecte pilot naționale și transfrontaliere dedicate restabilirii/refacerii ecosistemelor costiere utilizând soluțiile bazate pe natură.</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1A3F0B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95718D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D60C0F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MMAP (ANAP, ARBDD), MCID (INCD-uri),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3D72A1B"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 xml:space="preserve">Buget propriu MMAP, </w:t>
            </w:r>
            <w:r>
              <w:rPr>
                <w:rFonts w:eastAsia="Times New Roman" w:cs="Times New Roman"/>
                <w:sz w:val="20"/>
                <w:szCs w:val="20"/>
              </w:rPr>
              <w:t>Program</w:t>
            </w:r>
            <w:r>
              <w:rPr>
                <w:rFonts w:eastAsia="Times New Roman" w:cs="Times New Roman"/>
                <w:color w:val="000000"/>
                <w:sz w:val="20"/>
                <w:szCs w:val="20"/>
              </w:rPr>
              <w:t xml:space="preserve"> LIFE, PNRR, Horizon Europe, Invest EU, Programul de Dezvoltare durabilă, PNCDI IV)</w:t>
            </w:r>
          </w:p>
        </w:tc>
      </w:tr>
      <w:tr w:rsidR="00670FD4" w14:paraId="148F9EDC" w14:textId="77777777" w:rsidTr="001925BA">
        <w:trPr>
          <w:trHeight w:val="799"/>
        </w:trPr>
        <w:tc>
          <w:tcPr>
            <w:tcW w:w="1943" w:type="dxa"/>
            <w:vMerge/>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7586A4FE"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2036" w:type="dxa"/>
            <w:vMerge/>
            <w:tcBorders>
              <w:top w:val="single" w:sz="4" w:space="0" w:color="auto"/>
              <w:left w:val="single" w:sz="4" w:space="0" w:color="auto"/>
              <w:bottom w:val="single" w:sz="4" w:space="0" w:color="auto"/>
              <w:right w:val="single" w:sz="4" w:space="0" w:color="auto"/>
            </w:tcBorders>
          </w:tcPr>
          <w:p w14:paraId="497496FD" w14:textId="77777777" w:rsidR="00670FD4" w:rsidRDefault="00670FD4" w:rsidP="001925BA">
            <w:pPr>
              <w:spacing w:after="0" w:line="240" w:lineRule="auto"/>
              <w:ind w:firstLine="0"/>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18D150E3" w14:textId="77777777" w:rsidR="00670FD4" w:rsidRDefault="00670FD4" w:rsidP="001925BA">
            <w:pPr>
              <w:spacing w:after="0" w:line="240" w:lineRule="auto"/>
              <w:ind w:firstLine="0"/>
              <w:rPr>
                <w:rFonts w:eastAsia="Times New Roman" w:cs="Times New Roman"/>
                <w:sz w:val="20"/>
                <w:szCs w:val="20"/>
                <w:highlight w:val="white"/>
              </w:rPr>
            </w:pPr>
            <w:r>
              <w:rPr>
                <w:rFonts w:eastAsia="Times New Roman" w:cs="Times New Roman"/>
                <w:color w:val="000000"/>
                <w:sz w:val="20"/>
                <w:szCs w:val="20"/>
              </w:rPr>
              <w:t>A 3.3.4 Organizarea de campanii de conștientizare privind restabilirea/refacerea ecosistemelor costiere utilizând soluțiile bazate pe natură.</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118DA4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Medie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17B7A8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918CD5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MMAP, MCID (INCD-uri),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7892CF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Buget propriu MMAP, Programe LIFE, PNRR, Horizon Europe, Planul Național de Cercetare Dezvoltare și Inovare 2022-2027 (PNCDI IV)</w:t>
            </w:r>
          </w:p>
        </w:tc>
      </w:tr>
      <w:tr w:rsidR="00670FD4" w14:paraId="617D50B8" w14:textId="77777777" w:rsidTr="001925BA">
        <w:trPr>
          <w:trHeight w:val="871"/>
        </w:trPr>
        <w:tc>
          <w:tcPr>
            <w:tcW w:w="1943" w:type="dxa"/>
            <w:vMerge w:val="restart"/>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64CE1332"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M3.4. Evaluarea funcțiilor și serviciilor ecosistemice prin instrumente monetare și non-monetare</w:t>
            </w:r>
          </w:p>
        </w:tc>
        <w:tc>
          <w:tcPr>
            <w:tcW w:w="2036" w:type="dxa"/>
            <w:vMerge w:val="restart"/>
            <w:tcBorders>
              <w:top w:val="single" w:sz="4" w:space="0" w:color="auto"/>
              <w:left w:val="single" w:sz="4" w:space="0" w:color="auto"/>
              <w:bottom w:val="single" w:sz="4" w:space="0" w:color="auto"/>
              <w:right w:val="single" w:sz="4" w:space="0" w:color="auto"/>
            </w:tcBorders>
          </w:tcPr>
          <w:p w14:paraId="50C3449F" w14:textId="77777777" w:rsidR="00670FD4" w:rsidRPr="00AC1E5C" w:rsidRDefault="00670FD4" w:rsidP="001925BA">
            <w:pPr>
              <w:spacing w:line="240" w:lineRule="auto"/>
              <w:ind w:firstLine="0"/>
              <w:rPr>
                <w:rFonts w:eastAsia="Times New Roman" w:cs="Times New Roman"/>
                <w:color w:val="000000"/>
                <w:sz w:val="20"/>
                <w:szCs w:val="20"/>
              </w:rPr>
            </w:pPr>
            <w:r w:rsidRPr="00AC1E5C">
              <w:rPr>
                <w:rFonts w:eastAsia="Times New Roman" w:cs="Times New Roman"/>
                <w:color w:val="000000"/>
                <w:sz w:val="20"/>
                <w:szCs w:val="20"/>
              </w:rPr>
              <w:t xml:space="preserve">Os1.a Protejarea eficientă a valorilor naturale, peisagistice și culturale, </w:t>
            </w:r>
          </w:p>
          <w:p w14:paraId="6E2C7155" w14:textId="77777777" w:rsidR="00670FD4" w:rsidRDefault="00670FD4" w:rsidP="001925BA">
            <w:pPr>
              <w:spacing w:line="240" w:lineRule="auto"/>
              <w:ind w:firstLine="0"/>
              <w:rPr>
                <w:rFonts w:eastAsia="Times New Roman" w:cs="Times New Roman"/>
                <w:color w:val="000000"/>
                <w:sz w:val="20"/>
                <w:szCs w:val="20"/>
              </w:rPr>
            </w:pPr>
            <w:r w:rsidRPr="00AC1E5C">
              <w:rPr>
                <w:rFonts w:eastAsia="Times New Roman" w:cs="Times New Roman"/>
                <w:color w:val="000000"/>
                <w:sz w:val="20"/>
                <w:szCs w:val="20"/>
              </w:rPr>
              <w:lastRenderedPageBreak/>
              <w:t>Os1.b Îmbunătățirea și valorizarea serviciilor ecosistemice.</w:t>
            </w: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3A04C776" w14:textId="77777777" w:rsidR="00670FD4" w:rsidRDefault="00670FD4" w:rsidP="001925BA">
            <w:pPr>
              <w:spacing w:after="0" w:line="240" w:lineRule="auto"/>
              <w:ind w:firstLine="0"/>
              <w:rPr>
                <w:rFonts w:eastAsia="Times New Roman" w:cs="Times New Roman"/>
                <w:sz w:val="20"/>
                <w:szCs w:val="20"/>
                <w:highlight w:val="white"/>
              </w:rPr>
            </w:pPr>
            <w:r>
              <w:rPr>
                <w:rFonts w:eastAsia="Times New Roman" w:cs="Times New Roman"/>
                <w:color w:val="000000"/>
                <w:sz w:val="20"/>
                <w:szCs w:val="20"/>
              </w:rPr>
              <w:lastRenderedPageBreak/>
              <w:t>A 3.4.1 Identificarea, catalogarea și monitorizarea serviciilor ecosistemice.</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464BDD3"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Foarte 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7D33E3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2025</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E059EE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MMAP, MCID (INCD-uri),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8AE4AE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 xml:space="preserve">Buget propriu MMAP, Horizon Europe, Planul Național de Cercetare Dezvoltare și </w:t>
            </w:r>
            <w:r>
              <w:rPr>
                <w:rFonts w:eastAsia="Times New Roman" w:cs="Times New Roman"/>
                <w:color w:val="000000"/>
                <w:sz w:val="20"/>
                <w:szCs w:val="20"/>
              </w:rPr>
              <w:lastRenderedPageBreak/>
              <w:t>Inovare 2022-2027 (PNCDI IV)</w:t>
            </w:r>
          </w:p>
        </w:tc>
      </w:tr>
      <w:tr w:rsidR="00670FD4" w14:paraId="0AC7DD48" w14:textId="77777777" w:rsidTr="001925BA">
        <w:trPr>
          <w:trHeight w:val="1254"/>
        </w:trPr>
        <w:tc>
          <w:tcPr>
            <w:tcW w:w="1943" w:type="dxa"/>
            <w:vMerge/>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1F8E8EE5"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2036" w:type="dxa"/>
            <w:vMerge/>
            <w:tcBorders>
              <w:top w:val="single" w:sz="4" w:space="0" w:color="auto"/>
              <w:left w:val="single" w:sz="4" w:space="0" w:color="auto"/>
              <w:bottom w:val="single" w:sz="4" w:space="0" w:color="auto"/>
              <w:right w:val="single" w:sz="4" w:space="0" w:color="auto"/>
            </w:tcBorders>
          </w:tcPr>
          <w:p w14:paraId="3B0C97D2" w14:textId="77777777" w:rsidR="00670FD4" w:rsidRDefault="00670FD4" w:rsidP="001925BA">
            <w:pPr>
              <w:spacing w:after="0" w:line="240" w:lineRule="auto"/>
              <w:ind w:firstLine="0"/>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6D2928B4" w14:textId="77777777" w:rsidR="00670FD4" w:rsidRDefault="00670FD4" w:rsidP="001925BA">
            <w:pPr>
              <w:spacing w:after="0" w:line="240" w:lineRule="auto"/>
              <w:ind w:firstLine="0"/>
              <w:rPr>
                <w:rFonts w:eastAsia="Times New Roman" w:cs="Times New Roman"/>
                <w:sz w:val="20"/>
                <w:szCs w:val="20"/>
                <w:highlight w:val="white"/>
              </w:rPr>
            </w:pPr>
            <w:r>
              <w:rPr>
                <w:rFonts w:eastAsia="Times New Roman" w:cs="Times New Roman"/>
                <w:color w:val="000000"/>
                <w:sz w:val="20"/>
                <w:szCs w:val="20"/>
              </w:rPr>
              <w:t>A 3.4.2 Stabilirea instrumentelor pentru valorizarea monetară și non-monetară a serviciilor ecosistemice în concordanță cu obiectivele de protecție și conservare a speciilor și habitatelor.</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F0B844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7DEF14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EDC492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MMAP, MCID (INCD-uri),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3EF34C3"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Programe LIFE, PNRR și Horizon Europe, Invest EU, Planul Național de Cercetare Dezvoltare și Inovare 2022-2027 (PNCDI IV)</w:t>
            </w:r>
          </w:p>
        </w:tc>
      </w:tr>
      <w:tr w:rsidR="00670FD4" w14:paraId="7F696A63" w14:textId="77777777" w:rsidTr="001925BA">
        <w:trPr>
          <w:trHeight w:val="790"/>
        </w:trPr>
        <w:tc>
          <w:tcPr>
            <w:tcW w:w="1943" w:type="dxa"/>
            <w:vMerge/>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3080CEBA"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2036" w:type="dxa"/>
            <w:vMerge/>
            <w:tcBorders>
              <w:top w:val="single" w:sz="4" w:space="0" w:color="auto"/>
              <w:left w:val="single" w:sz="4" w:space="0" w:color="auto"/>
              <w:bottom w:val="single" w:sz="4" w:space="0" w:color="auto"/>
              <w:right w:val="single" w:sz="4" w:space="0" w:color="auto"/>
            </w:tcBorders>
          </w:tcPr>
          <w:p w14:paraId="5887788E" w14:textId="77777777" w:rsidR="00670FD4" w:rsidRDefault="00670FD4" w:rsidP="001925BA">
            <w:pPr>
              <w:spacing w:after="0" w:line="240" w:lineRule="auto"/>
              <w:ind w:firstLine="0"/>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6028C842" w14:textId="77777777" w:rsidR="00670FD4" w:rsidRDefault="00670FD4" w:rsidP="001925BA">
            <w:pPr>
              <w:spacing w:after="0" w:line="240" w:lineRule="auto"/>
              <w:ind w:firstLine="0"/>
              <w:rPr>
                <w:rFonts w:eastAsia="Times New Roman" w:cs="Times New Roman"/>
                <w:sz w:val="20"/>
                <w:szCs w:val="20"/>
                <w:highlight w:val="white"/>
              </w:rPr>
            </w:pPr>
            <w:r>
              <w:rPr>
                <w:rFonts w:eastAsia="Times New Roman" w:cs="Times New Roman"/>
                <w:color w:val="000000"/>
                <w:sz w:val="20"/>
                <w:szCs w:val="20"/>
              </w:rPr>
              <w:t>A 3.4.3 Elaborarea instrumentelor de reglementare pentru direcționarea investițiilor către fondul destinat proiectelor de reconstrucție ecologică și renaturare.</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79782A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A7C82C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5B30AE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MMAP, MCID (INCD-uri),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0B51EB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Buget propriu MMAP, Programe Invest EU, LIFE, Horizon Europe și Planul Național de Cercetare Dezvoltare și Inovare 2022-2027 (PNCDI IV)</w:t>
            </w:r>
          </w:p>
        </w:tc>
      </w:tr>
      <w:tr w:rsidR="00670FD4" w14:paraId="65F14775" w14:textId="77777777" w:rsidTr="001925BA">
        <w:trPr>
          <w:trHeight w:val="896"/>
        </w:trPr>
        <w:tc>
          <w:tcPr>
            <w:tcW w:w="1943" w:type="dxa"/>
            <w:vMerge w:val="restart"/>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0A23527A" w14:textId="77777777" w:rsidR="00670FD4" w:rsidRDefault="00670FD4" w:rsidP="001925BA">
            <w:pPr>
              <w:spacing w:after="0" w:line="240" w:lineRule="auto"/>
              <w:ind w:firstLine="0"/>
              <w:rPr>
                <w:rFonts w:eastAsia="Times New Roman" w:cs="Times New Roman"/>
                <w:color w:val="000000"/>
                <w:sz w:val="20"/>
                <w:szCs w:val="20"/>
              </w:rPr>
            </w:pPr>
          </w:p>
          <w:p w14:paraId="081FC533" w14:textId="77777777" w:rsidR="00670FD4" w:rsidRDefault="00670FD4" w:rsidP="001925BA">
            <w:pPr>
              <w:spacing w:after="0" w:line="240" w:lineRule="auto"/>
              <w:ind w:firstLine="0"/>
              <w:rPr>
                <w:rFonts w:eastAsia="Times New Roman" w:cs="Times New Roman"/>
                <w:color w:val="000000"/>
                <w:sz w:val="20"/>
                <w:szCs w:val="20"/>
              </w:rPr>
            </w:pPr>
          </w:p>
          <w:p w14:paraId="45DCF5D1" w14:textId="77777777" w:rsidR="00670FD4" w:rsidRDefault="00670FD4" w:rsidP="001925BA">
            <w:pPr>
              <w:spacing w:after="0" w:line="240" w:lineRule="auto"/>
              <w:ind w:firstLine="0"/>
              <w:rPr>
                <w:rFonts w:eastAsia="Times New Roman" w:cs="Times New Roman"/>
                <w:color w:val="000000"/>
                <w:sz w:val="20"/>
                <w:szCs w:val="20"/>
              </w:rPr>
            </w:pPr>
          </w:p>
          <w:p w14:paraId="48CF26EC"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 xml:space="preserve">M3.5. Consolidarea / Întărirea </w:t>
            </w:r>
            <w:r>
              <w:rPr>
                <w:rFonts w:eastAsia="Times New Roman" w:cs="Times New Roman"/>
                <w:color w:val="000000"/>
                <w:sz w:val="20"/>
                <w:szCs w:val="20"/>
              </w:rPr>
              <w:lastRenderedPageBreak/>
              <w:t>managementului speciilor invazive</w:t>
            </w:r>
          </w:p>
        </w:tc>
        <w:tc>
          <w:tcPr>
            <w:tcW w:w="2036" w:type="dxa"/>
            <w:vMerge w:val="restart"/>
            <w:tcBorders>
              <w:top w:val="single" w:sz="4" w:space="0" w:color="auto"/>
              <w:left w:val="single" w:sz="4" w:space="0" w:color="auto"/>
              <w:bottom w:val="single" w:sz="4" w:space="0" w:color="auto"/>
              <w:right w:val="single" w:sz="4" w:space="0" w:color="auto"/>
            </w:tcBorders>
          </w:tcPr>
          <w:p w14:paraId="4E14F6F6" w14:textId="77777777" w:rsidR="00670FD4" w:rsidRDefault="00670FD4" w:rsidP="001925BA">
            <w:pPr>
              <w:spacing w:line="240" w:lineRule="auto"/>
              <w:ind w:firstLine="0"/>
              <w:rPr>
                <w:rFonts w:eastAsia="Times New Roman" w:cs="Times New Roman"/>
                <w:color w:val="000000"/>
                <w:sz w:val="20"/>
                <w:szCs w:val="20"/>
              </w:rPr>
            </w:pPr>
            <w:r w:rsidRPr="00AC1E5C">
              <w:rPr>
                <w:rFonts w:eastAsia="Times New Roman" w:cs="Times New Roman"/>
                <w:color w:val="000000"/>
                <w:sz w:val="20"/>
                <w:szCs w:val="20"/>
              </w:rPr>
              <w:lastRenderedPageBreak/>
              <w:t>Os1.a Protejarea eficientă a valorilor natu</w:t>
            </w:r>
            <w:r>
              <w:rPr>
                <w:rFonts w:eastAsia="Times New Roman" w:cs="Times New Roman"/>
                <w:color w:val="000000"/>
                <w:sz w:val="20"/>
                <w:szCs w:val="20"/>
              </w:rPr>
              <w:t>rale, peisagistice și culturale;</w:t>
            </w:r>
          </w:p>
          <w:p w14:paraId="1553234C" w14:textId="77777777" w:rsidR="00670FD4" w:rsidRDefault="00670FD4" w:rsidP="001925BA">
            <w:pPr>
              <w:spacing w:line="240" w:lineRule="auto"/>
              <w:ind w:firstLine="0"/>
              <w:rPr>
                <w:rFonts w:eastAsia="Times New Roman" w:cs="Times New Roman"/>
                <w:color w:val="000000"/>
                <w:sz w:val="20"/>
                <w:szCs w:val="20"/>
              </w:rPr>
            </w:pPr>
            <w:r w:rsidRPr="00AC1E5C">
              <w:rPr>
                <w:rFonts w:eastAsia="Times New Roman" w:cs="Times New Roman"/>
                <w:color w:val="000000"/>
                <w:sz w:val="20"/>
                <w:szCs w:val="20"/>
              </w:rPr>
              <w:lastRenderedPageBreak/>
              <w:t>Os2.a Atingerea stării ecologice bune a ecosistemelor.</w:t>
            </w: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317DCB9D" w14:textId="77777777" w:rsidR="00670FD4" w:rsidRDefault="00670FD4" w:rsidP="001925BA">
            <w:pPr>
              <w:spacing w:after="0" w:line="240" w:lineRule="auto"/>
              <w:ind w:firstLine="0"/>
              <w:rPr>
                <w:rFonts w:eastAsia="Times New Roman" w:cs="Times New Roman"/>
                <w:sz w:val="20"/>
                <w:szCs w:val="20"/>
                <w:highlight w:val="white"/>
              </w:rPr>
            </w:pPr>
            <w:r>
              <w:rPr>
                <w:rFonts w:eastAsia="Times New Roman" w:cs="Times New Roman"/>
                <w:color w:val="000000"/>
                <w:sz w:val="20"/>
                <w:szCs w:val="20"/>
              </w:rPr>
              <w:lastRenderedPageBreak/>
              <w:t xml:space="preserve">A 3.5.1 Elaborarea și implementarea unui </w:t>
            </w:r>
            <w:r>
              <w:rPr>
                <w:rFonts w:eastAsia="Times New Roman" w:cs="Times New Roman"/>
                <w:sz w:val="20"/>
                <w:szCs w:val="20"/>
              </w:rPr>
              <w:t>plan</w:t>
            </w:r>
            <w:r>
              <w:rPr>
                <w:rFonts w:eastAsia="Times New Roman" w:cs="Times New Roman"/>
                <w:color w:val="000000"/>
                <w:sz w:val="20"/>
                <w:szCs w:val="20"/>
              </w:rPr>
              <w:t xml:space="preserve"> de controlul al vectorilor de introducere a speciilor alohtone şi monitorizarea posibilelor căi de pătrundere.</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1F917E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C17F3C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DEF1B5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MMAP, MCID (INCD-uri),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8F8A57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Programe LIFE, PNRR, Horizon Europe și Planul Național de Cercetare Dezvoltare și Inovare 2022-2027 (PNCDI IV)</w:t>
            </w:r>
          </w:p>
        </w:tc>
      </w:tr>
      <w:tr w:rsidR="00670FD4" w14:paraId="48C43B00" w14:textId="77777777" w:rsidTr="001925BA">
        <w:trPr>
          <w:trHeight w:val="1107"/>
        </w:trPr>
        <w:tc>
          <w:tcPr>
            <w:tcW w:w="1943" w:type="dxa"/>
            <w:vMerge/>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744F434B" w14:textId="77777777" w:rsidR="00670FD4" w:rsidRDefault="00670FD4" w:rsidP="001925BA">
            <w:pPr>
              <w:widowControl w:val="0"/>
              <w:pBdr>
                <w:top w:val="nil"/>
                <w:left w:val="nil"/>
                <w:bottom w:val="nil"/>
                <w:right w:val="nil"/>
                <w:between w:val="nil"/>
              </w:pBdr>
              <w:spacing w:after="0"/>
              <w:rPr>
                <w:rFonts w:eastAsia="Times New Roman" w:cs="Times New Roman"/>
                <w:sz w:val="20"/>
                <w:szCs w:val="20"/>
              </w:rPr>
            </w:pPr>
          </w:p>
        </w:tc>
        <w:tc>
          <w:tcPr>
            <w:tcW w:w="2036" w:type="dxa"/>
            <w:vMerge/>
            <w:tcBorders>
              <w:top w:val="single" w:sz="4" w:space="0" w:color="auto"/>
              <w:left w:val="single" w:sz="4" w:space="0" w:color="auto"/>
              <w:bottom w:val="single" w:sz="4" w:space="0" w:color="auto"/>
              <w:right w:val="single" w:sz="4" w:space="0" w:color="auto"/>
            </w:tcBorders>
          </w:tcPr>
          <w:p w14:paraId="1FD594C0" w14:textId="77777777" w:rsidR="00670FD4" w:rsidRDefault="00670FD4" w:rsidP="001925BA">
            <w:pPr>
              <w:spacing w:after="0" w:line="240" w:lineRule="auto"/>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5FB85101" w14:textId="77777777" w:rsidR="00670FD4" w:rsidRDefault="00670FD4" w:rsidP="001925BA">
            <w:pPr>
              <w:spacing w:after="0" w:line="240" w:lineRule="auto"/>
              <w:rPr>
                <w:rFonts w:eastAsia="Times New Roman" w:cs="Times New Roman"/>
                <w:sz w:val="20"/>
                <w:szCs w:val="20"/>
                <w:highlight w:val="white"/>
              </w:rPr>
            </w:pPr>
            <w:r>
              <w:rPr>
                <w:rFonts w:eastAsia="Times New Roman" w:cs="Times New Roman"/>
                <w:color w:val="000000"/>
                <w:sz w:val="20"/>
                <w:szCs w:val="20"/>
              </w:rPr>
              <w:t>A 3.5.2 Dezvoltarea metodelor moderne (mADN) pentru detectarea rapidă a speciilor alohtone şi identificarea căilor de acces, înainte de extinderea lor în zona costieră.</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D08899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B93A48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A1C734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MMAP, MCID (INCD-uri),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07EBA7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Programe LIFE, PNRR, Horizon Europe și programelor naționale, precum Planul Național de Cercetare Dezvoltare și Inovare 2022-2027 (PNCDI IV)</w:t>
            </w:r>
          </w:p>
        </w:tc>
      </w:tr>
      <w:tr w:rsidR="00670FD4" w14:paraId="765B84F7" w14:textId="77777777" w:rsidTr="001925BA">
        <w:trPr>
          <w:trHeight w:val="709"/>
        </w:trPr>
        <w:tc>
          <w:tcPr>
            <w:tcW w:w="1943" w:type="dxa"/>
            <w:vMerge/>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2B184BD6" w14:textId="77777777" w:rsidR="00670FD4" w:rsidRDefault="00670FD4" w:rsidP="001925BA">
            <w:pPr>
              <w:widowControl w:val="0"/>
              <w:pBdr>
                <w:top w:val="nil"/>
                <w:left w:val="nil"/>
                <w:bottom w:val="nil"/>
                <w:right w:val="nil"/>
                <w:between w:val="nil"/>
              </w:pBdr>
              <w:spacing w:after="0"/>
              <w:rPr>
                <w:rFonts w:eastAsia="Times New Roman" w:cs="Times New Roman"/>
                <w:sz w:val="20"/>
                <w:szCs w:val="20"/>
              </w:rPr>
            </w:pPr>
          </w:p>
        </w:tc>
        <w:tc>
          <w:tcPr>
            <w:tcW w:w="2036" w:type="dxa"/>
            <w:vMerge/>
            <w:tcBorders>
              <w:top w:val="single" w:sz="4" w:space="0" w:color="auto"/>
              <w:left w:val="single" w:sz="4" w:space="0" w:color="auto"/>
              <w:bottom w:val="single" w:sz="4" w:space="0" w:color="auto"/>
              <w:right w:val="single" w:sz="4" w:space="0" w:color="auto"/>
            </w:tcBorders>
          </w:tcPr>
          <w:p w14:paraId="5E222C9A" w14:textId="77777777" w:rsidR="00670FD4" w:rsidRDefault="00670FD4" w:rsidP="001925BA">
            <w:pPr>
              <w:spacing w:after="0" w:line="240" w:lineRule="auto"/>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6016044F" w14:textId="77777777" w:rsidR="00670FD4" w:rsidRDefault="00670FD4" w:rsidP="001925BA">
            <w:pPr>
              <w:spacing w:after="0" w:line="240" w:lineRule="auto"/>
              <w:rPr>
                <w:rFonts w:eastAsia="Times New Roman" w:cs="Times New Roman"/>
                <w:sz w:val="20"/>
                <w:szCs w:val="20"/>
                <w:highlight w:val="white"/>
              </w:rPr>
            </w:pPr>
            <w:r>
              <w:rPr>
                <w:rFonts w:eastAsia="Times New Roman" w:cs="Times New Roman"/>
                <w:color w:val="000000"/>
                <w:sz w:val="20"/>
                <w:szCs w:val="20"/>
              </w:rPr>
              <w:t xml:space="preserve"> A 3.5.3 Introducerea sistemelor de avertizare timpurie şi management al riscului în cazul pătrunderii de patogeni şi a planurilor de contingenţă pentru reducerea impactului acestora.</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7B027E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BF7EDF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171BC4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MMAP, MCID (INCD-uri),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351DB6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Programe LIFE, PNRR, Horizon Europe și Planul Național de Cercetare Dezvoltare și Inovare 2022-2027 (PNCDI IV)</w:t>
            </w:r>
          </w:p>
        </w:tc>
      </w:tr>
    </w:tbl>
    <w:p w14:paraId="3008EF0D" w14:textId="77777777" w:rsidR="00670FD4" w:rsidRDefault="00670FD4" w:rsidP="00670FD4">
      <w:pPr>
        <w:ind w:firstLine="0"/>
        <w:rPr>
          <w:rFonts w:eastAsia="Times New Roman" w:cs="Times New Roman"/>
        </w:rPr>
      </w:pPr>
    </w:p>
    <w:p w14:paraId="61C7A5DB" w14:textId="77777777" w:rsidR="00670FD4" w:rsidRDefault="00670FD4" w:rsidP="00670FD4">
      <w:pPr>
        <w:spacing w:before="0"/>
        <w:ind w:firstLine="567"/>
        <w:rPr>
          <w:rFonts w:eastAsia="Times New Roman" w:cs="Times New Roman"/>
          <w:b/>
          <w:i/>
        </w:rPr>
      </w:pPr>
      <w:r>
        <w:rPr>
          <w:rFonts w:eastAsia="Times New Roman" w:cs="Times New Roman"/>
        </w:rPr>
        <w:t xml:space="preserve">Activitățile ce se vor realiza în vederea implementării Programului de </w:t>
      </w:r>
      <w:r>
        <w:rPr>
          <w:rFonts w:eastAsia="Times New Roman" w:cs="Times New Roman"/>
          <w:b/>
          <w:i/>
        </w:rPr>
        <w:t xml:space="preserve">Măsuri pentru prevenirea și limitarea / stoparea poluării </w:t>
      </w:r>
      <w:r>
        <w:rPr>
          <w:rFonts w:eastAsia="Times New Roman" w:cs="Times New Roman"/>
        </w:rPr>
        <w:t>sunt prezentate în Tabelul de mai jos, unde sunt indicate termenele de implementare, organizațiile responsabile pentru realizarea activităților, și implicit implementarea măsurilor, precum și posibilele surse de finanțare.</w:t>
      </w:r>
    </w:p>
    <w:tbl>
      <w:tblPr>
        <w:tblW w:w="14079" w:type="dxa"/>
        <w:tblInd w:w="-57" w:type="dxa"/>
        <w:tblBorders>
          <w:top w:val="nil"/>
          <w:left w:val="nil"/>
          <w:bottom w:val="nil"/>
          <w:right w:val="nil"/>
          <w:insideH w:val="nil"/>
          <w:insideV w:val="nil"/>
        </w:tblBorders>
        <w:tblLayout w:type="fixed"/>
        <w:tblLook w:val="0600" w:firstRow="0" w:lastRow="0" w:firstColumn="0" w:lastColumn="0" w:noHBand="1" w:noVBand="1"/>
      </w:tblPr>
      <w:tblGrid>
        <w:gridCol w:w="2164"/>
        <w:gridCol w:w="1845"/>
        <w:gridCol w:w="4254"/>
        <w:gridCol w:w="1277"/>
        <w:gridCol w:w="1418"/>
        <w:gridCol w:w="1419"/>
        <w:gridCol w:w="1702"/>
      </w:tblGrid>
      <w:tr w:rsidR="00670FD4" w14:paraId="42C30501" w14:textId="77777777" w:rsidTr="001925BA">
        <w:trPr>
          <w:trHeight w:val="570"/>
        </w:trPr>
        <w:tc>
          <w:tcPr>
            <w:tcW w:w="2164" w:type="dxa"/>
            <w:tcBorders>
              <w:top w:val="single" w:sz="5" w:space="0" w:color="000000"/>
              <w:left w:val="single" w:sz="5" w:space="0" w:color="000000"/>
              <w:bottom w:val="single" w:sz="4" w:space="0" w:color="auto"/>
              <w:right w:val="single" w:sz="4" w:space="0" w:color="auto"/>
            </w:tcBorders>
            <w:tcMar>
              <w:top w:w="0" w:type="dxa"/>
              <w:left w:w="100" w:type="dxa"/>
              <w:bottom w:w="0" w:type="dxa"/>
              <w:right w:w="100" w:type="dxa"/>
            </w:tcMar>
          </w:tcPr>
          <w:p w14:paraId="43329E1F" w14:textId="77777777" w:rsidR="00670FD4" w:rsidRDefault="00670FD4" w:rsidP="001925BA">
            <w:pPr>
              <w:spacing w:after="0" w:line="240" w:lineRule="auto"/>
              <w:ind w:firstLine="0"/>
              <w:rPr>
                <w:rFonts w:eastAsia="Times New Roman" w:cs="Times New Roman"/>
                <w:sz w:val="20"/>
                <w:szCs w:val="20"/>
              </w:rPr>
            </w:pPr>
            <w:bookmarkStart w:id="148" w:name="_heading=h.1jlao46" w:colFirst="0" w:colLast="0"/>
            <w:bookmarkEnd w:id="148"/>
            <w:r>
              <w:rPr>
                <w:rFonts w:eastAsia="Times New Roman" w:cs="Times New Roman"/>
                <w:sz w:val="20"/>
                <w:szCs w:val="20"/>
              </w:rPr>
              <w:t>Măsură</w:t>
            </w:r>
          </w:p>
        </w:tc>
        <w:tc>
          <w:tcPr>
            <w:tcW w:w="1845" w:type="dxa"/>
            <w:tcBorders>
              <w:top w:val="single" w:sz="4" w:space="0" w:color="auto"/>
              <w:left w:val="single" w:sz="4" w:space="0" w:color="auto"/>
              <w:bottom w:val="single" w:sz="4" w:space="0" w:color="auto"/>
              <w:right w:val="single" w:sz="4" w:space="0" w:color="auto"/>
            </w:tcBorders>
          </w:tcPr>
          <w:p w14:paraId="07E8E3C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Obiective vizate</w:t>
            </w:r>
          </w:p>
        </w:tc>
        <w:tc>
          <w:tcPr>
            <w:tcW w:w="4254" w:type="dxa"/>
            <w:tcBorders>
              <w:top w:val="single" w:sz="5" w:space="0" w:color="000000"/>
              <w:left w:val="single" w:sz="4" w:space="0" w:color="auto"/>
              <w:bottom w:val="single" w:sz="4" w:space="0" w:color="auto"/>
              <w:right w:val="single" w:sz="4" w:space="0" w:color="000000"/>
            </w:tcBorders>
            <w:tcMar>
              <w:top w:w="0" w:type="dxa"/>
              <w:left w:w="100" w:type="dxa"/>
              <w:bottom w:w="0" w:type="dxa"/>
              <w:right w:w="100" w:type="dxa"/>
            </w:tcMar>
          </w:tcPr>
          <w:p w14:paraId="0C762A73"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Activitate</w:t>
            </w:r>
          </w:p>
        </w:tc>
        <w:tc>
          <w:tcPr>
            <w:tcW w:w="1277" w:type="dxa"/>
            <w:tcBorders>
              <w:top w:val="single" w:sz="5" w:space="0" w:color="000000"/>
              <w:left w:val="single" w:sz="4" w:space="0" w:color="000000"/>
              <w:bottom w:val="single" w:sz="4" w:space="0" w:color="auto"/>
              <w:right w:val="single" w:sz="5" w:space="0" w:color="000000"/>
            </w:tcBorders>
            <w:tcMar>
              <w:top w:w="0" w:type="dxa"/>
              <w:left w:w="100" w:type="dxa"/>
              <w:bottom w:w="0" w:type="dxa"/>
              <w:right w:w="100" w:type="dxa"/>
            </w:tcMar>
          </w:tcPr>
          <w:p w14:paraId="2C472E4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Prioritate</w:t>
            </w:r>
          </w:p>
        </w:tc>
        <w:tc>
          <w:tcPr>
            <w:tcW w:w="1418" w:type="dxa"/>
            <w:tcBorders>
              <w:top w:val="single" w:sz="5" w:space="0" w:color="000000"/>
              <w:left w:val="nil"/>
              <w:bottom w:val="single" w:sz="4" w:space="0" w:color="auto"/>
              <w:right w:val="single" w:sz="5" w:space="0" w:color="000000"/>
            </w:tcBorders>
            <w:tcMar>
              <w:top w:w="0" w:type="dxa"/>
              <w:left w:w="100" w:type="dxa"/>
              <w:bottom w:w="0" w:type="dxa"/>
              <w:right w:w="100" w:type="dxa"/>
            </w:tcMar>
          </w:tcPr>
          <w:p w14:paraId="41C6617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Termen de implementare</w:t>
            </w:r>
          </w:p>
        </w:tc>
        <w:tc>
          <w:tcPr>
            <w:tcW w:w="1419" w:type="dxa"/>
            <w:tcBorders>
              <w:top w:val="single" w:sz="5" w:space="0" w:color="000000"/>
              <w:left w:val="nil"/>
              <w:bottom w:val="single" w:sz="4" w:space="0" w:color="auto"/>
              <w:right w:val="single" w:sz="5" w:space="0" w:color="000000"/>
            </w:tcBorders>
            <w:tcMar>
              <w:top w:w="0" w:type="dxa"/>
              <w:left w:w="100" w:type="dxa"/>
              <w:bottom w:w="0" w:type="dxa"/>
              <w:right w:w="100" w:type="dxa"/>
            </w:tcMar>
          </w:tcPr>
          <w:p w14:paraId="7295AA48" w14:textId="77777777" w:rsidR="00670FD4" w:rsidRDefault="00670FD4" w:rsidP="001925BA">
            <w:pPr>
              <w:spacing w:after="0" w:line="240" w:lineRule="auto"/>
              <w:ind w:firstLine="51"/>
              <w:rPr>
                <w:rFonts w:eastAsia="Times New Roman" w:cs="Times New Roman"/>
                <w:sz w:val="20"/>
                <w:szCs w:val="20"/>
              </w:rPr>
            </w:pPr>
            <w:r>
              <w:rPr>
                <w:rFonts w:eastAsia="Times New Roman" w:cs="Times New Roman"/>
                <w:sz w:val="20"/>
                <w:szCs w:val="20"/>
              </w:rPr>
              <w:t>Instituții responsabile</w:t>
            </w:r>
          </w:p>
        </w:tc>
        <w:tc>
          <w:tcPr>
            <w:tcW w:w="1702" w:type="dxa"/>
            <w:tcBorders>
              <w:top w:val="single" w:sz="5" w:space="0" w:color="000000"/>
              <w:left w:val="nil"/>
              <w:bottom w:val="single" w:sz="4" w:space="0" w:color="auto"/>
              <w:right w:val="single" w:sz="5" w:space="0" w:color="000000"/>
            </w:tcBorders>
            <w:tcMar>
              <w:top w:w="0" w:type="dxa"/>
              <w:left w:w="100" w:type="dxa"/>
              <w:bottom w:w="0" w:type="dxa"/>
              <w:right w:w="100" w:type="dxa"/>
            </w:tcMar>
          </w:tcPr>
          <w:p w14:paraId="72B271C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Finanțare</w:t>
            </w:r>
          </w:p>
        </w:tc>
      </w:tr>
      <w:tr w:rsidR="00670FD4" w14:paraId="0248EC19" w14:textId="77777777" w:rsidTr="001925BA">
        <w:trPr>
          <w:trHeight w:val="609"/>
        </w:trPr>
        <w:tc>
          <w:tcPr>
            <w:tcW w:w="2164" w:type="dxa"/>
            <w:vMerge w:val="restart"/>
            <w:tcBorders>
              <w:top w:val="single" w:sz="4" w:space="0" w:color="auto"/>
              <w:left w:val="single" w:sz="6" w:space="0" w:color="000000"/>
              <w:bottom w:val="single" w:sz="4" w:space="0" w:color="auto"/>
              <w:right w:val="single" w:sz="4" w:space="0" w:color="auto"/>
            </w:tcBorders>
            <w:shd w:val="clear" w:color="auto" w:fill="auto"/>
            <w:tcMar>
              <w:top w:w="100" w:type="dxa"/>
              <w:left w:w="100" w:type="dxa"/>
              <w:bottom w:w="100" w:type="dxa"/>
              <w:right w:w="100" w:type="dxa"/>
            </w:tcMar>
          </w:tcPr>
          <w:p w14:paraId="4EA3D5F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M4.1 Creșterea capacității de monitorizare a calității aerului, precum și a depunerilor atmosferice</w:t>
            </w:r>
          </w:p>
        </w:tc>
        <w:tc>
          <w:tcPr>
            <w:tcW w:w="1845" w:type="dxa"/>
            <w:vMerge w:val="restart"/>
            <w:tcBorders>
              <w:top w:val="single" w:sz="4" w:space="0" w:color="auto"/>
              <w:left w:val="single" w:sz="4" w:space="0" w:color="auto"/>
              <w:bottom w:val="single" w:sz="4" w:space="0" w:color="auto"/>
              <w:right w:val="single" w:sz="4" w:space="0" w:color="auto"/>
            </w:tcBorders>
          </w:tcPr>
          <w:p w14:paraId="7E558148" w14:textId="77777777" w:rsidR="00670FD4" w:rsidRPr="007663A0" w:rsidRDefault="00670FD4" w:rsidP="001925BA">
            <w:pPr>
              <w:spacing w:line="240" w:lineRule="auto"/>
              <w:ind w:firstLine="0"/>
              <w:rPr>
                <w:rFonts w:eastAsia="Times New Roman" w:cs="Times New Roman"/>
                <w:sz w:val="20"/>
                <w:szCs w:val="20"/>
              </w:rPr>
            </w:pPr>
            <w:r w:rsidRPr="007663A0">
              <w:rPr>
                <w:rFonts w:eastAsia="Times New Roman" w:cs="Times New Roman"/>
                <w:sz w:val="20"/>
                <w:szCs w:val="20"/>
              </w:rPr>
              <w:t>Os2.a Atingerea stării ecologice bune a ecosistemelor;</w:t>
            </w:r>
          </w:p>
          <w:p w14:paraId="314DABB5" w14:textId="77777777" w:rsidR="00670FD4" w:rsidRDefault="00670FD4" w:rsidP="001925BA">
            <w:pPr>
              <w:spacing w:line="240" w:lineRule="auto"/>
              <w:ind w:firstLine="0"/>
              <w:rPr>
                <w:rFonts w:eastAsia="Times New Roman" w:cs="Times New Roman"/>
                <w:sz w:val="20"/>
                <w:szCs w:val="20"/>
              </w:rPr>
            </w:pPr>
            <w:r w:rsidRPr="007663A0">
              <w:rPr>
                <w:rFonts w:eastAsia="Times New Roman" w:cs="Times New Roman"/>
                <w:sz w:val="20"/>
                <w:szCs w:val="20"/>
              </w:rPr>
              <w:t xml:space="preserve">Os2.b Gestionarea, revitalizare și </w:t>
            </w:r>
            <w:r w:rsidRPr="007663A0">
              <w:rPr>
                <w:rFonts w:eastAsia="Times New Roman" w:cs="Times New Roman"/>
                <w:sz w:val="20"/>
                <w:szCs w:val="20"/>
              </w:rPr>
              <w:lastRenderedPageBreak/>
              <w:t>reabilitarea zonelor urbane şi rurale poluate.</w:t>
            </w:r>
          </w:p>
        </w:tc>
        <w:tc>
          <w:tcPr>
            <w:tcW w:w="4254" w:type="dxa"/>
            <w:tcBorders>
              <w:top w:val="single" w:sz="4" w:space="0" w:color="auto"/>
              <w:left w:val="single" w:sz="4" w:space="0" w:color="auto"/>
              <w:bottom w:val="single" w:sz="6" w:space="0" w:color="000000"/>
              <w:right w:val="single" w:sz="4" w:space="0" w:color="000000"/>
            </w:tcBorders>
            <w:shd w:val="clear" w:color="auto" w:fill="auto"/>
            <w:tcMar>
              <w:top w:w="0" w:type="dxa"/>
              <w:left w:w="100" w:type="dxa"/>
              <w:bottom w:w="0" w:type="dxa"/>
              <w:right w:w="100" w:type="dxa"/>
            </w:tcMar>
          </w:tcPr>
          <w:p w14:paraId="0BC0FEA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lastRenderedPageBreak/>
              <w:t>A 4.1.1 Realizare de studii pentru identificarea noilor locații de monitorizare a calității aerului</w:t>
            </w:r>
          </w:p>
        </w:tc>
        <w:tc>
          <w:tcPr>
            <w:tcW w:w="1277" w:type="dxa"/>
            <w:tcBorders>
              <w:top w:val="single" w:sz="4" w:space="0" w:color="auto"/>
              <w:left w:val="single" w:sz="4" w:space="0" w:color="000000"/>
              <w:bottom w:val="single" w:sz="6" w:space="0" w:color="000000"/>
              <w:right w:val="single" w:sz="6" w:space="0" w:color="000000"/>
            </w:tcBorders>
            <w:shd w:val="clear" w:color="auto" w:fill="auto"/>
            <w:tcMar>
              <w:top w:w="0" w:type="dxa"/>
              <w:left w:w="100" w:type="dxa"/>
              <w:bottom w:w="0" w:type="dxa"/>
              <w:right w:w="100" w:type="dxa"/>
            </w:tcMar>
          </w:tcPr>
          <w:p w14:paraId="05F6BDA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4" w:space="0" w:color="auto"/>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65D5F60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2025</w:t>
            </w:r>
          </w:p>
        </w:tc>
        <w:tc>
          <w:tcPr>
            <w:tcW w:w="1419" w:type="dxa"/>
            <w:tcBorders>
              <w:top w:val="single" w:sz="4" w:space="0" w:color="auto"/>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5C4D1069" w14:textId="77777777" w:rsidR="00670FD4" w:rsidRDefault="00670FD4" w:rsidP="001925BA">
            <w:pPr>
              <w:spacing w:after="0" w:line="240" w:lineRule="auto"/>
              <w:ind w:firstLine="51"/>
              <w:rPr>
                <w:rFonts w:eastAsia="Times New Roman" w:cs="Times New Roman"/>
                <w:sz w:val="20"/>
                <w:szCs w:val="20"/>
              </w:rPr>
            </w:pPr>
            <w:r>
              <w:rPr>
                <w:rFonts w:eastAsia="Times New Roman" w:cs="Times New Roman"/>
                <w:sz w:val="20"/>
                <w:szCs w:val="20"/>
              </w:rPr>
              <w:t xml:space="preserve">MMAP </w:t>
            </w:r>
          </w:p>
        </w:tc>
        <w:tc>
          <w:tcPr>
            <w:tcW w:w="1702" w:type="dxa"/>
            <w:tcBorders>
              <w:top w:val="single" w:sz="4" w:space="0" w:color="auto"/>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137B751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Programul de Dezvoltare Durabilă, Programul Regional Sud-Est, buget propriu MMAP</w:t>
            </w:r>
          </w:p>
        </w:tc>
      </w:tr>
      <w:tr w:rsidR="00670FD4" w14:paraId="6B6208AF" w14:textId="77777777" w:rsidTr="001925BA">
        <w:trPr>
          <w:trHeight w:val="1133"/>
        </w:trPr>
        <w:tc>
          <w:tcPr>
            <w:tcW w:w="2164" w:type="dxa"/>
            <w:vMerge/>
            <w:tcBorders>
              <w:top w:val="single" w:sz="4" w:space="0" w:color="auto"/>
              <w:left w:val="single" w:sz="6" w:space="0" w:color="000000"/>
              <w:bottom w:val="single" w:sz="4" w:space="0" w:color="auto"/>
              <w:right w:val="single" w:sz="4" w:space="0" w:color="auto"/>
            </w:tcBorders>
            <w:shd w:val="clear" w:color="auto" w:fill="auto"/>
            <w:tcMar>
              <w:top w:w="100" w:type="dxa"/>
              <w:left w:w="100" w:type="dxa"/>
              <w:bottom w:w="100" w:type="dxa"/>
              <w:right w:w="100" w:type="dxa"/>
            </w:tcMar>
          </w:tcPr>
          <w:p w14:paraId="429639A6"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1845" w:type="dxa"/>
            <w:vMerge/>
            <w:tcBorders>
              <w:top w:val="single" w:sz="4" w:space="0" w:color="auto"/>
              <w:left w:val="single" w:sz="4" w:space="0" w:color="auto"/>
              <w:bottom w:val="single" w:sz="4" w:space="0" w:color="auto"/>
              <w:right w:val="single" w:sz="4" w:space="0" w:color="auto"/>
            </w:tcBorders>
          </w:tcPr>
          <w:p w14:paraId="182E627C" w14:textId="77777777" w:rsidR="00670FD4" w:rsidRDefault="00670FD4" w:rsidP="001925BA">
            <w:pPr>
              <w:spacing w:after="0" w:line="240" w:lineRule="auto"/>
              <w:ind w:firstLine="0"/>
              <w:rPr>
                <w:rFonts w:eastAsia="Times New Roman" w:cs="Times New Roman"/>
                <w:sz w:val="20"/>
                <w:szCs w:val="20"/>
              </w:rPr>
            </w:pPr>
          </w:p>
        </w:tc>
        <w:tc>
          <w:tcPr>
            <w:tcW w:w="4254" w:type="dxa"/>
            <w:tcBorders>
              <w:top w:val="single" w:sz="6" w:space="0" w:color="000000"/>
              <w:left w:val="single" w:sz="4" w:space="0" w:color="auto"/>
              <w:bottom w:val="single" w:sz="5" w:space="0" w:color="000000"/>
              <w:right w:val="single" w:sz="4" w:space="0" w:color="000000"/>
            </w:tcBorders>
            <w:shd w:val="clear" w:color="auto" w:fill="auto"/>
            <w:tcMar>
              <w:top w:w="0" w:type="dxa"/>
              <w:left w:w="100" w:type="dxa"/>
              <w:bottom w:w="0" w:type="dxa"/>
              <w:right w:w="100" w:type="dxa"/>
            </w:tcMar>
          </w:tcPr>
          <w:p w14:paraId="4684FCF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4.1.2 Realizarea de proiecte pilot pentru monitorizarea depunerilor atmosferice</w:t>
            </w:r>
          </w:p>
        </w:tc>
        <w:tc>
          <w:tcPr>
            <w:tcW w:w="1277" w:type="dxa"/>
            <w:tcBorders>
              <w:top w:val="single" w:sz="6" w:space="0" w:color="000000"/>
              <w:left w:val="single" w:sz="4" w:space="0" w:color="000000"/>
              <w:bottom w:val="single" w:sz="5" w:space="0" w:color="000000"/>
              <w:right w:val="single" w:sz="5" w:space="0" w:color="000000"/>
            </w:tcBorders>
            <w:shd w:val="clear" w:color="auto" w:fill="auto"/>
            <w:tcMar>
              <w:top w:w="0" w:type="dxa"/>
              <w:left w:w="100" w:type="dxa"/>
              <w:bottom w:w="0" w:type="dxa"/>
              <w:right w:w="100" w:type="dxa"/>
            </w:tcMar>
          </w:tcPr>
          <w:p w14:paraId="76E9B2B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6" w:space="0" w:color="000000"/>
              <w:left w:val="nil"/>
              <w:bottom w:val="single" w:sz="5" w:space="0" w:color="000000"/>
              <w:right w:val="single" w:sz="5" w:space="0" w:color="000000"/>
            </w:tcBorders>
            <w:shd w:val="clear" w:color="auto" w:fill="auto"/>
            <w:tcMar>
              <w:top w:w="0" w:type="dxa"/>
              <w:left w:w="100" w:type="dxa"/>
              <w:bottom w:w="0" w:type="dxa"/>
              <w:right w:w="100" w:type="dxa"/>
            </w:tcMar>
          </w:tcPr>
          <w:p w14:paraId="7E79597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6" w:space="0" w:color="000000"/>
              <w:left w:val="nil"/>
              <w:bottom w:val="single" w:sz="5" w:space="0" w:color="000000"/>
              <w:right w:val="single" w:sz="5" w:space="0" w:color="000000"/>
            </w:tcBorders>
            <w:shd w:val="clear" w:color="auto" w:fill="auto"/>
            <w:tcMar>
              <w:top w:w="0" w:type="dxa"/>
              <w:left w:w="100" w:type="dxa"/>
              <w:bottom w:w="0" w:type="dxa"/>
              <w:right w:w="100" w:type="dxa"/>
            </w:tcMar>
          </w:tcPr>
          <w:p w14:paraId="106AEFF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MCID (INCD Geoecomar, INCDM Grigore Antipa, INCDDD)</w:t>
            </w:r>
          </w:p>
        </w:tc>
        <w:tc>
          <w:tcPr>
            <w:tcW w:w="1702" w:type="dxa"/>
            <w:tcBorders>
              <w:top w:val="single" w:sz="6" w:space="0" w:color="000000"/>
              <w:left w:val="nil"/>
              <w:bottom w:val="single" w:sz="5" w:space="0" w:color="000000"/>
              <w:right w:val="single" w:sz="5" w:space="0" w:color="000000"/>
            </w:tcBorders>
            <w:shd w:val="clear" w:color="auto" w:fill="auto"/>
            <w:tcMar>
              <w:top w:w="0" w:type="dxa"/>
              <w:left w:w="100" w:type="dxa"/>
              <w:bottom w:w="0" w:type="dxa"/>
              <w:right w:w="100" w:type="dxa"/>
            </w:tcMar>
          </w:tcPr>
          <w:p w14:paraId="7183E12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PNCDI IV, și Programul Horizon Europe</w:t>
            </w:r>
          </w:p>
        </w:tc>
      </w:tr>
      <w:tr w:rsidR="00670FD4" w14:paraId="53B470F8" w14:textId="77777777" w:rsidTr="001925BA">
        <w:trPr>
          <w:trHeight w:val="504"/>
        </w:trPr>
        <w:tc>
          <w:tcPr>
            <w:tcW w:w="2164" w:type="dxa"/>
            <w:vMerge/>
            <w:tcBorders>
              <w:top w:val="single" w:sz="4" w:space="0" w:color="auto"/>
              <w:left w:val="single" w:sz="6" w:space="0" w:color="000000"/>
              <w:bottom w:val="single" w:sz="4" w:space="0" w:color="auto"/>
              <w:right w:val="single" w:sz="4" w:space="0" w:color="auto"/>
            </w:tcBorders>
            <w:shd w:val="clear" w:color="auto" w:fill="auto"/>
            <w:tcMar>
              <w:top w:w="100" w:type="dxa"/>
              <w:left w:w="100" w:type="dxa"/>
              <w:bottom w:w="100" w:type="dxa"/>
              <w:right w:w="100" w:type="dxa"/>
            </w:tcMar>
          </w:tcPr>
          <w:p w14:paraId="2AF4084D"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1845" w:type="dxa"/>
            <w:vMerge/>
            <w:tcBorders>
              <w:top w:val="single" w:sz="4" w:space="0" w:color="auto"/>
              <w:left w:val="single" w:sz="4" w:space="0" w:color="auto"/>
              <w:bottom w:val="single" w:sz="4" w:space="0" w:color="auto"/>
              <w:right w:val="single" w:sz="4" w:space="0" w:color="auto"/>
            </w:tcBorders>
          </w:tcPr>
          <w:p w14:paraId="6EEF4D02" w14:textId="77777777" w:rsidR="00670FD4" w:rsidRDefault="00670FD4" w:rsidP="001925BA">
            <w:pPr>
              <w:spacing w:after="0" w:line="240" w:lineRule="auto"/>
              <w:ind w:firstLine="0"/>
              <w:rPr>
                <w:rFonts w:eastAsia="Times New Roman" w:cs="Times New Roman"/>
                <w:sz w:val="20"/>
                <w:szCs w:val="20"/>
              </w:rPr>
            </w:pPr>
          </w:p>
        </w:tc>
        <w:tc>
          <w:tcPr>
            <w:tcW w:w="4254" w:type="dxa"/>
            <w:tcBorders>
              <w:top w:val="nil"/>
              <w:left w:val="single" w:sz="4" w:space="0" w:color="auto"/>
              <w:bottom w:val="single" w:sz="5" w:space="0" w:color="000000"/>
              <w:right w:val="single" w:sz="4" w:space="0" w:color="000000"/>
            </w:tcBorders>
            <w:shd w:val="clear" w:color="auto" w:fill="auto"/>
            <w:tcMar>
              <w:top w:w="0" w:type="dxa"/>
              <w:left w:w="100" w:type="dxa"/>
              <w:bottom w:w="0" w:type="dxa"/>
              <w:right w:w="100" w:type="dxa"/>
            </w:tcMar>
          </w:tcPr>
          <w:p w14:paraId="6D6A3A2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4.1.3 Crearea unei rețele de monitorizare a depunerilor atmosferice în zona costieră</w:t>
            </w:r>
          </w:p>
        </w:tc>
        <w:tc>
          <w:tcPr>
            <w:tcW w:w="1277" w:type="dxa"/>
            <w:tcBorders>
              <w:top w:val="nil"/>
              <w:left w:val="single" w:sz="4" w:space="0" w:color="000000"/>
              <w:bottom w:val="single" w:sz="5" w:space="0" w:color="000000"/>
              <w:right w:val="single" w:sz="5" w:space="0" w:color="000000"/>
            </w:tcBorders>
            <w:shd w:val="clear" w:color="auto" w:fill="auto"/>
            <w:tcMar>
              <w:top w:w="0" w:type="dxa"/>
              <w:left w:w="100" w:type="dxa"/>
              <w:bottom w:w="0" w:type="dxa"/>
              <w:right w:w="100" w:type="dxa"/>
            </w:tcMar>
          </w:tcPr>
          <w:p w14:paraId="1F46419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54EF9B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1CF0D1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 xml:space="preserve">MMAP, MCID  </w:t>
            </w:r>
            <w:r w:rsidRPr="00BB40D3">
              <w:rPr>
                <w:rFonts w:eastAsia="Times New Roman" w:cs="Times New Roman"/>
                <w:sz w:val="20"/>
                <w:szCs w:val="20"/>
              </w:rPr>
              <w:t>(INCD Geoecomar, INCDM Grigore Antipa, INCDDD)</w:t>
            </w:r>
          </w:p>
        </w:tc>
        <w:tc>
          <w:tcPr>
            <w:tcW w:w="1702"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F351D5E"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 propriu MMAP*</w:t>
            </w:r>
          </w:p>
        </w:tc>
      </w:tr>
      <w:tr w:rsidR="00670FD4" w14:paraId="7DD434D7" w14:textId="77777777" w:rsidTr="001925BA">
        <w:trPr>
          <w:trHeight w:val="786"/>
        </w:trPr>
        <w:tc>
          <w:tcPr>
            <w:tcW w:w="2164" w:type="dxa"/>
            <w:vMerge w:val="restart"/>
            <w:tcBorders>
              <w:top w:val="single" w:sz="4" w:space="0" w:color="auto"/>
              <w:left w:val="single" w:sz="5" w:space="0" w:color="000000"/>
              <w:bottom w:val="single" w:sz="5" w:space="0" w:color="000000"/>
              <w:right w:val="single" w:sz="4" w:space="0" w:color="auto"/>
            </w:tcBorders>
            <w:shd w:val="clear" w:color="auto" w:fill="auto"/>
            <w:tcMar>
              <w:top w:w="100" w:type="dxa"/>
              <w:left w:w="100" w:type="dxa"/>
              <w:bottom w:w="100" w:type="dxa"/>
              <w:right w:w="100" w:type="dxa"/>
            </w:tcMar>
          </w:tcPr>
          <w:p w14:paraId="4C5EC16B"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M4.2 Extinderea și modernizarea infrastructurii de canalizare și epurare în partea nordică a zonei costiere, aferentă Deltei Dunării</w:t>
            </w:r>
          </w:p>
        </w:tc>
        <w:tc>
          <w:tcPr>
            <w:tcW w:w="1845" w:type="dxa"/>
            <w:vMerge w:val="restart"/>
            <w:tcBorders>
              <w:top w:val="single" w:sz="4" w:space="0" w:color="auto"/>
              <w:left w:val="single" w:sz="4" w:space="0" w:color="auto"/>
              <w:right w:val="single" w:sz="4" w:space="0" w:color="auto"/>
            </w:tcBorders>
          </w:tcPr>
          <w:p w14:paraId="6A2F1237" w14:textId="77777777" w:rsidR="00670FD4" w:rsidRPr="007663A0" w:rsidRDefault="00670FD4" w:rsidP="001925BA">
            <w:pPr>
              <w:spacing w:line="240" w:lineRule="auto"/>
              <w:ind w:firstLine="0"/>
              <w:rPr>
                <w:rFonts w:eastAsia="Times New Roman" w:cs="Times New Roman"/>
                <w:sz w:val="20"/>
                <w:szCs w:val="20"/>
              </w:rPr>
            </w:pPr>
            <w:r w:rsidRPr="007663A0">
              <w:rPr>
                <w:rFonts w:eastAsia="Times New Roman" w:cs="Times New Roman"/>
                <w:sz w:val="20"/>
                <w:szCs w:val="20"/>
              </w:rPr>
              <w:t>Os2.a Atingerea stării ecologice bune a ecosistemelor;</w:t>
            </w:r>
          </w:p>
          <w:p w14:paraId="2ADABAD9" w14:textId="77777777" w:rsidR="00670FD4" w:rsidRDefault="00670FD4" w:rsidP="001925BA">
            <w:pPr>
              <w:spacing w:line="240" w:lineRule="auto"/>
              <w:ind w:firstLine="0"/>
              <w:rPr>
                <w:rFonts w:eastAsia="Times New Roman" w:cs="Times New Roman"/>
                <w:sz w:val="20"/>
                <w:szCs w:val="20"/>
              </w:rPr>
            </w:pPr>
            <w:r w:rsidRPr="007663A0">
              <w:rPr>
                <w:rFonts w:eastAsia="Times New Roman" w:cs="Times New Roman"/>
                <w:sz w:val="20"/>
                <w:szCs w:val="20"/>
              </w:rPr>
              <w:t>Os4.a Gestionarea durabi</w:t>
            </w:r>
            <w:r>
              <w:rPr>
                <w:rFonts w:eastAsia="Times New Roman" w:cs="Times New Roman"/>
                <w:sz w:val="20"/>
                <w:szCs w:val="20"/>
              </w:rPr>
              <w:t>lă a resurselor zonei de coastă;</w:t>
            </w:r>
            <w:r w:rsidRPr="007663A0">
              <w:rPr>
                <w:rFonts w:eastAsia="Times New Roman" w:cs="Times New Roman"/>
                <w:sz w:val="20"/>
                <w:szCs w:val="20"/>
              </w:rPr>
              <w:t xml:space="preserve"> Os1.a Protejarea eficientă a valorilor naturale, peisagistice și culturale</w:t>
            </w:r>
            <w:r>
              <w:rPr>
                <w:rFonts w:eastAsia="Times New Roman" w:cs="Times New Roman"/>
                <w:sz w:val="20"/>
                <w:szCs w:val="20"/>
              </w:rPr>
              <w:t>.</w:t>
            </w:r>
          </w:p>
        </w:tc>
        <w:tc>
          <w:tcPr>
            <w:tcW w:w="4254" w:type="dxa"/>
            <w:tcBorders>
              <w:top w:val="nil"/>
              <w:left w:val="single" w:sz="4" w:space="0" w:color="auto"/>
              <w:bottom w:val="single" w:sz="5" w:space="0" w:color="000000"/>
              <w:right w:val="single" w:sz="4" w:space="0" w:color="000000"/>
            </w:tcBorders>
            <w:shd w:val="clear" w:color="auto" w:fill="auto"/>
            <w:tcMar>
              <w:top w:w="0" w:type="dxa"/>
              <w:left w:w="100" w:type="dxa"/>
              <w:bottom w:w="0" w:type="dxa"/>
              <w:right w:w="100" w:type="dxa"/>
            </w:tcMar>
          </w:tcPr>
          <w:p w14:paraId="243EDBC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4.2.1 Extinderea și modernizarea infrastructurii de canalizare în partea nordică a zonei costiere</w:t>
            </w:r>
          </w:p>
        </w:tc>
        <w:tc>
          <w:tcPr>
            <w:tcW w:w="1277" w:type="dxa"/>
            <w:tcBorders>
              <w:top w:val="nil"/>
              <w:left w:val="single" w:sz="4" w:space="0" w:color="000000"/>
              <w:bottom w:val="single" w:sz="5" w:space="0" w:color="000000"/>
              <w:right w:val="single" w:sz="5" w:space="0" w:color="000000"/>
            </w:tcBorders>
            <w:shd w:val="clear" w:color="auto" w:fill="auto"/>
            <w:tcMar>
              <w:top w:w="0" w:type="dxa"/>
              <w:left w:w="100" w:type="dxa"/>
              <w:bottom w:w="0" w:type="dxa"/>
              <w:right w:w="100" w:type="dxa"/>
            </w:tcMar>
          </w:tcPr>
          <w:p w14:paraId="1A81CC3E"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085186E"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D06E66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MDLPA, MMAP, autorități locale</w:t>
            </w:r>
          </w:p>
        </w:tc>
        <w:tc>
          <w:tcPr>
            <w:tcW w:w="1702" w:type="dxa"/>
            <w:vMerge w:val="restart"/>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CC1472B"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Bugete locale, bugetele operatorilor de servicii publice de apă uzată, Programul de Dezvoltare Durabilă, Invest EU, PNRR și Programul Național de Investiții Anghel Saligny.</w:t>
            </w:r>
          </w:p>
        </w:tc>
      </w:tr>
      <w:tr w:rsidR="00670FD4" w14:paraId="1C7F792A" w14:textId="77777777" w:rsidTr="001925BA">
        <w:trPr>
          <w:trHeight w:val="748"/>
        </w:trPr>
        <w:tc>
          <w:tcPr>
            <w:tcW w:w="2164" w:type="dxa"/>
            <w:vMerge/>
            <w:tcBorders>
              <w:top w:val="nil"/>
              <w:left w:val="single" w:sz="5" w:space="0" w:color="000000"/>
              <w:bottom w:val="single" w:sz="5" w:space="0" w:color="000000"/>
              <w:right w:val="single" w:sz="4" w:space="0" w:color="auto"/>
            </w:tcBorders>
            <w:shd w:val="clear" w:color="auto" w:fill="auto"/>
            <w:tcMar>
              <w:top w:w="100" w:type="dxa"/>
              <w:left w:w="100" w:type="dxa"/>
              <w:bottom w:w="100" w:type="dxa"/>
              <w:right w:w="100" w:type="dxa"/>
            </w:tcMar>
          </w:tcPr>
          <w:p w14:paraId="50FC1A22"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1845" w:type="dxa"/>
            <w:vMerge/>
            <w:tcBorders>
              <w:left w:val="single" w:sz="4" w:space="0" w:color="auto"/>
              <w:bottom w:val="single" w:sz="4" w:space="0" w:color="auto"/>
              <w:right w:val="single" w:sz="4" w:space="0" w:color="auto"/>
            </w:tcBorders>
          </w:tcPr>
          <w:p w14:paraId="72837845" w14:textId="77777777" w:rsidR="00670FD4" w:rsidRDefault="00670FD4" w:rsidP="001925BA">
            <w:pPr>
              <w:spacing w:after="0" w:line="240" w:lineRule="auto"/>
              <w:ind w:firstLine="0"/>
              <w:rPr>
                <w:rFonts w:eastAsia="Times New Roman" w:cs="Times New Roman"/>
                <w:sz w:val="20"/>
                <w:szCs w:val="20"/>
              </w:rPr>
            </w:pPr>
          </w:p>
        </w:tc>
        <w:tc>
          <w:tcPr>
            <w:tcW w:w="4254" w:type="dxa"/>
            <w:tcBorders>
              <w:top w:val="nil"/>
              <w:left w:val="single" w:sz="4" w:space="0" w:color="auto"/>
              <w:bottom w:val="single" w:sz="5" w:space="0" w:color="000000"/>
              <w:right w:val="single" w:sz="4" w:space="0" w:color="000000"/>
            </w:tcBorders>
            <w:shd w:val="clear" w:color="auto" w:fill="auto"/>
            <w:tcMar>
              <w:top w:w="0" w:type="dxa"/>
              <w:left w:w="100" w:type="dxa"/>
              <w:bottom w:w="0" w:type="dxa"/>
              <w:right w:w="100" w:type="dxa"/>
            </w:tcMar>
          </w:tcPr>
          <w:p w14:paraId="38A9DAD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4.2.2 Modernizarea infrastructurii de epurare în partea nordică a zonei costiere</w:t>
            </w:r>
          </w:p>
        </w:tc>
        <w:tc>
          <w:tcPr>
            <w:tcW w:w="1277" w:type="dxa"/>
            <w:tcBorders>
              <w:top w:val="nil"/>
              <w:left w:val="single" w:sz="4" w:space="0" w:color="000000"/>
              <w:bottom w:val="single" w:sz="5" w:space="0" w:color="000000"/>
              <w:right w:val="single" w:sz="5" w:space="0" w:color="000000"/>
            </w:tcBorders>
            <w:shd w:val="clear" w:color="auto" w:fill="auto"/>
            <w:tcMar>
              <w:top w:w="0" w:type="dxa"/>
              <w:left w:w="100" w:type="dxa"/>
              <w:bottom w:w="0" w:type="dxa"/>
              <w:right w:w="100" w:type="dxa"/>
            </w:tcMar>
          </w:tcPr>
          <w:p w14:paraId="673C3F3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D512EA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E771C5F" w14:textId="77777777" w:rsidR="00670FD4" w:rsidRDefault="00670FD4" w:rsidP="001925BA">
            <w:pPr>
              <w:spacing w:after="0" w:line="240" w:lineRule="auto"/>
              <w:ind w:firstLine="51"/>
              <w:rPr>
                <w:rFonts w:eastAsia="Times New Roman" w:cs="Times New Roman"/>
                <w:sz w:val="20"/>
                <w:szCs w:val="20"/>
              </w:rPr>
            </w:pPr>
            <w:r>
              <w:rPr>
                <w:rFonts w:eastAsia="Times New Roman" w:cs="Times New Roman"/>
                <w:sz w:val="20"/>
                <w:szCs w:val="20"/>
              </w:rPr>
              <w:t>MDLPA, MMAP, autorități locale</w:t>
            </w:r>
          </w:p>
        </w:tc>
        <w:tc>
          <w:tcPr>
            <w:tcW w:w="1702" w:type="dxa"/>
            <w:vMerge/>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A885DB3"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r>
      <w:tr w:rsidR="00670FD4" w14:paraId="5527D6FE" w14:textId="77777777" w:rsidTr="001925BA">
        <w:trPr>
          <w:trHeight w:val="1397"/>
        </w:trPr>
        <w:tc>
          <w:tcPr>
            <w:tcW w:w="2164" w:type="dxa"/>
            <w:vMerge w:val="restart"/>
            <w:tcBorders>
              <w:top w:val="nil"/>
              <w:left w:val="single" w:sz="5" w:space="0" w:color="000000"/>
              <w:bottom w:val="single" w:sz="5" w:space="0" w:color="000000"/>
              <w:right w:val="single" w:sz="4" w:space="0" w:color="auto"/>
            </w:tcBorders>
            <w:shd w:val="clear" w:color="auto" w:fill="auto"/>
            <w:tcMar>
              <w:top w:w="100" w:type="dxa"/>
              <w:left w:w="100" w:type="dxa"/>
              <w:bottom w:w="100" w:type="dxa"/>
              <w:right w:w="100" w:type="dxa"/>
            </w:tcMar>
          </w:tcPr>
          <w:p w14:paraId="615811A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 xml:space="preserve">M4.3 Dezvoltarea unui program pentru studierea principalelor surse, căi de transport și impactului contaminanților emergenți asupra faunei </w:t>
            </w:r>
            <w:r>
              <w:rPr>
                <w:rFonts w:eastAsia="Times New Roman" w:cs="Times New Roman"/>
                <w:sz w:val="20"/>
                <w:szCs w:val="20"/>
              </w:rPr>
              <w:lastRenderedPageBreak/>
              <w:t>și omului, precum și dezvoltarea unui program de monitorizare a acestora</w:t>
            </w:r>
          </w:p>
        </w:tc>
        <w:tc>
          <w:tcPr>
            <w:tcW w:w="1845" w:type="dxa"/>
            <w:vMerge w:val="restart"/>
            <w:tcBorders>
              <w:top w:val="single" w:sz="4" w:space="0" w:color="auto"/>
              <w:left w:val="single" w:sz="4" w:space="0" w:color="auto"/>
              <w:bottom w:val="single" w:sz="4" w:space="0" w:color="auto"/>
              <w:right w:val="single" w:sz="4" w:space="0" w:color="auto"/>
            </w:tcBorders>
          </w:tcPr>
          <w:p w14:paraId="0AA9315F" w14:textId="77777777" w:rsidR="00670FD4" w:rsidRPr="007663A0" w:rsidRDefault="00670FD4" w:rsidP="001925BA">
            <w:pPr>
              <w:spacing w:line="240" w:lineRule="auto"/>
              <w:ind w:firstLine="0"/>
              <w:rPr>
                <w:rFonts w:eastAsia="Times New Roman" w:cs="Times New Roman"/>
                <w:sz w:val="20"/>
                <w:szCs w:val="20"/>
              </w:rPr>
            </w:pPr>
            <w:r w:rsidRPr="007663A0">
              <w:rPr>
                <w:rFonts w:eastAsia="Times New Roman" w:cs="Times New Roman"/>
                <w:sz w:val="20"/>
                <w:szCs w:val="20"/>
              </w:rPr>
              <w:lastRenderedPageBreak/>
              <w:t>Os2.a Atingerea stării ecologice bune a ecosistemelor;</w:t>
            </w:r>
          </w:p>
          <w:p w14:paraId="17D7C1DC" w14:textId="77777777" w:rsidR="00670FD4" w:rsidRDefault="00670FD4" w:rsidP="001925BA">
            <w:pPr>
              <w:spacing w:line="240" w:lineRule="auto"/>
              <w:ind w:firstLine="0"/>
              <w:rPr>
                <w:rFonts w:eastAsia="Times New Roman" w:cs="Times New Roman"/>
                <w:sz w:val="20"/>
                <w:szCs w:val="20"/>
              </w:rPr>
            </w:pPr>
            <w:r w:rsidRPr="007663A0">
              <w:rPr>
                <w:rFonts w:eastAsia="Times New Roman" w:cs="Times New Roman"/>
                <w:sz w:val="20"/>
                <w:szCs w:val="20"/>
              </w:rPr>
              <w:t xml:space="preserve">Os1.a Protejarea eficientă a valorilor </w:t>
            </w:r>
            <w:r w:rsidRPr="007663A0">
              <w:rPr>
                <w:rFonts w:eastAsia="Times New Roman" w:cs="Times New Roman"/>
                <w:sz w:val="20"/>
                <w:szCs w:val="20"/>
              </w:rPr>
              <w:lastRenderedPageBreak/>
              <w:t>naturale, peisagistice și culturale.</w:t>
            </w:r>
          </w:p>
        </w:tc>
        <w:tc>
          <w:tcPr>
            <w:tcW w:w="4254" w:type="dxa"/>
            <w:tcBorders>
              <w:top w:val="nil"/>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4B34DF2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lastRenderedPageBreak/>
              <w:t>A 4.3.1 Realizarea de studii privind bioacumularea, biomagnificarea și evaluarea riscului prezenței contaminanților emergenți în ecosistemele marine și dulcicole asupra faunei și sănătății omului</w:t>
            </w:r>
          </w:p>
        </w:tc>
        <w:tc>
          <w:tcPr>
            <w:tcW w:w="1277" w:type="dxa"/>
            <w:tcBorders>
              <w:top w:val="nil"/>
              <w:left w:val="single" w:sz="4" w:space="0" w:color="000000"/>
              <w:bottom w:val="single" w:sz="5" w:space="0" w:color="000000"/>
              <w:right w:val="single" w:sz="5" w:space="0" w:color="000000"/>
            </w:tcBorders>
            <w:shd w:val="clear" w:color="auto" w:fill="auto"/>
            <w:tcMar>
              <w:top w:w="0" w:type="dxa"/>
              <w:left w:w="100" w:type="dxa"/>
              <w:bottom w:w="0" w:type="dxa"/>
              <w:right w:w="100" w:type="dxa"/>
            </w:tcMar>
          </w:tcPr>
          <w:p w14:paraId="46629B6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Medie</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FF0F1B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2027</w:t>
            </w:r>
          </w:p>
        </w:tc>
        <w:tc>
          <w:tcPr>
            <w:tcW w:w="1419"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976133B" w14:textId="77777777" w:rsidR="00670FD4" w:rsidRDefault="00670FD4" w:rsidP="001925BA">
            <w:pPr>
              <w:spacing w:after="0" w:line="240" w:lineRule="auto"/>
              <w:ind w:firstLine="51"/>
              <w:rPr>
                <w:rFonts w:eastAsia="Times New Roman" w:cs="Times New Roman"/>
                <w:sz w:val="20"/>
                <w:szCs w:val="20"/>
              </w:rPr>
            </w:pPr>
            <w:r>
              <w:rPr>
                <w:rFonts w:eastAsia="Times New Roman" w:cs="Times New Roman"/>
                <w:sz w:val="20"/>
                <w:szCs w:val="20"/>
              </w:rPr>
              <w:t xml:space="preserve">MCID (INCD-urile din subordine), Academia Română și ME (departamente </w:t>
            </w:r>
            <w:r>
              <w:rPr>
                <w:rFonts w:eastAsia="Times New Roman" w:cs="Times New Roman"/>
                <w:sz w:val="20"/>
                <w:szCs w:val="20"/>
              </w:rPr>
              <w:lastRenderedPageBreak/>
              <w:t>de cercetare ale universităților)</w:t>
            </w:r>
          </w:p>
        </w:tc>
        <w:tc>
          <w:tcPr>
            <w:tcW w:w="1702"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1CCB42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lastRenderedPageBreak/>
              <w:t>Planul Național de Cercetare Dezvoltare și Inovare 2022-2027 (PNCDI IV), PNRR și Horizon Europe.</w:t>
            </w:r>
          </w:p>
        </w:tc>
      </w:tr>
      <w:tr w:rsidR="00670FD4" w14:paraId="346EEA85" w14:textId="77777777" w:rsidTr="001925BA">
        <w:trPr>
          <w:trHeight w:val="411"/>
        </w:trPr>
        <w:tc>
          <w:tcPr>
            <w:tcW w:w="2164" w:type="dxa"/>
            <w:vMerge/>
            <w:tcBorders>
              <w:top w:val="nil"/>
              <w:left w:val="single" w:sz="5" w:space="0" w:color="000000"/>
              <w:bottom w:val="single" w:sz="5" w:space="0" w:color="000000"/>
              <w:right w:val="single" w:sz="4" w:space="0" w:color="auto"/>
            </w:tcBorders>
            <w:shd w:val="clear" w:color="auto" w:fill="auto"/>
            <w:tcMar>
              <w:top w:w="100" w:type="dxa"/>
              <w:left w:w="100" w:type="dxa"/>
              <w:bottom w:w="100" w:type="dxa"/>
              <w:right w:w="100" w:type="dxa"/>
            </w:tcMar>
          </w:tcPr>
          <w:p w14:paraId="746FA94F"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1845" w:type="dxa"/>
            <w:vMerge/>
            <w:tcBorders>
              <w:top w:val="single" w:sz="4" w:space="0" w:color="auto"/>
              <w:left w:val="single" w:sz="4" w:space="0" w:color="auto"/>
              <w:right w:val="single" w:sz="4" w:space="0" w:color="auto"/>
            </w:tcBorders>
          </w:tcPr>
          <w:p w14:paraId="7ABF3022" w14:textId="77777777" w:rsidR="00670FD4" w:rsidRDefault="00670FD4" w:rsidP="001925BA">
            <w:pPr>
              <w:spacing w:after="0" w:line="240" w:lineRule="auto"/>
              <w:ind w:firstLine="0"/>
              <w:rPr>
                <w:rFonts w:eastAsia="Times New Roman" w:cs="Times New Roman"/>
                <w:sz w:val="20"/>
                <w:szCs w:val="20"/>
              </w:rPr>
            </w:pPr>
          </w:p>
        </w:tc>
        <w:tc>
          <w:tcPr>
            <w:tcW w:w="4254" w:type="dxa"/>
            <w:tcBorders>
              <w:top w:val="single" w:sz="4" w:space="0" w:color="auto"/>
              <w:left w:val="single" w:sz="4" w:space="0" w:color="auto"/>
              <w:bottom w:val="single" w:sz="5" w:space="0" w:color="000000"/>
              <w:right w:val="single" w:sz="4" w:space="0" w:color="000000"/>
            </w:tcBorders>
            <w:shd w:val="clear" w:color="auto" w:fill="auto"/>
            <w:tcMar>
              <w:top w:w="0" w:type="dxa"/>
              <w:left w:w="100" w:type="dxa"/>
              <w:bottom w:w="0" w:type="dxa"/>
              <w:right w:w="100" w:type="dxa"/>
            </w:tcMar>
          </w:tcPr>
          <w:p w14:paraId="13A6930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 xml:space="preserve">A 4.3.2 Realizarea unui Registru al </w:t>
            </w:r>
            <w:r w:rsidRPr="000B5A70">
              <w:rPr>
                <w:rFonts w:eastAsia="Times New Roman" w:cs="Times New Roman"/>
                <w:sz w:val="20"/>
                <w:szCs w:val="20"/>
              </w:rPr>
              <w:t>contaminanților</w:t>
            </w:r>
            <w:r>
              <w:rPr>
                <w:rFonts w:eastAsia="Times New Roman" w:cs="Times New Roman"/>
                <w:sz w:val="20"/>
                <w:szCs w:val="20"/>
              </w:rPr>
              <w:t xml:space="preserve"> emergenți</w:t>
            </w:r>
          </w:p>
        </w:tc>
        <w:tc>
          <w:tcPr>
            <w:tcW w:w="1277" w:type="dxa"/>
            <w:tcBorders>
              <w:top w:val="nil"/>
              <w:left w:val="single" w:sz="4" w:space="0" w:color="000000"/>
              <w:bottom w:val="single" w:sz="5" w:space="0" w:color="000000"/>
              <w:right w:val="single" w:sz="5" w:space="0" w:color="000000"/>
            </w:tcBorders>
            <w:shd w:val="clear" w:color="auto" w:fill="auto"/>
            <w:tcMar>
              <w:top w:w="0" w:type="dxa"/>
              <w:left w:w="100" w:type="dxa"/>
              <w:bottom w:w="0" w:type="dxa"/>
              <w:right w:w="100" w:type="dxa"/>
            </w:tcMar>
          </w:tcPr>
          <w:p w14:paraId="7863EF3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Medie</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CDD62EE" w14:textId="77777777" w:rsidR="00670FD4" w:rsidRPr="00473248" w:rsidRDefault="00670FD4" w:rsidP="001925BA">
            <w:pPr>
              <w:spacing w:after="0" w:line="240" w:lineRule="auto"/>
              <w:ind w:firstLine="0"/>
              <w:rPr>
                <w:rFonts w:eastAsia="Times New Roman" w:cs="Times New Roman"/>
                <w:sz w:val="20"/>
                <w:szCs w:val="20"/>
              </w:rPr>
            </w:pPr>
            <w:r w:rsidRPr="00473248">
              <w:rPr>
                <w:rFonts w:eastAsia="Times New Roman" w:cs="Times New Roman"/>
                <w:sz w:val="20"/>
                <w:szCs w:val="20"/>
              </w:rPr>
              <w:t>2027</w:t>
            </w:r>
          </w:p>
        </w:tc>
        <w:tc>
          <w:tcPr>
            <w:tcW w:w="1419"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4291CCD" w14:textId="77777777" w:rsidR="00670FD4" w:rsidRDefault="00670FD4" w:rsidP="001925BA">
            <w:pPr>
              <w:spacing w:after="0" w:line="240" w:lineRule="auto"/>
              <w:ind w:firstLine="51"/>
              <w:rPr>
                <w:rFonts w:eastAsia="Times New Roman" w:cs="Times New Roman"/>
                <w:sz w:val="20"/>
                <w:szCs w:val="20"/>
              </w:rPr>
            </w:pPr>
            <w:r>
              <w:rPr>
                <w:rFonts w:eastAsia="Times New Roman" w:cs="Times New Roman"/>
                <w:sz w:val="20"/>
                <w:szCs w:val="20"/>
              </w:rPr>
              <w:t>MMAP</w:t>
            </w:r>
          </w:p>
        </w:tc>
        <w:tc>
          <w:tcPr>
            <w:tcW w:w="1702"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842C43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fonduri proprii MMAP, PNCDI IV</w:t>
            </w:r>
          </w:p>
        </w:tc>
      </w:tr>
      <w:tr w:rsidR="00670FD4" w14:paraId="33C4E9D7" w14:textId="77777777" w:rsidTr="001925BA">
        <w:trPr>
          <w:trHeight w:val="795"/>
        </w:trPr>
        <w:tc>
          <w:tcPr>
            <w:tcW w:w="2164" w:type="dxa"/>
            <w:vMerge/>
            <w:tcBorders>
              <w:top w:val="nil"/>
              <w:left w:val="single" w:sz="5" w:space="0" w:color="000000"/>
              <w:bottom w:val="single" w:sz="5" w:space="0" w:color="000000"/>
              <w:right w:val="single" w:sz="4" w:space="0" w:color="auto"/>
            </w:tcBorders>
            <w:shd w:val="clear" w:color="auto" w:fill="auto"/>
            <w:tcMar>
              <w:top w:w="100" w:type="dxa"/>
              <w:left w:w="100" w:type="dxa"/>
              <w:bottom w:w="100" w:type="dxa"/>
              <w:right w:w="100" w:type="dxa"/>
            </w:tcMar>
          </w:tcPr>
          <w:p w14:paraId="1E27B720"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1845" w:type="dxa"/>
            <w:vMerge/>
            <w:tcBorders>
              <w:left w:val="single" w:sz="4" w:space="0" w:color="auto"/>
              <w:right w:val="single" w:sz="4" w:space="0" w:color="auto"/>
            </w:tcBorders>
          </w:tcPr>
          <w:p w14:paraId="74A9130D" w14:textId="77777777" w:rsidR="00670FD4" w:rsidRDefault="00670FD4" w:rsidP="001925BA">
            <w:pPr>
              <w:spacing w:after="0" w:line="240" w:lineRule="auto"/>
              <w:ind w:firstLine="0"/>
              <w:rPr>
                <w:rFonts w:eastAsia="Times New Roman" w:cs="Times New Roman"/>
                <w:sz w:val="20"/>
                <w:szCs w:val="20"/>
              </w:rPr>
            </w:pPr>
          </w:p>
        </w:tc>
        <w:tc>
          <w:tcPr>
            <w:tcW w:w="4254" w:type="dxa"/>
            <w:tcBorders>
              <w:top w:val="nil"/>
              <w:left w:val="single" w:sz="4" w:space="0" w:color="auto"/>
              <w:bottom w:val="single" w:sz="5" w:space="0" w:color="000000"/>
              <w:right w:val="single" w:sz="4" w:space="0" w:color="000000"/>
            </w:tcBorders>
            <w:shd w:val="clear" w:color="auto" w:fill="auto"/>
            <w:tcMar>
              <w:top w:w="0" w:type="dxa"/>
              <w:left w:w="100" w:type="dxa"/>
              <w:bottom w:w="0" w:type="dxa"/>
              <w:right w:w="100" w:type="dxa"/>
            </w:tcMar>
          </w:tcPr>
          <w:p w14:paraId="154CBE0E" w14:textId="77777777" w:rsidR="00670FD4" w:rsidRDefault="00670FD4" w:rsidP="001925BA">
            <w:pPr>
              <w:rPr>
                <w:rFonts w:cs="Times New Roman"/>
                <w:b/>
                <w:bCs/>
                <w:lang w:val="ro-RO"/>
              </w:rPr>
            </w:pPr>
            <w:r>
              <w:rPr>
                <w:rFonts w:eastAsia="Times New Roman" w:cs="Times New Roman"/>
                <w:sz w:val="20"/>
                <w:szCs w:val="20"/>
              </w:rPr>
              <w:t xml:space="preserve">A 4.3.3 Dezvoltarea și testarea infrastructurii de monitorizare a </w:t>
            </w:r>
            <w:r w:rsidRPr="000B5A70">
              <w:rPr>
                <w:rFonts w:eastAsia="Times New Roman" w:cs="Times New Roman"/>
                <w:sz w:val="20"/>
                <w:szCs w:val="20"/>
              </w:rPr>
              <w:t>contaminanților</w:t>
            </w:r>
            <w:r>
              <w:rPr>
                <w:rFonts w:eastAsia="Times New Roman" w:cs="Times New Roman"/>
                <w:sz w:val="20"/>
                <w:szCs w:val="20"/>
              </w:rPr>
              <w:t xml:space="preserve"> emergenți în mediul acvatic</w:t>
            </w:r>
            <w:r w:rsidRPr="00C83D29">
              <w:rPr>
                <w:rFonts w:cs="Times New Roman"/>
                <w:b/>
                <w:bCs/>
                <w:lang w:val="ro-RO"/>
              </w:rPr>
              <w:t xml:space="preserve"> Observatii privind domeniul </w:t>
            </w:r>
            <w:r>
              <w:rPr>
                <w:rFonts w:cs="Times New Roman"/>
                <w:b/>
                <w:bCs/>
                <w:lang w:val="ro-RO"/>
              </w:rPr>
              <w:t>situri contaminate</w:t>
            </w:r>
            <w:r w:rsidRPr="00C83D29">
              <w:rPr>
                <w:rFonts w:cs="Times New Roman"/>
                <w:b/>
                <w:bCs/>
                <w:lang w:val="ro-RO"/>
              </w:rPr>
              <w:t>:</w:t>
            </w:r>
          </w:p>
          <w:p w14:paraId="3C23DAF4" w14:textId="77777777" w:rsidR="00670FD4" w:rsidRDefault="00670FD4" w:rsidP="001925BA">
            <w:pPr>
              <w:spacing w:after="0" w:line="240" w:lineRule="auto"/>
              <w:ind w:firstLine="0"/>
              <w:rPr>
                <w:rFonts w:eastAsia="Times New Roman" w:cs="Times New Roman"/>
                <w:sz w:val="20"/>
                <w:szCs w:val="20"/>
              </w:rPr>
            </w:pPr>
          </w:p>
        </w:tc>
        <w:tc>
          <w:tcPr>
            <w:tcW w:w="1277" w:type="dxa"/>
            <w:tcBorders>
              <w:top w:val="nil"/>
              <w:left w:val="single" w:sz="4" w:space="0" w:color="000000"/>
              <w:bottom w:val="single" w:sz="5" w:space="0" w:color="000000"/>
              <w:right w:val="single" w:sz="5" w:space="0" w:color="000000"/>
            </w:tcBorders>
            <w:shd w:val="clear" w:color="auto" w:fill="auto"/>
            <w:tcMar>
              <w:top w:w="0" w:type="dxa"/>
              <w:left w:w="100" w:type="dxa"/>
              <w:bottom w:w="0" w:type="dxa"/>
              <w:right w:w="100" w:type="dxa"/>
            </w:tcMar>
          </w:tcPr>
          <w:p w14:paraId="4693A18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Medie</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8A783B1" w14:textId="77777777" w:rsidR="00670FD4" w:rsidRPr="00473248" w:rsidRDefault="00670FD4" w:rsidP="001925BA">
            <w:pPr>
              <w:spacing w:after="0" w:line="240" w:lineRule="auto"/>
              <w:ind w:firstLine="0"/>
              <w:rPr>
                <w:rFonts w:eastAsia="Times New Roman" w:cs="Times New Roman"/>
                <w:sz w:val="20"/>
                <w:szCs w:val="20"/>
              </w:rPr>
            </w:pPr>
            <w:r w:rsidRPr="00473248">
              <w:rPr>
                <w:rFonts w:eastAsia="Times New Roman" w:cs="Times New Roman"/>
                <w:sz w:val="20"/>
                <w:szCs w:val="20"/>
              </w:rPr>
              <w:t>2030</w:t>
            </w:r>
          </w:p>
        </w:tc>
        <w:tc>
          <w:tcPr>
            <w:tcW w:w="1419"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D73EF1F" w14:textId="77777777" w:rsidR="00670FD4" w:rsidRDefault="00670FD4" w:rsidP="001925BA">
            <w:pPr>
              <w:spacing w:after="0" w:line="240" w:lineRule="auto"/>
              <w:ind w:firstLine="51"/>
              <w:rPr>
                <w:rFonts w:eastAsia="Times New Roman" w:cs="Times New Roman"/>
                <w:sz w:val="20"/>
                <w:szCs w:val="20"/>
              </w:rPr>
            </w:pPr>
            <w:r>
              <w:rPr>
                <w:rFonts w:eastAsia="Times New Roman" w:cs="Times New Roman"/>
                <w:sz w:val="20"/>
                <w:szCs w:val="20"/>
              </w:rPr>
              <w:t>MCID (INCD-urile din subordine), Academia Română și ME (departamente de cercetare ale universităților)</w:t>
            </w:r>
          </w:p>
        </w:tc>
        <w:tc>
          <w:tcPr>
            <w:tcW w:w="1702"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3A95F9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PNCDI IV, PNRR și Horizon Europe.</w:t>
            </w:r>
          </w:p>
        </w:tc>
      </w:tr>
      <w:tr w:rsidR="00670FD4" w14:paraId="3BB4A0F2" w14:textId="77777777" w:rsidTr="001925BA">
        <w:trPr>
          <w:trHeight w:val="1257"/>
        </w:trPr>
        <w:tc>
          <w:tcPr>
            <w:tcW w:w="2164" w:type="dxa"/>
            <w:vMerge/>
            <w:tcBorders>
              <w:top w:val="nil"/>
              <w:left w:val="single" w:sz="5" w:space="0" w:color="000000"/>
              <w:bottom w:val="single" w:sz="4" w:space="0" w:color="auto"/>
              <w:right w:val="single" w:sz="4" w:space="0" w:color="auto"/>
            </w:tcBorders>
            <w:shd w:val="clear" w:color="auto" w:fill="auto"/>
            <w:tcMar>
              <w:top w:w="100" w:type="dxa"/>
              <w:left w:w="100" w:type="dxa"/>
              <w:bottom w:w="100" w:type="dxa"/>
              <w:right w:w="100" w:type="dxa"/>
            </w:tcMar>
          </w:tcPr>
          <w:p w14:paraId="244BA99C"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1845" w:type="dxa"/>
            <w:vMerge/>
            <w:tcBorders>
              <w:left w:val="single" w:sz="4" w:space="0" w:color="auto"/>
              <w:bottom w:val="single" w:sz="4" w:space="0" w:color="auto"/>
              <w:right w:val="single" w:sz="4" w:space="0" w:color="auto"/>
            </w:tcBorders>
          </w:tcPr>
          <w:p w14:paraId="05B68A9C" w14:textId="77777777" w:rsidR="00670FD4" w:rsidRDefault="00670FD4" w:rsidP="001925BA">
            <w:pPr>
              <w:spacing w:after="0" w:line="240" w:lineRule="auto"/>
              <w:ind w:firstLine="0"/>
              <w:rPr>
                <w:rFonts w:eastAsia="Times New Roman" w:cs="Times New Roman"/>
                <w:sz w:val="20"/>
                <w:szCs w:val="20"/>
              </w:rPr>
            </w:pPr>
          </w:p>
        </w:tc>
        <w:tc>
          <w:tcPr>
            <w:tcW w:w="4254" w:type="dxa"/>
            <w:tcBorders>
              <w:top w:val="nil"/>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46F03A5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4.3.4 Dezvoltarea programelor de monitorizare a contaminanților emergenți în mediul acvatic.</w:t>
            </w:r>
          </w:p>
        </w:tc>
        <w:tc>
          <w:tcPr>
            <w:tcW w:w="1277" w:type="dxa"/>
            <w:tcBorders>
              <w:top w:val="nil"/>
              <w:left w:val="single" w:sz="4" w:space="0" w:color="000000"/>
              <w:bottom w:val="single" w:sz="4" w:space="0" w:color="auto"/>
              <w:right w:val="single" w:sz="5" w:space="0" w:color="000000"/>
            </w:tcBorders>
            <w:shd w:val="clear" w:color="auto" w:fill="auto"/>
            <w:tcMar>
              <w:top w:w="0" w:type="dxa"/>
              <w:left w:w="100" w:type="dxa"/>
              <w:bottom w:w="0" w:type="dxa"/>
              <w:right w:w="100" w:type="dxa"/>
            </w:tcMar>
          </w:tcPr>
          <w:p w14:paraId="08FB1A3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Medie</w:t>
            </w:r>
          </w:p>
        </w:tc>
        <w:tc>
          <w:tcPr>
            <w:tcW w:w="1418"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242A4897" w14:textId="77777777" w:rsidR="00670FD4" w:rsidRPr="00473248" w:rsidRDefault="00670FD4" w:rsidP="001925BA">
            <w:pPr>
              <w:spacing w:after="0" w:line="240" w:lineRule="auto"/>
              <w:ind w:firstLine="0"/>
              <w:rPr>
                <w:rFonts w:eastAsia="Times New Roman" w:cs="Times New Roman"/>
                <w:sz w:val="20"/>
                <w:szCs w:val="20"/>
              </w:rPr>
            </w:pPr>
            <w:r w:rsidRPr="00473248">
              <w:rPr>
                <w:rFonts w:eastAsia="Times New Roman" w:cs="Times New Roman"/>
                <w:sz w:val="20"/>
                <w:szCs w:val="20"/>
              </w:rPr>
              <w:t>2030</w:t>
            </w:r>
          </w:p>
        </w:tc>
        <w:tc>
          <w:tcPr>
            <w:tcW w:w="1419"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052F85B3" w14:textId="77777777" w:rsidR="00670FD4" w:rsidRDefault="00670FD4" w:rsidP="001925BA">
            <w:pPr>
              <w:spacing w:after="0" w:line="240" w:lineRule="auto"/>
              <w:ind w:firstLine="51"/>
              <w:rPr>
                <w:rFonts w:eastAsia="Times New Roman" w:cs="Times New Roman"/>
                <w:sz w:val="20"/>
                <w:szCs w:val="20"/>
              </w:rPr>
            </w:pPr>
            <w:r>
              <w:rPr>
                <w:rFonts w:eastAsia="Times New Roman" w:cs="Times New Roman"/>
                <w:sz w:val="20"/>
                <w:szCs w:val="20"/>
              </w:rPr>
              <w:t>MMAP, MCID (INCD-urile din subordine), Academia Română și ME (departamente de cercetare ale universităților)</w:t>
            </w:r>
          </w:p>
        </w:tc>
        <w:tc>
          <w:tcPr>
            <w:tcW w:w="1702"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0B28EA63"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 xml:space="preserve"> PNCDI IV, PNRR și Horizon Europe.</w:t>
            </w:r>
          </w:p>
        </w:tc>
      </w:tr>
      <w:tr w:rsidR="00670FD4" w14:paraId="58DF85C4" w14:textId="77777777" w:rsidTr="001925BA">
        <w:trPr>
          <w:trHeight w:val="680"/>
        </w:trPr>
        <w:tc>
          <w:tcPr>
            <w:tcW w:w="2164" w:type="dxa"/>
            <w:vMerge w:val="restart"/>
            <w:tcBorders>
              <w:top w:val="single" w:sz="4" w:space="0" w:color="auto"/>
              <w:left w:val="single" w:sz="6" w:space="0" w:color="000000"/>
              <w:bottom w:val="single" w:sz="4" w:space="0" w:color="auto"/>
              <w:right w:val="single" w:sz="4" w:space="0" w:color="auto"/>
            </w:tcBorders>
            <w:shd w:val="clear" w:color="auto" w:fill="auto"/>
            <w:tcMar>
              <w:top w:w="100" w:type="dxa"/>
              <w:left w:w="100" w:type="dxa"/>
              <w:bottom w:w="100" w:type="dxa"/>
              <w:right w:w="100" w:type="dxa"/>
            </w:tcMar>
          </w:tcPr>
          <w:p w14:paraId="1B8F3A9C" w14:textId="77777777" w:rsidR="00670FD4" w:rsidRDefault="00670FD4" w:rsidP="001925BA">
            <w:pPr>
              <w:spacing w:after="0" w:line="240" w:lineRule="auto"/>
              <w:ind w:firstLine="0"/>
              <w:rPr>
                <w:rFonts w:eastAsia="Times New Roman" w:cs="Times New Roman"/>
                <w:color w:val="000000"/>
                <w:sz w:val="20"/>
                <w:szCs w:val="20"/>
              </w:rPr>
            </w:pPr>
          </w:p>
          <w:p w14:paraId="60C82C37" w14:textId="77777777" w:rsidR="00670FD4" w:rsidRDefault="00670FD4" w:rsidP="001925BA">
            <w:pPr>
              <w:spacing w:after="0" w:line="240" w:lineRule="auto"/>
              <w:ind w:firstLine="0"/>
              <w:rPr>
                <w:rFonts w:eastAsia="Times New Roman" w:cs="Times New Roman"/>
                <w:color w:val="000000"/>
                <w:sz w:val="20"/>
                <w:szCs w:val="20"/>
              </w:rPr>
            </w:pPr>
          </w:p>
          <w:p w14:paraId="7A5526F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lastRenderedPageBreak/>
              <w:t>M4.4 Inițierea și implementarea de programe pentru îmbunătățirea infrastructurii de gestionare a deșeurilor</w:t>
            </w:r>
          </w:p>
        </w:tc>
        <w:tc>
          <w:tcPr>
            <w:tcW w:w="1845" w:type="dxa"/>
            <w:vMerge w:val="restart"/>
            <w:tcBorders>
              <w:top w:val="single" w:sz="4" w:space="0" w:color="auto"/>
              <w:left w:val="single" w:sz="4" w:space="0" w:color="auto"/>
              <w:bottom w:val="single" w:sz="4" w:space="0" w:color="auto"/>
              <w:right w:val="single" w:sz="4" w:space="0" w:color="auto"/>
            </w:tcBorders>
          </w:tcPr>
          <w:p w14:paraId="2FC60FDB" w14:textId="77777777" w:rsidR="00670FD4" w:rsidRPr="007663A0" w:rsidRDefault="00670FD4" w:rsidP="001925BA">
            <w:pPr>
              <w:spacing w:line="240" w:lineRule="auto"/>
              <w:ind w:firstLine="0"/>
              <w:rPr>
                <w:rFonts w:eastAsia="Times New Roman" w:cs="Times New Roman"/>
                <w:color w:val="000000"/>
                <w:sz w:val="20"/>
                <w:szCs w:val="20"/>
              </w:rPr>
            </w:pPr>
            <w:r w:rsidRPr="007663A0">
              <w:rPr>
                <w:rFonts w:eastAsia="Times New Roman" w:cs="Times New Roman"/>
                <w:color w:val="000000"/>
                <w:sz w:val="20"/>
                <w:szCs w:val="20"/>
              </w:rPr>
              <w:lastRenderedPageBreak/>
              <w:t xml:space="preserve">Os2.b Gestionarea, revitalizare și reabilitarea zonelor </w:t>
            </w:r>
            <w:r w:rsidRPr="007663A0">
              <w:rPr>
                <w:rFonts w:eastAsia="Times New Roman" w:cs="Times New Roman"/>
                <w:color w:val="000000"/>
                <w:sz w:val="20"/>
                <w:szCs w:val="20"/>
              </w:rPr>
              <w:lastRenderedPageBreak/>
              <w:t>urbane şi rurale poluate;</w:t>
            </w:r>
          </w:p>
          <w:p w14:paraId="5C5B0AEA" w14:textId="77777777" w:rsidR="00670FD4" w:rsidRPr="007663A0" w:rsidRDefault="00670FD4" w:rsidP="001925BA">
            <w:pPr>
              <w:spacing w:line="240" w:lineRule="auto"/>
              <w:ind w:firstLine="0"/>
              <w:rPr>
                <w:rFonts w:eastAsia="Times New Roman" w:cs="Times New Roman"/>
                <w:color w:val="000000"/>
                <w:sz w:val="20"/>
                <w:szCs w:val="20"/>
              </w:rPr>
            </w:pPr>
            <w:r w:rsidRPr="007663A0">
              <w:rPr>
                <w:rFonts w:eastAsia="Times New Roman" w:cs="Times New Roman"/>
                <w:color w:val="000000"/>
                <w:sz w:val="20"/>
                <w:szCs w:val="20"/>
              </w:rPr>
              <w:t xml:space="preserve"> Os2.a Atingerea stării ecologice bune a ecosistemelor;</w:t>
            </w:r>
          </w:p>
          <w:p w14:paraId="2BBEA25A" w14:textId="77777777" w:rsidR="00670FD4" w:rsidRDefault="00670FD4" w:rsidP="001925BA">
            <w:pPr>
              <w:spacing w:line="240" w:lineRule="auto"/>
              <w:ind w:firstLine="0"/>
              <w:rPr>
                <w:rFonts w:eastAsia="Times New Roman" w:cs="Times New Roman"/>
                <w:color w:val="000000"/>
                <w:sz w:val="20"/>
                <w:szCs w:val="20"/>
              </w:rPr>
            </w:pPr>
            <w:r w:rsidRPr="007663A0">
              <w:rPr>
                <w:rFonts w:eastAsia="Times New Roman" w:cs="Times New Roman"/>
                <w:color w:val="000000"/>
                <w:sz w:val="20"/>
                <w:szCs w:val="20"/>
              </w:rPr>
              <w:t>Os1.a Protejarea eficientă a valorilor naturale, peisagistice și culturale.</w:t>
            </w:r>
          </w:p>
        </w:tc>
        <w:tc>
          <w:tcPr>
            <w:tcW w:w="4254" w:type="dxa"/>
            <w:tcBorders>
              <w:top w:val="single" w:sz="4" w:space="0" w:color="auto"/>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4B672D63"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lastRenderedPageBreak/>
              <w:t>A 4.4.1 Realizarea programelor pentru creștere a gradului de colectare a deșeurilor în partea nordică a zonei costiere</w:t>
            </w:r>
          </w:p>
        </w:tc>
        <w:tc>
          <w:tcPr>
            <w:tcW w:w="1277" w:type="dxa"/>
            <w:tcBorders>
              <w:top w:val="single" w:sz="4" w:space="0" w:color="000000"/>
              <w:left w:val="single" w:sz="4" w:space="0" w:color="000000"/>
              <w:bottom w:val="single" w:sz="4" w:space="0" w:color="auto"/>
              <w:right w:val="single" w:sz="5" w:space="0" w:color="000000"/>
            </w:tcBorders>
            <w:shd w:val="clear" w:color="auto" w:fill="auto"/>
            <w:tcMar>
              <w:top w:w="0" w:type="dxa"/>
              <w:left w:w="100" w:type="dxa"/>
              <w:bottom w:w="0" w:type="dxa"/>
              <w:right w:w="100" w:type="dxa"/>
            </w:tcMar>
          </w:tcPr>
          <w:p w14:paraId="50450ED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Ridicată</w:t>
            </w:r>
          </w:p>
        </w:tc>
        <w:tc>
          <w:tcPr>
            <w:tcW w:w="1418" w:type="dxa"/>
            <w:tcBorders>
              <w:top w:val="single" w:sz="4" w:space="0" w:color="000000"/>
              <w:left w:val="nil"/>
              <w:bottom w:val="single" w:sz="4" w:space="0" w:color="auto"/>
              <w:right w:val="single" w:sz="6" w:space="0" w:color="000000"/>
            </w:tcBorders>
            <w:shd w:val="clear" w:color="auto" w:fill="auto"/>
            <w:tcMar>
              <w:top w:w="0" w:type="dxa"/>
              <w:left w:w="100" w:type="dxa"/>
              <w:bottom w:w="0" w:type="dxa"/>
              <w:right w:w="100" w:type="dxa"/>
            </w:tcMar>
          </w:tcPr>
          <w:p w14:paraId="04586E09" w14:textId="77777777" w:rsidR="00670FD4" w:rsidRPr="00473248" w:rsidRDefault="00670FD4" w:rsidP="001925BA">
            <w:pPr>
              <w:spacing w:after="0" w:line="240" w:lineRule="auto"/>
              <w:ind w:firstLine="0"/>
              <w:rPr>
                <w:rFonts w:eastAsia="Times New Roman" w:cs="Times New Roman"/>
                <w:sz w:val="20"/>
                <w:szCs w:val="20"/>
              </w:rPr>
            </w:pPr>
            <w:r w:rsidRPr="00473248">
              <w:rPr>
                <w:rFonts w:eastAsia="Times New Roman" w:cs="Times New Roman"/>
                <w:color w:val="000000"/>
                <w:sz w:val="20"/>
                <w:szCs w:val="20"/>
              </w:rPr>
              <w:t>2030</w:t>
            </w:r>
          </w:p>
        </w:tc>
        <w:tc>
          <w:tcPr>
            <w:tcW w:w="1419" w:type="dxa"/>
            <w:tcBorders>
              <w:top w:val="single" w:sz="4" w:space="0" w:color="000000"/>
              <w:left w:val="single" w:sz="6" w:space="0" w:color="000000"/>
              <w:bottom w:val="single" w:sz="4" w:space="0" w:color="auto"/>
              <w:right w:val="single" w:sz="6" w:space="0" w:color="000000"/>
            </w:tcBorders>
            <w:shd w:val="clear" w:color="auto" w:fill="auto"/>
            <w:tcMar>
              <w:top w:w="0" w:type="dxa"/>
              <w:left w:w="100" w:type="dxa"/>
              <w:bottom w:w="0" w:type="dxa"/>
              <w:right w:w="100" w:type="dxa"/>
            </w:tcMar>
          </w:tcPr>
          <w:p w14:paraId="4F820DC2" w14:textId="77777777" w:rsidR="00670FD4" w:rsidRDefault="00670FD4" w:rsidP="001925BA">
            <w:pPr>
              <w:spacing w:after="0" w:line="240" w:lineRule="auto"/>
              <w:ind w:firstLine="51"/>
              <w:rPr>
                <w:rFonts w:eastAsia="Times New Roman" w:cs="Times New Roman"/>
                <w:sz w:val="20"/>
                <w:szCs w:val="20"/>
              </w:rPr>
            </w:pPr>
            <w:r>
              <w:rPr>
                <w:rFonts w:eastAsia="Times New Roman" w:cs="Times New Roman"/>
                <w:color w:val="000000"/>
                <w:sz w:val="20"/>
                <w:szCs w:val="20"/>
              </w:rPr>
              <w:t>MMAP, autorități locale</w:t>
            </w:r>
          </w:p>
        </w:tc>
        <w:tc>
          <w:tcPr>
            <w:tcW w:w="1702" w:type="dxa"/>
            <w:vMerge w:val="restart"/>
            <w:tcBorders>
              <w:top w:val="single" w:sz="4" w:space="0" w:color="000000"/>
              <w:left w:val="single" w:sz="6" w:space="0" w:color="000000"/>
              <w:bottom w:val="single" w:sz="4" w:space="0" w:color="auto"/>
              <w:right w:val="single" w:sz="6" w:space="0" w:color="000000"/>
            </w:tcBorders>
            <w:shd w:val="clear" w:color="auto" w:fill="auto"/>
            <w:tcMar>
              <w:top w:w="0" w:type="dxa"/>
              <w:left w:w="100" w:type="dxa"/>
              <w:bottom w:w="0" w:type="dxa"/>
              <w:right w:w="100" w:type="dxa"/>
            </w:tcMar>
          </w:tcPr>
          <w:p w14:paraId="4B56B80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 xml:space="preserve">PNRR, Programul de Dezvoltare Durabilă, bugetul </w:t>
            </w:r>
            <w:r>
              <w:rPr>
                <w:rFonts w:eastAsia="Times New Roman" w:cs="Times New Roman"/>
                <w:color w:val="000000"/>
                <w:sz w:val="20"/>
                <w:szCs w:val="20"/>
              </w:rPr>
              <w:lastRenderedPageBreak/>
              <w:t>propriu al MMAP și bugetele locale</w:t>
            </w:r>
          </w:p>
        </w:tc>
      </w:tr>
      <w:tr w:rsidR="00670FD4" w14:paraId="0E75D415" w14:textId="77777777" w:rsidTr="001925BA">
        <w:trPr>
          <w:trHeight w:val="1497"/>
        </w:trPr>
        <w:tc>
          <w:tcPr>
            <w:tcW w:w="2164" w:type="dxa"/>
            <w:vMerge/>
            <w:tcBorders>
              <w:top w:val="single" w:sz="4" w:space="0" w:color="auto"/>
              <w:left w:val="single" w:sz="5" w:space="0" w:color="000000"/>
              <w:right w:val="single" w:sz="4" w:space="0" w:color="auto"/>
            </w:tcBorders>
            <w:shd w:val="clear" w:color="auto" w:fill="auto"/>
            <w:tcMar>
              <w:top w:w="100" w:type="dxa"/>
              <w:left w:w="100" w:type="dxa"/>
              <w:bottom w:w="100" w:type="dxa"/>
              <w:right w:w="100" w:type="dxa"/>
            </w:tcMar>
          </w:tcPr>
          <w:p w14:paraId="121B8F24"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1845" w:type="dxa"/>
            <w:vMerge/>
            <w:tcBorders>
              <w:top w:val="single" w:sz="4" w:space="0" w:color="auto"/>
              <w:left w:val="single" w:sz="4" w:space="0" w:color="auto"/>
              <w:right w:val="single" w:sz="4" w:space="0" w:color="auto"/>
            </w:tcBorders>
          </w:tcPr>
          <w:p w14:paraId="464F10E0" w14:textId="77777777" w:rsidR="00670FD4" w:rsidRDefault="00670FD4" w:rsidP="001925BA">
            <w:pPr>
              <w:ind w:firstLine="0"/>
              <w:rPr>
                <w:rFonts w:eastAsia="Times New Roman" w:cs="Times New Roman"/>
                <w:color w:val="000000"/>
                <w:sz w:val="20"/>
                <w:szCs w:val="20"/>
              </w:rPr>
            </w:pPr>
          </w:p>
        </w:tc>
        <w:tc>
          <w:tcPr>
            <w:tcW w:w="4254" w:type="dxa"/>
            <w:tcBorders>
              <w:top w:val="single" w:sz="4" w:space="0" w:color="auto"/>
              <w:left w:val="single" w:sz="4" w:space="0" w:color="auto"/>
              <w:bottom w:val="single" w:sz="5" w:space="0" w:color="000000"/>
              <w:right w:val="single" w:sz="4" w:space="0" w:color="000000"/>
            </w:tcBorders>
            <w:shd w:val="clear" w:color="auto" w:fill="auto"/>
            <w:tcMar>
              <w:top w:w="0" w:type="dxa"/>
              <w:left w:w="100" w:type="dxa"/>
              <w:bottom w:w="0" w:type="dxa"/>
              <w:right w:w="100" w:type="dxa"/>
            </w:tcMar>
          </w:tcPr>
          <w:p w14:paraId="62472F13" w14:textId="77777777" w:rsidR="00670FD4" w:rsidRDefault="00670FD4" w:rsidP="001925BA">
            <w:pPr>
              <w:ind w:firstLine="0"/>
              <w:rPr>
                <w:rFonts w:eastAsia="Times New Roman" w:cs="Times New Roman"/>
                <w:sz w:val="20"/>
                <w:szCs w:val="20"/>
              </w:rPr>
            </w:pPr>
            <w:r>
              <w:rPr>
                <w:rFonts w:eastAsia="Times New Roman" w:cs="Times New Roman"/>
                <w:color w:val="000000"/>
                <w:sz w:val="20"/>
                <w:szCs w:val="20"/>
              </w:rPr>
              <w:t>A 4.4.2 Identificarea și aplicarea de soluții ecologice pentru reducerea cantității de deșeuri biodegradabile rezultate în mediul rural sau în zonele de case din mediul urban</w:t>
            </w:r>
          </w:p>
        </w:tc>
        <w:tc>
          <w:tcPr>
            <w:tcW w:w="1277" w:type="dxa"/>
            <w:tcBorders>
              <w:top w:val="single" w:sz="4" w:space="0" w:color="auto"/>
              <w:left w:val="single" w:sz="4" w:space="0" w:color="000000"/>
              <w:bottom w:val="single" w:sz="5" w:space="0" w:color="000000"/>
              <w:right w:val="single" w:sz="5" w:space="0" w:color="000000"/>
            </w:tcBorders>
            <w:shd w:val="clear" w:color="auto" w:fill="auto"/>
            <w:tcMar>
              <w:top w:w="0" w:type="dxa"/>
              <w:left w:w="100" w:type="dxa"/>
              <w:bottom w:w="0" w:type="dxa"/>
              <w:right w:w="100" w:type="dxa"/>
            </w:tcMar>
          </w:tcPr>
          <w:p w14:paraId="5FE5D39A" w14:textId="77777777" w:rsidR="00670FD4" w:rsidRDefault="00670FD4" w:rsidP="001925BA">
            <w:pPr>
              <w:ind w:firstLine="0"/>
              <w:rPr>
                <w:rFonts w:eastAsia="Times New Roman" w:cs="Times New Roman"/>
              </w:rPr>
            </w:pPr>
            <w:r>
              <w:rPr>
                <w:rFonts w:eastAsia="Times New Roman" w:cs="Times New Roman"/>
                <w:color w:val="000000"/>
              </w:rPr>
              <w:t>Ridicată</w:t>
            </w:r>
          </w:p>
        </w:tc>
        <w:tc>
          <w:tcPr>
            <w:tcW w:w="1418" w:type="dxa"/>
            <w:tcBorders>
              <w:top w:val="single" w:sz="4" w:space="0" w:color="auto"/>
              <w:left w:val="nil"/>
              <w:bottom w:val="single" w:sz="5" w:space="0" w:color="000000"/>
              <w:right w:val="single" w:sz="6" w:space="0" w:color="000000"/>
            </w:tcBorders>
            <w:shd w:val="clear" w:color="auto" w:fill="auto"/>
            <w:tcMar>
              <w:top w:w="0" w:type="dxa"/>
              <w:left w:w="100" w:type="dxa"/>
              <w:bottom w:w="0" w:type="dxa"/>
              <w:right w:w="100" w:type="dxa"/>
            </w:tcMar>
          </w:tcPr>
          <w:p w14:paraId="0EF3A3C6" w14:textId="77777777" w:rsidR="00670FD4" w:rsidRPr="00473248" w:rsidRDefault="00670FD4" w:rsidP="001925BA">
            <w:pPr>
              <w:ind w:firstLine="0"/>
              <w:rPr>
                <w:rFonts w:eastAsia="Times New Roman" w:cs="Times New Roman"/>
                <w:sz w:val="20"/>
                <w:szCs w:val="20"/>
              </w:rPr>
            </w:pPr>
            <w:r w:rsidRPr="00473248">
              <w:rPr>
                <w:rFonts w:eastAsia="Times New Roman" w:cs="Times New Roman"/>
                <w:color w:val="000000"/>
                <w:sz w:val="20"/>
                <w:szCs w:val="20"/>
              </w:rPr>
              <w:t>2030</w:t>
            </w:r>
          </w:p>
        </w:tc>
        <w:tc>
          <w:tcPr>
            <w:tcW w:w="1419" w:type="dxa"/>
            <w:tcBorders>
              <w:top w:val="single" w:sz="4" w:space="0" w:color="auto"/>
              <w:left w:val="single" w:sz="6" w:space="0" w:color="000000"/>
              <w:bottom w:val="single" w:sz="5" w:space="0" w:color="000000"/>
              <w:right w:val="single" w:sz="6" w:space="0" w:color="000000"/>
            </w:tcBorders>
            <w:shd w:val="clear" w:color="auto" w:fill="auto"/>
            <w:tcMar>
              <w:top w:w="0" w:type="dxa"/>
              <w:left w:w="100" w:type="dxa"/>
              <w:bottom w:w="0" w:type="dxa"/>
              <w:right w:w="100" w:type="dxa"/>
            </w:tcMar>
          </w:tcPr>
          <w:p w14:paraId="33DE9AD4" w14:textId="77777777" w:rsidR="00670FD4" w:rsidRDefault="00670FD4" w:rsidP="001925BA">
            <w:pPr>
              <w:spacing w:after="0" w:line="257" w:lineRule="auto"/>
              <w:ind w:firstLine="51"/>
              <w:rPr>
                <w:rFonts w:eastAsia="Times New Roman" w:cs="Times New Roman"/>
                <w:sz w:val="20"/>
                <w:szCs w:val="20"/>
              </w:rPr>
            </w:pPr>
            <w:r>
              <w:rPr>
                <w:rFonts w:eastAsia="Times New Roman" w:cs="Times New Roman"/>
                <w:color w:val="000000"/>
                <w:sz w:val="20"/>
                <w:szCs w:val="20"/>
              </w:rPr>
              <w:t>MMAP, MCID (INCD-uri), ME (departamente cercetare din universități) </w:t>
            </w:r>
          </w:p>
        </w:tc>
        <w:tc>
          <w:tcPr>
            <w:tcW w:w="1702" w:type="dxa"/>
            <w:vMerge/>
            <w:tcBorders>
              <w:top w:val="single" w:sz="4" w:space="0" w:color="auto"/>
              <w:left w:val="single" w:sz="6" w:space="0" w:color="000000"/>
              <w:right w:val="single" w:sz="5" w:space="0" w:color="000000"/>
            </w:tcBorders>
            <w:shd w:val="clear" w:color="auto" w:fill="auto"/>
            <w:tcMar>
              <w:top w:w="0" w:type="dxa"/>
              <w:left w:w="100" w:type="dxa"/>
              <w:bottom w:w="0" w:type="dxa"/>
              <w:right w:w="100" w:type="dxa"/>
            </w:tcMar>
          </w:tcPr>
          <w:p w14:paraId="7DE67DD2"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r>
      <w:tr w:rsidR="00670FD4" w14:paraId="0892809F" w14:textId="77777777" w:rsidTr="001925BA">
        <w:trPr>
          <w:trHeight w:val="1046"/>
        </w:trPr>
        <w:tc>
          <w:tcPr>
            <w:tcW w:w="2164" w:type="dxa"/>
            <w:vMerge/>
            <w:tcBorders>
              <w:top w:val="nil"/>
              <w:left w:val="single" w:sz="5" w:space="0" w:color="000000"/>
              <w:bottom w:val="single" w:sz="4" w:space="0" w:color="auto"/>
              <w:right w:val="single" w:sz="4" w:space="0" w:color="auto"/>
            </w:tcBorders>
            <w:shd w:val="clear" w:color="auto" w:fill="auto"/>
            <w:tcMar>
              <w:top w:w="100" w:type="dxa"/>
              <w:left w:w="100" w:type="dxa"/>
              <w:bottom w:w="100" w:type="dxa"/>
              <w:right w:w="100" w:type="dxa"/>
            </w:tcMar>
          </w:tcPr>
          <w:p w14:paraId="5955E798"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1845" w:type="dxa"/>
            <w:vMerge/>
            <w:tcBorders>
              <w:left w:val="single" w:sz="4" w:space="0" w:color="auto"/>
              <w:bottom w:val="single" w:sz="4" w:space="0" w:color="auto"/>
              <w:right w:val="single" w:sz="4" w:space="0" w:color="auto"/>
            </w:tcBorders>
          </w:tcPr>
          <w:p w14:paraId="4FA29460" w14:textId="77777777" w:rsidR="00670FD4" w:rsidRDefault="00670FD4" w:rsidP="001925BA">
            <w:pPr>
              <w:spacing w:after="0" w:line="257" w:lineRule="auto"/>
              <w:ind w:firstLine="0"/>
              <w:rPr>
                <w:rFonts w:eastAsia="Times New Roman" w:cs="Times New Roman"/>
                <w:color w:val="000000"/>
                <w:sz w:val="20"/>
                <w:szCs w:val="20"/>
              </w:rPr>
            </w:pPr>
          </w:p>
        </w:tc>
        <w:tc>
          <w:tcPr>
            <w:tcW w:w="4254" w:type="dxa"/>
            <w:tcBorders>
              <w:top w:val="nil"/>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2B22FEC4" w14:textId="77777777" w:rsidR="00670FD4" w:rsidRDefault="00670FD4" w:rsidP="001925BA">
            <w:pPr>
              <w:spacing w:after="0" w:line="257" w:lineRule="auto"/>
              <w:ind w:firstLine="0"/>
              <w:rPr>
                <w:rFonts w:eastAsia="Times New Roman" w:cs="Times New Roman"/>
                <w:sz w:val="20"/>
                <w:szCs w:val="20"/>
              </w:rPr>
            </w:pPr>
            <w:r>
              <w:rPr>
                <w:rFonts w:eastAsia="Times New Roman" w:cs="Times New Roman"/>
                <w:color w:val="000000"/>
                <w:sz w:val="20"/>
                <w:szCs w:val="20"/>
              </w:rPr>
              <w:t>A 4.4.3 Realizarea unor programe pentru extinderea infrastructurii de tratare a deșeurilor folosind soluții ecologice;</w:t>
            </w:r>
          </w:p>
        </w:tc>
        <w:tc>
          <w:tcPr>
            <w:tcW w:w="1277" w:type="dxa"/>
            <w:tcBorders>
              <w:top w:val="nil"/>
              <w:left w:val="single" w:sz="4" w:space="0" w:color="000000"/>
              <w:bottom w:val="single" w:sz="4" w:space="0" w:color="auto"/>
              <w:right w:val="single" w:sz="5" w:space="0" w:color="000000"/>
            </w:tcBorders>
            <w:shd w:val="clear" w:color="auto" w:fill="auto"/>
            <w:tcMar>
              <w:top w:w="0" w:type="dxa"/>
              <w:left w:w="100" w:type="dxa"/>
              <w:bottom w:w="0" w:type="dxa"/>
              <w:right w:w="100" w:type="dxa"/>
            </w:tcMar>
          </w:tcPr>
          <w:p w14:paraId="78948183" w14:textId="77777777" w:rsidR="00670FD4" w:rsidRDefault="00670FD4" w:rsidP="001925BA">
            <w:pPr>
              <w:ind w:firstLine="0"/>
              <w:rPr>
                <w:rFonts w:eastAsia="Times New Roman" w:cs="Times New Roman"/>
              </w:rPr>
            </w:pPr>
            <w:r>
              <w:rPr>
                <w:rFonts w:eastAsia="Times New Roman" w:cs="Times New Roman"/>
                <w:color w:val="000000"/>
              </w:rPr>
              <w:t>Ridicată</w:t>
            </w:r>
          </w:p>
        </w:tc>
        <w:tc>
          <w:tcPr>
            <w:tcW w:w="1418" w:type="dxa"/>
            <w:tcBorders>
              <w:top w:val="nil"/>
              <w:left w:val="nil"/>
              <w:bottom w:val="single" w:sz="4" w:space="0" w:color="auto"/>
              <w:right w:val="single" w:sz="6" w:space="0" w:color="000000"/>
            </w:tcBorders>
            <w:shd w:val="clear" w:color="auto" w:fill="auto"/>
            <w:tcMar>
              <w:top w:w="0" w:type="dxa"/>
              <w:left w:w="100" w:type="dxa"/>
              <w:bottom w:w="0" w:type="dxa"/>
              <w:right w:w="100" w:type="dxa"/>
            </w:tcMar>
          </w:tcPr>
          <w:p w14:paraId="74397666" w14:textId="77777777" w:rsidR="00670FD4" w:rsidRPr="00473248" w:rsidRDefault="00670FD4" w:rsidP="001925BA">
            <w:pPr>
              <w:ind w:firstLine="0"/>
              <w:rPr>
                <w:rFonts w:eastAsia="Times New Roman" w:cs="Times New Roman"/>
                <w:sz w:val="20"/>
                <w:szCs w:val="20"/>
              </w:rPr>
            </w:pPr>
            <w:r w:rsidRPr="00473248">
              <w:rPr>
                <w:rFonts w:eastAsia="Times New Roman" w:cs="Times New Roman"/>
                <w:color w:val="000000"/>
                <w:sz w:val="20"/>
                <w:szCs w:val="20"/>
              </w:rPr>
              <w:t>2030</w:t>
            </w:r>
          </w:p>
        </w:tc>
        <w:tc>
          <w:tcPr>
            <w:tcW w:w="1419" w:type="dxa"/>
            <w:tcBorders>
              <w:top w:val="nil"/>
              <w:left w:val="single" w:sz="6" w:space="0" w:color="000000"/>
              <w:bottom w:val="single" w:sz="4" w:space="0" w:color="auto"/>
              <w:right w:val="single" w:sz="6" w:space="0" w:color="000000"/>
            </w:tcBorders>
            <w:shd w:val="clear" w:color="auto" w:fill="auto"/>
            <w:tcMar>
              <w:top w:w="0" w:type="dxa"/>
              <w:left w:w="100" w:type="dxa"/>
              <w:bottom w:w="0" w:type="dxa"/>
              <w:right w:w="100" w:type="dxa"/>
            </w:tcMar>
          </w:tcPr>
          <w:p w14:paraId="5B8011FA" w14:textId="77777777" w:rsidR="00670FD4" w:rsidRDefault="00670FD4" w:rsidP="001925BA">
            <w:pPr>
              <w:ind w:firstLine="51"/>
              <w:rPr>
                <w:rFonts w:eastAsia="Times New Roman" w:cs="Times New Roman"/>
                <w:sz w:val="20"/>
                <w:szCs w:val="20"/>
              </w:rPr>
            </w:pPr>
            <w:r>
              <w:rPr>
                <w:rFonts w:eastAsia="Times New Roman" w:cs="Times New Roman"/>
                <w:color w:val="000000"/>
                <w:sz w:val="20"/>
                <w:szCs w:val="20"/>
              </w:rPr>
              <w:t>MMAP</w:t>
            </w:r>
          </w:p>
        </w:tc>
        <w:tc>
          <w:tcPr>
            <w:tcW w:w="1702" w:type="dxa"/>
            <w:vMerge/>
            <w:tcBorders>
              <w:top w:val="single" w:sz="4" w:space="0" w:color="000000"/>
              <w:left w:val="single" w:sz="6" w:space="0" w:color="000000"/>
              <w:bottom w:val="single" w:sz="4" w:space="0" w:color="auto"/>
              <w:right w:val="single" w:sz="5" w:space="0" w:color="000000"/>
            </w:tcBorders>
            <w:shd w:val="clear" w:color="auto" w:fill="auto"/>
            <w:tcMar>
              <w:top w:w="0" w:type="dxa"/>
              <w:left w:w="100" w:type="dxa"/>
              <w:bottom w:w="0" w:type="dxa"/>
              <w:right w:w="100" w:type="dxa"/>
            </w:tcMar>
          </w:tcPr>
          <w:p w14:paraId="5B3E8573"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r>
      <w:tr w:rsidR="00670FD4" w14:paraId="1BD28389" w14:textId="77777777" w:rsidTr="001925BA">
        <w:trPr>
          <w:trHeight w:val="1277"/>
        </w:trPr>
        <w:tc>
          <w:tcPr>
            <w:tcW w:w="2164" w:type="dxa"/>
            <w:vMerge/>
            <w:tcBorders>
              <w:top w:val="single" w:sz="4" w:space="0" w:color="auto"/>
              <w:left w:val="single" w:sz="5" w:space="0" w:color="000000"/>
              <w:bottom w:val="single" w:sz="4" w:space="0" w:color="000000"/>
              <w:right w:val="single" w:sz="4" w:space="0" w:color="auto"/>
            </w:tcBorders>
            <w:shd w:val="clear" w:color="auto" w:fill="auto"/>
            <w:tcMar>
              <w:top w:w="100" w:type="dxa"/>
              <w:left w:w="100" w:type="dxa"/>
              <w:bottom w:w="100" w:type="dxa"/>
              <w:right w:w="100" w:type="dxa"/>
            </w:tcMar>
          </w:tcPr>
          <w:p w14:paraId="775D0031"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1845" w:type="dxa"/>
            <w:vMerge/>
            <w:tcBorders>
              <w:top w:val="single" w:sz="4" w:space="0" w:color="auto"/>
              <w:left w:val="single" w:sz="4" w:space="0" w:color="auto"/>
              <w:bottom w:val="single" w:sz="4" w:space="0" w:color="auto"/>
              <w:right w:val="single" w:sz="4" w:space="0" w:color="auto"/>
            </w:tcBorders>
          </w:tcPr>
          <w:p w14:paraId="45DD4CFD" w14:textId="77777777" w:rsidR="00670FD4" w:rsidRDefault="00670FD4" w:rsidP="001925BA">
            <w:pPr>
              <w:spacing w:after="0" w:line="257" w:lineRule="auto"/>
              <w:ind w:firstLine="0"/>
              <w:rPr>
                <w:rFonts w:eastAsia="Times New Roman" w:cs="Times New Roman"/>
                <w:color w:val="000000"/>
                <w:sz w:val="20"/>
                <w:szCs w:val="20"/>
              </w:rPr>
            </w:pPr>
          </w:p>
        </w:tc>
        <w:tc>
          <w:tcPr>
            <w:tcW w:w="4254"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55DF630C" w14:textId="77777777" w:rsidR="00670FD4" w:rsidRDefault="00670FD4" w:rsidP="001925BA">
            <w:pPr>
              <w:spacing w:after="0" w:line="257" w:lineRule="auto"/>
              <w:ind w:firstLine="0"/>
              <w:rPr>
                <w:rFonts w:eastAsia="Times New Roman" w:cs="Times New Roman"/>
                <w:sz w:val="20"/>
                <w:szCs w:val="20"/>
              </w:rPr>
            </w:pPr>
            <w:r>
              <w:rPr>
                <w:rFonts w:eastAsia="Times New Roman" w:cs="Times New Roman"/>
                <w:color w:val="000000"/>
                <w:sz w:val="20"/>
                <w:szCs w:val="20"/>
              </w:rPr>
              <w:t>A 4.4.4 Programe pentru dezvoltarea infrastructurii de tratare a deșeurilor provenite din construcții, care să asigure reutilizarea și reciclarea prin transformarea acestora în materiale sau materii secundare gata de utilizare</w:t>
            </w:r>
          </w:p>
        </w:tc>
        <w:tc>
          <w:tcPr>
            <w:tcW w:w="1277" w:type="dxa"/>
            <w:tcBorders>
              <w:top w:val="single" w:sz="4" w:space="0" w:color="auto"/>
              <w:left w:val="single" w:sz="4" w:space="0" w:color="000000"/>
              <w:bottom w:val="single" w:sz="4" w:space="0" w:color="000000"/>
              <w:right w:val="single" w:sz="5" w:space="0" w:color="000000"/>
            </w:tcBorders>
            <w:shd w:val="clear" w:color="auto" w:fill="auto"/>
            <w:tcMar>
              <w:top w:w="0" w:type="dxa"/>
              <w:left w:w="100" w:type="dxa"/>
              <w:bottom w:w="0" w:type="dxa"/>
              <w:right w:w="100" w:type="dxa"/>
            </w:tcMar>
          </w:tcPr>
          <w:p w14:paraId="75E794BB" w14:textId="77777777" w:rsidR="00670FD4" w:rsidRDefault="00670FD4" w:rsidP="001925BA">
            <w:pPr>
              <w:ind w:firstLine="0"/>
              <w:rPr>
                <w:rFonts w:eastAsia="Times New Roman" w:cs="Times New Roman"/>
              </w:rPr>
            </w:pPr>
            <w:r>
              <w:rPr>
                <w:rFonts w:eastAsia="Times New Roman" w:cs="Times New Roman"/>
                <w:color w:val="000000"/>
              </w:rPr>
              <w:t>Ridicată</w:t>
            </w:r>
          </w:p>
        </w:tc>
        <w:tc>
          <w:tcPr>
            <w:tcW w:w="1418" w:type="dxa"/>
            <w:tcBorders>
              <w:top w:val="single" w:sz="4" w:space="0" w:color="auto"/>
              <w:left w:val="nil"/>
              <w:bottom w:val="single" w:sz="4" w:space="0" w:color="000000"/>
              <w:right w:val="single" w:sz="5" w:space="0" w:color="000000"/>
            </w:tcBorders>
            <w:shd w:val="clear" w:color="auto" w:fill="auto"/>
            <w:tcMar>
              <w:top w:w="0" w:type="dxa"/>
              <w:left w:w="100" w:type="dxa"/>
              <w:bottom w:w="0" w:type="dxa"/>
              <w:right w:w="100" w:type="dxa"/>
            </w:tcMar>
          </w:tcPr>
          <w:p w14:paraId="5041ADD0" w14:textId="77777777" w:rsidR="00670FD4" w:rsidRPr="00473248" w:rsidRDefault="00670FD4" w:rsidP="001925BA">
            <w:pPr>
              <w:ind w:firstLine="0"/>
              <w:rPr>
                <w:rFonts w:eastAsia="Times New Roman" w:cs="Times New Roman"/>
                <w:sz w:val="20"/>
                <w:szCs w:val="20"/>
              </w:rPr>
            </w:pPr>
            <w:r w:rsidRPr="00473248">
              <w:rPr>
                <w:rFonts w:eastAsia="Times New Roman" w:cs="Times New Roman"/>
                <w:color w:val="000000"/>
                <w:sz w:val="20"/>
                <w:szCs w:val="20"/>
              </w:rPr>
              <w:t>2030</w:t>
            </w:r>
          </w:p>
        </w:tc>
        <w:tc>
          <w:tcPr>
            <w:tcW w:w="1419" w:type="dxa"/>
            <w:tcBorders>
              <w:top w:val="single" w:sz="4" w:space="0" w:color="auto"/>
              <w:left w:val="nil"/>
              <w:bottom w:val="single" w:sz="4" w:space="0" w:color="000000"/>
              <w:right w:val="single" w:sz="5" w:space="0" w:color="000000"/>
            </w:tcBorders>
            <w:shd w:val="clear" w:color="auto" w:fill="auto"/>
            <w:tcMar>
              <w:top w:w="0" w:type="dxa"/>
              <w:left w:w="100" w:type="dxa"/>
              <w:bottom w:w="0" w:type="dxa"/>
              <w:right w:w="100" w:type="dxa"/>
            </w:tcMar>
          </w:tcPr>
          <w:p w14:paraId="02B5E35A" w14:textId="77777777" w:rsidR="00670FD4" w:rsidRDefault="00670FD4" w:rsidP="001925BA">
            <w:pPr>
              <w:ind w:firstLine="51"/>
              <w:rPr>
                <w:rFonts w:eastAsia="Times New Roman" w:cs="Times New Roman"/>
                <w:sz w:val="20"/>
                <w:szCs w:val="20"/>
              </w:rPr>
            </w:pPr>
            <w:r>
              <w:rPr>
                <w:rFonts w:eastAsia="Times New Roman" w:cs="Times New Roman"/>
                <w:color w:val="000000"/>
                <w:sz w:val="20"/>
                <w:szCs w:val="20"/>
              </w:rPr>
              <w:t>MMAP, autorități locale</w:t>
            </w:r>
          </w:p>
        </w:tc>
        <w:tc>
          <w:tcPr>
            <w:tcW w:w="1702" w:type="dxa"/>
            <w:vMerge/>
            <w:tcBorders>
              <w:top w:val="single" w:sz="4" w:space="0" w:color="auto"/>
              <w:left w:val="nil"/>
              <w:bottom w:val="single" w:sz="4" w:space="0" w:color="000000"/>
              <w:right w:val="single" w:sz="5" w:space="0" w:color="000000"/>
            </w:tcBorders>
            <w:shd w:val="clear" w:color="auto" w:fill="auto"/>
            <w:tcMar>
              <w:top w:w="0" w:type="dxa"/>
              <w:left w:w="100" w:type="dxa"/>
              <w:bottom w:w="0" w:type="dxa"/>
              <w:right w:w="100" w:type="dxa"/>
            </w:tcMar>
          </w:tcPr>
          <w:p w14:paraId="16DF9E8F"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r>
      <w:tr w:rsidR="00670FD4" w14:paraId="565FF959" w14:textId="77777777" w:rsidTr="001925BA">
        <w:trPr>
          <w:trHeight w:val="1243"/>
        </w:trPr>
        <w:tc>
          <w:tcPr>
            <w:tcW w:w="2164" w:type="dxa"/>
            <w:vMerge w:val="restart"/>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760CCFFF" w14:textId="77777777" w:rsidR="00670FD4" w:rsidRDefault="00670FD4" w:rsidP="001925BA">
            <w:pPr>
              <w:spacing w:after="0" w:line="240" w:lineRule="auto"/>
              <w:ind w:firstLine="0"/>
              <w:rPr>
                <w:rFonts w:eastAsia="Times New Roman" w:cs="Times New Roman"/>
              </w:rPr>
            </w:pPr>
            <w:r>
              <w:rPr>
                <w:rFonts w:eastAsia="Times New Roman" w:cs="Times New Roman"/>
                <w:sz w:val="20"/>
                <w:szCs w:val="20"/>
              </w:rPr>
              <w:t>M4.5 Dezvoltarea infrastructurii verzi în zona carierelor active de calcare și șisturi verzi (zona Tașaul-Luminița)</w:t>
            </w:r>
          </w:p>
        </w:tc>
        <w:tc>
          <w:tcPr>
            <w:tcW w:w="1845" w:type="dxa"/>
            <w:vMerge w:val="restart"/>
            <w:tcBorders>
              <w:top w:val="single" w:sz="4" w:space="0" w:color="auto"/>
              <w:left w:val="single" w:sz="4" w:space="0" w:color="auto"/>
              <w:bottom w:val="single" w:sz="4" w:space="0" w:color="auto"/>
              <w:right w:val="single" w:sz="4" w:space="0" w:color="auto"/>
            </w:tcBorders>
          </w:tcPr>
          <w:p w14:paraId="64945070" w14:textId="77777777" w:rsidR="00670FD4" w:rsidRPr="00DF369E" w:rsidRDefault="00670FD4" w:rsidP="001925BA">
            <w:pPr>
              <w:spacing w:line="257" w:lineRule="auto"/>
              <w:ind w:firstLine="0"/>
              <w:rPr>
                <w:rFonts w:eastAsia="Times New Roman" w:cs="Times New Roman"/>
                <w:color w:val="000000"/>
                <w:sz w:val="20"/>
                <w:szCs w:val="20"/>
              </w:rPr>
            </w:pPr>
            <w:r w:rsidRPr="00DF369E">
              <w:rPr>
                <w:rFonts w:eastAsia="Times New Roman" w:cs="Times New Roman"/>
                <w:color w:val="000000"/>
                <w:sz w:val="20"/>
                <w:szCs w:val="20"/>
              </w:rPr>
              <w:t>Os2.b Gestionarea, revitalizare și reabilitarea zonelor urbane şi rurale poluate;</w:t>
            </w:r>
          </w:p>
          <w:p w14:paraId="28DEBA9F" w14:textId="77777777" w:rsidR="00670FD4" w:rsidRPr="00DF369E" w:rsidRDefault="00670FD4" w:rsidP="001925BA">
            <w:pPr>
              <w:spacing w:line="257" w:lineRule="auto"/>
              <w:ind w:firstLine="0"/>
              <w:rPr>
                <w:rFonts w:eastAsia="Times New Roman" w:cs="Times New Roman"/>
                <w:color w:val="000000"/>
                <w:sz w:val="20"/>
                <w:szCs w:val="20"/>
              </w:rPr>
            </w:pPr>
            <w:r w:rsidRPr="00DF369E">
              <w:rPr>
                <w:rFonts w:eastAsia="Times New Roman" w:cs="Times New Roman"/>
                <w:color w:val="000000"/>
                <w:sz w:val="20"/>
                <w:szCs w:val="20"/>
              </w:rPr>
              <w:t>Os2.c Stimularea dezvoltării infrastructurii verzi;</w:t>
            </w:r>
          </w:p>
          <w:p w14:paraId="03AA28C0" w14:textId="77777777" w:rsidR="00670FD4" w:rsidRPr="00DF369E" w:rsidRDefault="00670FD4" w:rsidP="001925BA">
            <w:pPr>
              <w:spacing w:line="257" w:lineRule="auto"/>
              <w:ind w:firstLine="0"/>
              <w:rPr>
                <w:rFonts w:eastAsia="Times New Roman" w:cs="Times New Roman"/>
                <w:color w:val="000000"/>
                <w:sz w:val="20"/>
                <w:szCs w:val="20"/>
              </w:rPr>
            </w:pPr>
            <w:r w:rsidRPr="00DF369E">
              <w:rPr>
                <w:rFonts w:eastAsia="Times New Roman" w:cs="Times New Roman"/>
                <w:color w:val="000000"/>
                <w:sz w:val="20"/>
                <w:szCs w:val="20"/>
              </w:rPr>
              <w:lastRenderedPageBreak/>
              <w:t>Os1.a Protejarea eficientă a valorilor naturale, peisagistice și culturale;</w:t>
            </w:r>
          </w:p>
          <w:p w14:paraId="31EA1010" w14:textId="77777777" w:rsidR="00670FD4" w:rsidRPr="00DF369E" w:rsidRDefault="00670FD4" w:rsidP="001925BA">
            <w:pPr>
              <w:spacing w:line="257" w:lineRule="auto"/>
              <w:ind w:firstLine="0"/>
              <w:rPr>
                <w:rFonts w:eastAsia="Times New Roman" w:cs="Times New Roman"/>
                <w:color w:val="000000"/>
                <w:sz w:val="20"/>
                <w:szCs w:val="20"/>
              </w:rPr>
            </w:pPr>
            <w:r w:rsidRPr="00DF369E">
              <w:rPr>
                <w:rFonts w:eastAsia="Times New Roman" w:cs="Times New Roman"/>
                <w:color w:val="000000"/>
                <w:sz w:val="20"/>
                <w:szCs w:val="20"/>
              </w:rPr>
              <w:t>Os6.b Creșterea gradului de conștientizare cu privire la necesitatea de a păstra și îmbunătăți resursele zonei de coastă;</w:t>
            </w:r>
          </w:p>
          <w:p w14:paraId="7B770622" w14:textId="77777777" w:rsidR="00670FD4" w:rsidRDefault="00670FD4" w:rsidP="001925BA">
            <w:pPr>
              <w:spacing w:line="257" w:lineRule="auto"/>
              <w:ind w:firstLine="0"/>
              <w:rPr>
                <w:rFonts w:eastAsia="Times New Roman" w:cs="Times New Roman"/>
                <w:color w:val="000000"/>
                <w:sz w:val="20"/>
                <w:szCs w:val="20"/>
              </w:rPr>
            </w:pPr>
            <w:r w:rsidRPr="00DF369E">
              <w:rPr>
                <w:rFonts w:eastAsia="Times New Roman" w:cs="Times New Roman"/>
                <w:color w:val="000000"/>
                <w:sz w:val="20"/>
                <w:szCs w:val="20"/>
              </w:rPr>
              <w:t>Os6.c Implicarea cetățenilor în monitorizarea stării de sănătate a mediului costier (Citizen-science)</w:t>
            </w: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20333BC4" w14:textId="77777777" w:rsidR="00670FD4" w:rsidRDefault="00670FD4" w:rsidP="001925BA">
            <w:pPr>
              <w:spacing w:after="0" w:line="257" w:lineRule="auto"/>
              <w:ind w:firstLine="0"/>
              <w:rPr>
                <w:rFonts w:eastAsia="Times New Roman" w:cs="Times New Roman"/>
                <w:color w:val="000000"/>
                <w:sz w:val="20"/>
                <w:szCs w:val="20"/>
              </w:rPr>
            </w:pPr>
            <w:r>
              <w:rPr>
                <w:rFonts w:eastAsia="Times New Roman" w:cs="Times New Roman"/>
                <w:color w:val="000000"/>
                <w:sz w:val="20"/>
                <w:szCs w:val="20"/>
              </w:rPr>
              <w:lastRenderedPageBreak/>
              <w:t>A 4.5.1 Realizarea de campanii de conștientizare a impactului negativ al activității de exploatare a calcarelor și șisturilor verzi în rândul operatorilor economici, administrației publice și altor factori interesați locali</w:t>
            </w:r>
          </w:p>
        </w:tc>
        <w:tc>
          <w:tcPr>
            <w:tcW w:w="1277"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688899F4" w14:textId="77777777" w:rsidR="00670FD4" w:rsidRDefault="00670FD4" w:rsidP="001925BA">
            <w:pPr>
              <w:ind w:firstLine="0"/>
              <w:rPr>
                <w:rFonts w:eastAsia="Times New Roman" w:cs="Times New Roman"/>
                <w:color w:val="000000"/>
              </w:rPr>
            </w:pPr>
            <w:r>
              <w:rPr>
                <w:rFonts w:eastAsia="Times New Roman" w:cs="Times New Roman"/>
                <w:color w:val="000000"/>
              </w:rPr>
              <w:t>Medie</w:t>
            </w:r>
          </w:p>
        </w:tc>
        <w:tc>
          <w:tcPr>
            <w:tcW w:w="1418"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5B8717FB" w14:textId="77777777" w:rsidR="00670FD4" w:rsidRPr="00473248" w:rsidRDefault="00670FD4" w:rsidP="001925BA">
            <w:pPr>
              <w:ind w:firstLine="0"/>
              <w:rPr>
                <w:rFonts w:eastAsia="Times New Roman" w:cs="Times New Roman"/>
                <w:color w:val="000000"/>
                <w:sz w:val="20"/>
                <w:szCs w:val="20"/>
              </w:rPr>
            </w:pPr>
            <w:r w:rsidRPr="00473248">
              <w:rPr>
                <w:rFonts w:eastAsia="Times New Roman" w:cs="Times New Roman"/>
                <w:color w:val="000000"/>
                <w:sz w:val="20"/>
                <w:szCs w:val="20"/>
              </w:rPr>
              <w:t>2040</w:t>
            </w:r>
          </w:p>
        </w:tc>
        <w:tc>
          <w:tcPr>
            <w:tcW w:w="1419"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68AFD910" w14:textId="77777777" w:rsidR="00670FD4" w:rsidRDefault="00670FD4" w:rsidP="001925BA">
            <w:pPr>
              <w:ind w:firstLine="51"/>
              <w:rPr>
                <w:rFonts w:eastAsia="Times New Roman" w:cs="Times New Roman"/>
                <w:color w:val="000000"/>
                <w:sz w:val="20"/>
                <w:szCs w:val="20"/>
              </w:rPr>
            </w:pPr>
            <w:r>
              <w:rPr>
                <w:rFonts w:eastAsia="Times New Roman" w:cs="Times New Roman"/>
                <w:color w:val="000000"/>
                <w:sz w:val="20"/>
                <w:szCs w:val="20"/>
              </w:rPr>
              <w:t>MMAP, MT</w:t>
            </w:r>
          </w:p>
        </w:tc>
        <w:tc>
          <w:tcPr>
            <w:tcW w:w="1702" w:type="dxa"/>
            <w:vMerge w:val="restart"/>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3D2735B2" w14:textId="77777777" w:rsidR="00670FD4" w:rsidRDefault="00670FD4" w:rsidP="001925BA">
            <w:pPr>
              <w:ind w:firstLine="0"/>
              <w:rPr>
                <w:rFonts w:eastAsia="Times New Roman" w:cs="Times New Roman"/>
              </w:rPr>
            </w:pPr>
          </w:p>
          <w:p w14:paraId="2443C34F" w14:textId="77777777" w:rsidR="00670FD4" w:rsidRDefault="00670FD4" w:rsidP="001925BA">
            <w:pPr>
              <w:ind w:firstLine="0"/>
              <w:rPr>
                <w:rFonts w:eastAsia="Times New Roman" w:cs="Times New Roman"/>
              </w:rPr>
            </w:pPr>
          </w:p>
          <w:p w14:paraId="56A878C7" w14:textId="77777777" w:rsidR="00670FD4" w:rsidRDefault="00670FD4" w:rsidP="001925BA">
            <w:pPr>
              <w:ind w:firstLine="0"/>
              <w:rPr>
                <w:rFonts w:eastAsia="Times New Roman" w:cs="Times New Roman"/>
              </w:rPr>
            </w:pPr>
          </w:p>
          <w:p w14:paraId="182E4449" w14:textId="77777777" w:rsidR="00670FD4" w:rsidRDefault="00670FD4" w:rsidP="001925BA">
            <w:pPr>
              <w:ind w:firstLine="0"/>
              <w:rPr>
                <w:rFonts w:eastAsia="Times New Roman" w:cs="Times New Roman"/>
              </w:rPr>
            </w:pPr>
          </w:p>
          <w:p w14:paraId="41FE5DC4" w14:textId="77777777" w:rsidR="00670FD4" w:rsidRDefault="00670FD4" w:rsidP="001925BA">
            <w:pPr>
              <w:ind w:firstLine="0"/>
              <w:rPr>
                <w:rFonts w:eastAsia="Times New Roman" w:cs="Times New Roman"/>
              </w:rPr>
            </w:pPr>
            <w:r>
              <w:rPr>
                <w:rFonts w:eastAsia="Times New Roman" w:cs="Times New Roman"/>
                <w:sz w:val="20"/>
                <w:szCs w:val="20"/>
              </w:rPr>
              <w:t xml:space="preserve">Programul Regional Sud-Est, </w:t>
            </w:r>
            <w:r>
              <w:rPr>
                <w:rFonts w:eastAsia="Times New Roman" w:cs="Times New Roman"/>
                <w:sz w:val="20"/>
                <w:szCs w:val="20"/>
              </w:rPr>
              <w:lastRenderedPageBreak/>
              <w:t>Programul de Dezvoltare Durabilă, Programul InvestEU, LIFE, PNCDI IV, fonduri proprii ale MMAP, MT, MEAT</w:t>
            </w:r>
          </w:p>
        </w:tc>
      </w:tr>
      <w:tr w:rsidR="00670FD4" w14:paraId="42E034CB" w14:textId="77777777" w:rsidTr="001925BA">
        <w:trPr>
          <w:trHeight w:val="444"/>
        </w:trPr>
        <w:tc>
          <w:tcPr>
            <w:tcW w:w="2164" w:type="dxa"/>
            <w:vMerge/>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3AEDC0AC" w14:textId="77777777" w:rsidR="00670FD4" w:rsidRDefault="00670FD4" w:rsidP="001925BA">
            <w:pPr>
              <w:widowControl w:val="0"/>
              <w:pBdr>
                <w:top w:val="nil"/>
                <w:left w:val="nil"/>
                <w:bottom w:val="nil"/>
                <w:right w:val="nil"/>
                <w:between w:val="nil"/>
              </w:pBdr>
              <w:spacing w:after="0"/>
              <w:rPr>
                <w:rFonts w:eastAsia="Times New Roman" w:cs="Times New Roman"/>
              </w:rPr>
            </w:pPr>
          </w:p>
        </w:tc>
        <w:tc>
          <w:tcPr>
            <w:tcW w:w="1845" w:type="dxa"/>
            <w:vMerge/>
            <w:tcBorders>
              <w:top w:val="single" w:sz="4" w:space="0" w:color="auto"/>
              <w:left w:val="single" w:sz="4" w:space="0" w:color="auto"/>
              <w:right w:val="single" w:sz="4" w:space="0" w:color="auto"/>
            </w:tcBorders>
          </w:tcPr>
          <w:p w14:paraId="4E054B31" w14:textId="77777777" w:rsidR="00670FD4" w:rsidRDefault="00670FD4" w:rsidP="001925BA">
            <w:pPr>
              <w:spacing w:after="0" w:line="257" w:lineRule="auto"/>
              <w:rPr>
                <w:rFonts w:eastAsia="Times New Roman" w:cs="Times New Roman"/>
                <w:color w:val="000000"/>
                <w:sz w:val="20"/>
                <w:szCs w:val="20"/>
              </w:rPr>
            </w:pPr>
          </w:p>
        </w:tc>
        <w:tc>
          <w:tcPr>
            <w:tcW w:w="4254"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3C22864B" w14:textId="77777777" w:rsidR="00670FD4" w:rsidRDefault="00670FD4" w:rsidP="001925BA">
            <w:pPr>
              <w:spacing w:after="0" w:line="257" w:lineRule="auto"/>
              <w:ind w:firstLine="0"/>
              <w:rPr>
                <w:rFonts w:eastAsia="Times New Roman" w:cs="Times New Roman"/>
                <w:color w:val="000000"/>
                <w:sz w:val="20"/>
                <w:szCs w:val="20"/>
              </w:rPr>
            </w:pPr>
            <w:r>
              <w:rPr>
                <w:rFonts w:eastAsia="Times New Roman" w:cs="Times New Roman"/>
                <w:color w:val="000000"/>
                <w:sz w:val="20"/>
                <w:szCs w:val="20"/>
              </w:rPr>
              <w:t>A 4.5.2 Realizarea de campanii de conștientizare și atragerea a publicului în acțiuni de monitorizare a sitului;</w:t>
            </w:r>
          </w:p>
        </w:tc>
        <w:tc>
          <w:tcPr>
            <w:tcW w:w="1277"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386CFE1" w14:textId="77777777" w:rsidR="00670FD4" w:rsidRPr="002508D3" w:rsidRDefault="00670FD4" w:rsidP="001925BA">
            <w:pPr>
              <w:ind w:firstLine="0"/>
              <w:rPr>
                <w:rFonts w:eastAsia="Times New Roman" w:cs="Times New Roman"/>
                <w:color w:val="000000"/>
                <w:sz w:val="22"/>
              </w:rPr>
            </w:pPr>
            <w:r w:rsidRPr="002508D3">
              <w:rPr>
                <w:rFonts w:eastAsia="Times New Roman" w:cs="Times New Roman"/>
                <w:color w:val="000000"/>
                <w:sz w:val="22"/>
              </w:rPr>
              <w:t>Medie</w:t>
            </w:r>
          </w:p>
        </w:tc>
        <w:tc>
          <w:tcPr>
            <w:tcW w:w="1418"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5E19C0B" w14:textId="77777777" w:rsidR="00670FD4" w:rsidRPr="00473248" w:rsidRDefault="00670FD4" w:rsidP="001925BA">
            <w:pPr>
              <w:ind w:firstLine="0"/>
              <w:rPr>
                <w:rFonts w:eastAsia="Times New Roman" w:cs="Times New Roman"/>
                <w:color w:val="000000"/>
                <w:sz w:val="20"/>
                <w:szCs w:val="20"/>
              </w:rPr>
            </w:pPr>
            <w:r w:rsidRPr="00473248">
              <w:rPr>
                <w:rFonts w:eastAsia="Times New Roman" w:cs="Times New Roman"/>
                <w:color w:val="000000"/>
                <w:sz w:val="20"/>
                <w:szCs w:val="20"/>
              </w:rPr>
              <w:t>2040</w:t>
            </w:r>
          </w:p>
        </w:tc>
        <w:tc>
          <w:tcPr>
            <w:tcW w:w="1419"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B2C1968" w14:textId="77777777" w:rsidR="00670FD4" w:rsidRDefault="00670FD4" w:rsidP="001925BA">
            <w:pPr>
              <w:ind w:firstLine="51"/>
              <w:rPr>
                <w:rFonts w:eastAsia="Times New Roman" w:cs="Times New Roman"/>
                <w:color w:val="000000"/>
                <w:sz w:val="20"/>
                <w:szCs w:val="20"/>
              </w:rPr>
            </w:pPr>
            <w:r>
              <w:rPr>
                <w:rFonts w:eastAsia="Times New Roman" w:cs="Times New Roman"/>
                <w:color w:val="000000"/>
                <w:sz w:val="20"/>
                <w:szCs w:val="20"/>
              </w:rPr>
              <w:t>MMAP</w:t>
            </w:r>
          </w:p>
        </w:tc>
        <w:tc>
          <w:tcPr>
            <w:tcW w:w="1702" w:type="dxa"/>
            <w:vMerge/>
            <w:tcBorders>
              <w:top w:val="single" w:sz="4" w:space="0" w:color="auto"/>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55D7623A" w14:textId="77777777" w:rsidR="00670FD4" w:rsidRDefault="00670FD4" w:rsidP="001925BA">
            <w:pPr>
              <w:widowControl w:val="0"/>
              <w:pBdr>
                <w:top w:val="nil"/>
                <w:left w:val="nil"/>
                <w:bottom w:val="nil"/>
                <w:right w:val="nil"/>
                <w:between w:val="nil"/>
              </w:pBdr>
              <w:spacing w:after="0"/>
              <w:rPr>
                <w:rFonts w:eastAsia="Times New Roman" w:cs="Times New Roman"/>
                <w:color w:val="000000"/>
                <w:sz w:val="20"/>
                <w:szCs w:val="20"/>
              </w:rPr>
            </w:pPr>
          </w:p>
        </w:tc>
      </w:tr>
      <w:tr w:rsidR="00670FD4" w14:paraId="5515E019" w14:textId="77777777" w:rsidTr="001925BA">
        <w:trPr>
          <w:trHeight w:val="1830"/>
        </w:trPr>
        <w:tc>
          <w:tcPr>
            <w:tcW w:w="2164"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2E5634E7" w14:textId="77777777" w:rsidR="00670FD4" w:rsidRDefault="00670FD4" w:rsidP="001925BA">
            <w:pPr>
              <w:widowControl w:val="0"/>
              <w:pBdr>
                <w:top w:val="nil"/>
                <w:left w:val="nil"/>
                <w:bottom w:val="nil"/>
                <w:right w:val="nil"/>
                <w:between w:val="nil"/>
              </w:pBdr>
              <w:spacing w:after="0"/>
              <w:rPr>
                <w:rFonts w:eastAsia="Times New Roman" w:cs="Times New Roman"/>
                <w:color w:val="000000"/>
                <w:sz w:val="20"/>
                <w:szCs w:val="20"/>
              </w:rPr>
            </w:pPr>
          </w:p>
        </w:tc>
        <w:tc>
          <w:tcPr>
            <w:tcW w:w="1845" w:type="dxa"/>
            <w:vMerge/>
            <w:tcBorders>
              <w:left w:val="single" w:sz="4" w:space="0" w:color="auto"/>
              <w:right w:val="single" w:sz="4" w:space="0" w:color="auto"/>
            </w:tcBorders>
          </w:tcPr>
          <w:p w14:paraId="3C383DA3" w14:textId="77777777" w:rsidR="00670FD4" w:rsidRDefault="00670FD4" w:rsidP="001925BA">
            <w:pPr>
              <w:spacing w:after="0" w:line="257" w:lineRule="auto"/>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54A16723" w14:textId="77777777" w:rsidR="00670FD4" w:rsidRDefault="00670FD4" w:rsidP="001925BA">
            <w:pPr>
              <w:spacing w:after="0" w:line="257" w:lineRule="auto"/>
              <w:ind w:firstLine="0"/>
              <w:rPr>
                <w:rFonts w:eastAsia="Times New Roman" w:cs="Times New Roman"/>
                <w:color w:val="000000"/>
                <w:sz w:val="20"/>
                <w:szCs w:val="20"/>
              </w:rPr>
            </w:pPr>
            <w:r>
              <w:rPr>
                <w:rFonts w:eastAsia="Times New Roman" w:cs="Times New Roman"/>
                <w:color w:val="000000"/>
                <w:sz w:val="20"/>
                <w:szCs w:val="20"/>
              </w:rPr>
              <w:t>A 4.5.3 Inițierea și implementarea de proiecte de dezvoltare a infrastructurii verzi (perdele forestiere, ecrane de protecție împotriva zgomotului, reciclarea materialelor reziduale - resturi de piatră, etc.) pentru reducerea poluării generate de activitatea de minerit și activitățile conexe (transport)</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EFE8A26" w14:textId="77777777" w:rsidR="00670FD4" w:rsidRPr="002508D3" w:rsidRDefault="00670FD4" w:rsidP="001925BA">
            <w:pPr>
              <w:ind w:firstLine="0"/>
              <w:rPr>
                <w:rFonts w:eastAsia="Times New Roman" w:cs="Times New Roman"/>
                <w:color w:val="000000"/>
                <w:sz w:val="22"/>
              </w:rPr>
            </w:pPr>
            <w:r w:rsidRPr="002508D3">
              <w:rPr>
                <w:rFonts w:eastAsia="Times New Roman" w:cs="Times New Roman"/>
                <w:color w:val="000000"/>
                <w:sz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606A4E1" w14:textId="77777777" w:rsidR="00670FD4" w:rsidRPr="00473248" w:rsidRDefault="00670FD4" w:rsidP="001925BA">
            <w:pPr>
              <w:ind w:firstLine="0"/>
              <w:rPr>
                <w:rFonts w:eastAsia="Times New Roman" w:cs="Times New Roman"/>
                <w:color w:val="000000"/>
                <w:sz w:val="20"/>
                <w:szCs w:val="20"/>
              </w:rPr>
            </w:pPr>
            <w:r w:rsidRPr="00473248">
              <w:rPr>
                <w:rFonts w:eastAsia="Times New Roman" w:cs="Times New Roman"/>
                <w:color w:val="000000"/>
                <w:sz w:val="20"/>
                <w:szCs w:val="20"/>
              </w:rPr>
              <w:t>2040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7F013BF" w14:textId="77777777" w:rsidR="00670FD4" w:rsidRDefault="00670FD4" w:rsidP="001925BA">
            <w:pPr>
              <w:spacing w:after="0" w:line="257" w:lineRule="auto"/>
              <w:ind w:firstLine="51"/>
              <w:rPr>
                <w:rFonts w:eastAsia="Times New Roman" w:cs="Times New Roman"/>
                <w:color w:val="000000"/>
                <w:sz w:val="20"/>
                <w:szCs w:val="20"/>
              </w:rPr>
            </w:pPr>
            <w:r>
              <w:rPr>
                <w:rFonts w:eastAsia="Times New Roman" w:cs="Times New Roman"/>
                <w:color w:val="000000"/>
                <w:sz w:val="20"/>
                <w:szCs w:val="20"/>
              </w:rPr>
              <w:t>MMAP, MT, MCID (INCD-uri) și ME (departamente de cercetare din universități)</w:t>
            </w:r>
          </w:p>
        </w:tc>
        <w:tc>
          <w:tcPr>
            <w:tcW w:w="1702" w:type="dxa"/>
            <w:vMerge/>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70324F37" w14:textId="77777777" w:rsidR="00670FD4" w:rsidRDefault="00670FD4" w:rsidP="001925BA">
            <w:pPr>
              <w:widowControl w:val="0"/>
              <w:pBdr>
                <w:top w:val="nil"/>
                <w:left w:val="nil"/>
                <w:bottom w:val="nil"/>
                <w:right w:val="nil"/>
                <w:between w:val="nil"/>
              </w:pBdr>
              <w:spacing w:after="0"/>
              <w:rPr>
                <w:rFonts w:eastAsia="Times New Roman" w:cs="Times New Roman"/>
                <w:color w:val="000000"/>
                <w:sz w:val="20"/>
                <w:szCs w:val="20"/>
              </w:rPr>
            </w:pPr>
          </w:p>
        </w:tc>
      </w:tr>
      <w:tr w:rsidR="00670FD4" w14:paraId="1DA1F55F" w14:textId="77777777" w:rsidTr="001925BA">
        <w:trPr>
          <w:trHeight w:val="1929"/>
        </w:trPr>
        <w:tc>
          <w:tcPr>
            <w:tcW w:w="2164"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4343074F" w14:textId="77777777" w:rsidR="00670FD4" w:rsidRDefault="00670FD4" w:rsidP="001925BA">
            <w:pPr>
              <w:widowControl w:val="0"/>
              <w:pBdr>
                <w:top w:val="nil"/>
                <w:left w:val="nil"/>
                <w:bottom w:val="nil"/>
                <w:right w:val="nil"/>
                <w:between w:val="nil"/>
              </w:pBdr>
              <w:spacing w:after="0"/>
              <w:rPr>
                <w:rFonts w:eastAsia="Times New Roman" w:cs="Times New Roman"/>
                <w:color w:val="000000"/>
                <w:sz w:val="20"/>
                <w:szCs w:val="20"/>
              </w:rPr>
            </w:pPr>
          </w:p>
        </w:tc>
        <w:tc>
          <w:tcPr>
            <w:tcW w:w="1845" w:type="dxa"/>
            <w:vMerge/>
            <w:tcBorders>
              <w:left w:val="single" w:sz="4" w:space="0" w:color="auto"/>
              <w:bottom w:val="single" w:sz="4" w:space="0" w:color="auto"/>
              <w:right w:val="single" w:sz="4" w:space="0" w:color="auto"/>
            </w:tcBorders>
          </w:tcPr>
          <w:p w14:paraId="7D7C2E92" w14:textId="77777777" w:rsidR="00670FD4" w:rsidRDefault="00670FD4" w:rsidP="001925BA">
            <w:pPr>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2013A52E" w14:textId="77777777" w:rsidR="00670FD4" w:rsidRDefault="00670FD4" w:rsidP="001925BA">
            <w:pPr>
              <w:ind w:firstLine="0"/>
              <w:rPr>
                <w:rFonts w:eastAsia="Times New Roman" w:cs="Times New Roman"/>
                <w:color w:val="000000"/>
                <w:sz w:val="20"/>
                <w:szCs w:val="20"/>
              </w:rPr>
            </w:pPr>
            <w:r>
              <w:rPr>
                <w:rFonts w:eastAsia="Times New Roman" w:cs="Times New Roman"/>
                <w:color w:val="000000"/>
                <w:sz w:val="20"/>
                <w:szCs w:val="20"/>
              </w:rPr>
              <w:t xml:space="preserve">A 4.5.4 Testarea și definirea metodelor de pregătire a infrastructurii fizice a carierei în timpul proceselor de exploatare, pentru a facilita stabilirea planurilor de refacere care să crească serviciile ecosistemice și biodiversitatea în perioada </w:t>
            </w:r>
            <w:sdt>
              <w:sdtPr>
                <w:tag w:val="goog_rdk_55"/>
                <w:id w:val="-686288460"/>
              </w:sdtPr>
              <w:sdtContent>
                <w:r>
                  <w:rPr>
                    <w:rFonts w:eastAsia="Times New Roman" w:cs="Times New Roman"/>
                    <w:color w:val="000000"/>
                    <w:sz w:val="20"/>
                    <w:szCs w:val="20"/>
                  </w:rPr>
                  <w:t>post-exploatare</w:t>
                </w:r>
              </w:sdtContent>
            </w:sdt>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CB49F38" w14:textId="77777777" w:rsidR="00670FD4" w:rsidRDefault="00670FD4" w:rsidP="001925BA">
            <w:pPr>
              <w:ind w:firstLine="0"/>
              <w:rPr>
                <w:rFonts w:eastAsia="Times New Roman" w:cs="Times New Roman"/>
                <w:color w:val="000000"/>
              </w:rPr>
            </w:pPr>
            <w:r w:rsidRPr="002508D3">
              <w:rPr>
                <w:rFonts w:eastAsia="Times New Roman" w:cs="Times New Roman"/>
                <w:color w:val="000000"/>
                <w:sz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84CE217" w14:textId="77777777" w:rsidR="00670FD4" w:rsidRPr="00473248" w:rsidRDefault="00670FD4" w:rsidP="001925BA">
            <w:pPr>
              <w:ind w:firstLine="0"/>
              <w:rPr>
                <w:rFonts w:eastAsia="Times New Roman" w:cs="Times New Roman"/>
                <w:color w:val="000000"/>
                <w:sz w:val="20"/>
                <w:szCs w:val="20"/>
              </w:rPr>
            </w:pPr>
            <w:r w:rsidRPr="00473248">
              <w:rPr>
                <w:rFonts w:eastAsia="Times New Roman" w:cs="Times New Roman"/>
                <w:color w:val="000000"/>
                <w:sz w:val="20"/>
                <w:szCs w:val="20"/>
              </w:rPr>
              <w:t>2040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88A4F6B" w14:textId="77777777" w:rsidR="00670FD4" w:rsidRDefault="00670FD4" w:rsidP="001925BA">
            <w:pPr>
              <w:spacing w:after="0" w:line="257" w:lineRule="auto"/>
              <w:ind w:firstLine="51"/>
              <w:rPr>
                <w:rFonts w:eastAsia="Times New Roman" w:cs="Times New Roman"/>
                <w:color w:val="000000"/>
                <w:sz w:val="20"/>
                <w:szCs w:val="20"/>
              </w:rPr>
            </w:pPr>
            <w:r>
              <w:rPr>
                <w:rFonts w:eastAsia="Times New Roman" w:cs="Times New Roman"/>
                <w:color w:val="000000"/>
                <w:sz w:val="20"/>
                <w:szCs w:val="20"/>
              </w:rPr>
              <w:t>MMAP, MCID (INCD-uri) și ME (departamente de cercetare din universități)</w:t>
            </w:r>
          </w:p>
        </w:tc>
        <w:tc>
          <w:tcPr>
            <w:tcW w:w="1702" w:type="dxa"/>
            <w:vMerge/>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5D158526" w14:textId="77777777" w:rsidR="00670FD4" w:rsidRDefault="00670FD4" w:rsidP="001925BA">
            <w:pPr>
              <w:widowControl w:val="0"/>
              <w:pBdr>
                <w:top w:val="nil"/>
                <w:left w:val="nil"/>
                <w:bottom w:val="nil"/>
                <w:right w:val="nil"/>
                <w:between w:val="nil"/>
              </w:pBdr>
              <w:spacing w:after="0"/>
              <w:rPr>
                <w:rFonts w:eastAsia="Times New Roman" w:cs="Times New Roman"/>
                <w:color w:val="000000"/>
                <w:sz w:val="20"/>
                <w:szCs w:val="20"/>
              </w:rPr>
            </w:pPr>
          </w:p>
        </w:tc>
      </w:tr>
    </w:tbl>
    <w:p w14:paraId="694F0CEF" w14:textId="77777777" w:rsidR="00670FD4" w:rsidRDefault="00670FD4" w:rsidP="00670FD4">
      <w:pPr>
        <w:rPr>
          <w:rFonts w:eastAsia="Times New Roman" w:cs="Times New Roman"/>
        </w:rPr>
      </w:pPr>
    </w:p>
    <w:p w14:paraId="18B01B59" w14:textId="77777777" w:rsidR="00670FD4" w:rsidRDefault="00670FD4" w:rsidP="00670FD4">
      <w:pPr>
        <w:spacing w:before="0"/>
        <w:rPr>
          <w:rFonts w:eastAsia="Times New Roman" w:cs="Times New Roman"/>
        </w:rPr>
      </w:pPr>
      <w:r>
        <w:rPr>
          <w:rFonts w:eastAsia="Times New Roman" w:cs="Times New Roman"/>
        </w:rPr>
        <w:t>Activitățile ce se vor realiza în vederea implementării p</w:t>
      </w:r>
      <w:r w:rsidRPr="00DD49F4">
        <w:rPr>
          <w:rFonts w:eastAsia="Times New Roman" w:cs="Times New Roman"/>
        </w:rPr>
        <w:t>rogramului de</w:t>
      </w:r>
      <w:r>
        <w:rPr>
          <w:rFonts w:eastAsia="Times New Roman" w:cs="Times New Roman"/>
          <w:b/>
          <w:i/>
        </w:rPr>
        <w:t xml:space="preserve"> Măsuri pentru remedierea poluării</w:t>
      </w:r>
      <w:r>
        <w:rPr>
          <w:rFonts w:eastAsia="Times New Roman" w:cs="Times New Roman"/>
        </w:rPr>
        <w:t xml:space="preserve"> sunt prezentate în Tabelul de mai jos, unde sunt indicate termenele de implementare, organizațiile responsabile pentru realizarea activităților, și implicit implementarea măsurilor, precum și posibilele surse de finanțare.</w:t>
      </w:r>
    </w:p>
    <w:tbl>
      <w:tblPr>
        <w:tblW w:w="14056" w:type="dxa"/>
        <w:tblInd w:w="-22" w:type="dxa"/>
        <w:tblBorders>
          <w:top w:val="nil"/>
          <w:left w:val="nil"/>
          <w:bottom w:val="nil"/>
          <w:right w:val="nil"/>
          <w:insideH w:val="nil"/>
          <w:insideV w:val="nil"/>
        </w:tblBorders>
        <w:tblLayout w:type="fixed"/>
        <w:tblLook w:val="0600" w:firstRow="0" w:lastRow="0" w:firstColumn="0" w:lastColumn="0" w:noHBand="1" w:noVBand="1"/>
      </w:tblPr>
      <w:tblGrid>
        <w:gridCol w:w="1892"/>
        <w:gridCol w:w="2109"/>
        <w:gridCol w:w="4251"/>
        <w:gridCol w:w="1274"/>
        <w:gridCol w:w="1415"/>
        <w:gridCol w:w="1416"/>
        <w:gridCol w:w="1699"/>
      </w:tblGrid>
      <w:tr w:rsidR="00670FD4" w14:paraId="25A0258A" w14:textId="77777777" w:rsidTr="001925BA">
        <w:trPr>
          <w:trHeight w:val="570"/>
        </w:trPr>
        <w:tc>
          <w:tcPr>
            <w:tcW w:w="1892" w:type="dxa"/>
            <w:tcBorders>
              <w:top w:val="single" w:sz="5" w:space="0" w:color="000000"/>
              <w:left w:val="single" w:sz="5" w:space="0" w:color="000000"/>
              <w:bottom w:val="single" w:sz="5" w:space="0" w:color="000000"/>
              <w:right w:val="single" w:sz="4" w:space="0" w:color="auto"/>
            </w:tcBorders>
            <w:tcMar>
              <w:top w:w="0" w:type="dxa"/>
              <w:left w:w="100" w:type="dxa"/>
              <w:bottom w:w="0" w:type="dxa"/>
              <w:right w:w="100" w:type="dxa"/>
            </w:tcMar>
          </w:tcPr>
          <w:p w14:paraId="3715D5BD" w14:textId="77777777" w:rsidR="00670FD4" w:rsidRDefault="00670FD4" w:rsidP="001925BA">
            <w:pPr>
              <w:spacing w:after="0" w:line="240" w:lineRule="auto"/>
              <w:ind w:firstLine="0"/>
              <w:rPr>
                <w:rFonts w:eastAsia="Times New Roman" w:cs="Times New Roman"/>
                <w:sz w:val="20"/>
                <w:szCs w:val="20"/>
              </w:rPr>
            </w:pPr>
            <w:bookmarkStart w:id="149" w:name="_heading=h.43ky6rz" w:colFirst="0" w:colLast="0"/>
            <w:bookmarkEnd w:id="149"/>
            <w:r>
              <w:rPr>
                <w:rFonts w:eastAsia="Times New Roman" w:cs="Times New Roman"/>
                <w:sz w:val="20"/>
                <w:szCs w:val="20"/>
              </w:rPr>
              <w:t>Măsură</w:t>
            </w:r>
          </w:p>
        </w:tc>
        <w:tc>
          <w:tcPr>
            <w:tcW w:w="2109" w:type="dxa"/>
            <w:tcBorders>
              <w:top w:val="single" w:sz="4" w:space="0" w:color="auto"/>
              <w:left w:val="single" w:sz="4" w:space="0" w:color="auto"/>
              <w:bottom w:val="single" w:sz="4" w:space="0" w:color="auto"/>
              <w:right w:val="single" w:sz="4" w:space="0" w:color="auto"/>
            </w:tcBorders>
          </w:tcPr>
          <w:p w14:paraId="5BB5742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Obiective vizate</w:t>
            </w:r>
          </w:p>
        </w:tc>
        <w:tc>
          <w:tcPr>
            <w:tcW w:w="4251" w:type="dxa"/>
            <w:tcBorders>
              <w:top w:val="single" w:sz="5" w:space="0" w:color="000000"/>
              <w:left w:val="single" w:sz="4" w:space="0" w:color="auto"/>
              <w:bottom w:val="single" w:sz="5" w:space="0" w:color="000000"/>
              <w:right w:val="single" w:sz="5" w:space="0" w:color="000000"/>
            </w:tcBorders>
            <w:tcMar>
              <w:top w:w="0" w:type="dxa"/>
              <w:left w:w="100" w:type="dxa"/>
              <w:bottom w:w="0" w:type="dxa"/>
              <w:right w:w="100" w:type="dxa"/>
            </w:tcMar>
          </w:tcPr>
          <w:p w14:paraId="5B36A4E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Activitate</w:t>
            </w:r>
          </w:p>
        </w:tc>
        <w:tc>
          <w:tcPr>
            <w:tcW w:w="1274"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5A605754" w14:textId="77777777" w:rsidR="00670FD4" w:rsidRDefault="00670FD4" w:rsidP="001925BA">
            <w:pPr>
              <w:spacing w:after="0" w:line="240" w:lineRule="auto"/>
              <w:ind w:firstLine="26"/>
              <w:rPr>
                <w:rFonts w:eastAsia="Times New Roman" w:cs="Times New Roman"/>
                <w:sz w:val="20"/>
                <w:szCs w:val="20"/>
              </w:rPr>
            </w:pPr>
            <w:r>
              <w:rPr>
                <w:rFonts w:eastAsia="Times New Roman" w:cs="Times New Roman"/>
                <w:sz w:val="20"/>
                <w:szCs w:val="20"/>
              </w:rPr>
              <w:t>Prioritate</w:t>
            </w:r>
          </w:p>
        </w:tc>
        <w:tc>
          <w:tcPr>
            <w:tcW w:w="141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3D031A91" w14:textId="77777777" w:rsidR="00670FD4" w:rsidRDefault="00670FD4" w:rsidP="001925BA">
            <w:pPr>
              <w:spacing w:after="0" w:line="240" w:lineRule="auto"/>
              <w:ind w:firstLine="27"/>
              <w:rPr>
                <w:rFonts w:eastAsia="Times New Roman" w:cs="Times New Roman"/>
                <w:sz w:val="20"/>
                <w:szCs w:val="20"/>
              </w:rPr>
            </w:pPr>
            <w:r>
              <w:rPr>
                <w:rFonts w:eastAsia="Times New Roman" w:cs="Times New Roman"/>
                <w:sz w:val="20"/>
                <w:szCs w:val="20"/>
              </w:rPr>
              <w:t>Termen de implementare</w:t>
            </w:r>
          </w:p>
        </w:tc>
        <w:tc>
          <w:tcPr>
            <w:tcW w:w="1416"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3B1EF97A" w14:textId="77777777" w:rsidR="00670FD4" w:rsidRDefault="00670FD4" w:rsidP="001925BA">
            <w:pPr>
              <w:spacing w:after="0" w:line="240" w:lineRule="auto"/>
              <w:ind w:firstLine="30"/>
              <w:rPr>
                <w:rFonts w:eastAsia="Times New Roman" w:cs="Times New Roman"/>
                <w:sz w:val="20"/>
                <w:szCs w:val="20"/>
              </w:rPr>
            </w:pPr>
            <w:r>
              <w:rPr>
                <w:rFonts w:eastAsia="Times New Roman" w:cs="Times New Roman"/>
                <w:sz w:val="20"/>
                <w:szCs w:val="20"/>
              </w:rPr>
              <w:t>Instituții responsabile</w:t>
            </w:r>
          </w:p>
        </w:tc>
        <w:tc>
          <w:tcPr>
            <w:tcW w:w="1699"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2E559E2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Finanțare</w:t>
            </w:r>
          </w:p>
        </w:tc>
      </w:tr>
      <w:tr w:rsidR="00670FD4" w14:paraId="5F9EF1C8" w14:textId="77777777" w:rsidTr="001925BA">
        <w:trPr>
          <w:trHeight w:val="420"/>
        </w:trPr>
        <w:tc>
          <w:tcPr>
            <w:tcW w:w="1892" w:type="dxa"/>
            <w:vMerge w:val="restart"/>
            <w:tcBorders>
              <w:top w:val="nil"/>
              <w:left w:val="single" w:sz="5" w:space="0" w:color="000000"/>
              <w:bottom w:val="single" w:sz="5" w:space="0" w:color="000000"/>
              <w:right w:val="single" w:sz="4" w:space="0" w:color="auto"/>
            </w:tcBorders>
            <w:shd w:val="clear" w:color="auto" w:fill="auto"/>
            <w:tcMar>
              <w:top w:w="100" w:type="dxa"/>
              <w:left w:w="100" w:type="dxa"/>
              <w:bottom w:w="100" w:type="dxa"/>
              <w:right w:w="100" w:type="dxa"/>
            </w:tcMar>
          </w:tcPr>
          <w:p w14:paraId="0BCCF8E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 xml:space="preserve">M5.1 Gestionarea siturilor contaminate și potențial contaminate din zona costieră </w:t>
            </w:r>
          </w:p>
          <w:p w14:paraId="51755A42" w14:textId="77777777" w:rsidR="00670FD4" w:rsidRDefault="00670FD4" w:rsidP="001925BA">
            <w:pPr>
              <w:spacing w:after="0" w:line="240" w:lineRule="auto"/>
              <w:ind w:firstLine="0"/>
              <w:rPr>
                <w:rFonts w:eastAsia="Times New Roman" w:cs="Times New Roman"/>
                <w:sz w:val="20"/>
                <w:szCs w:val="20"/>
              </w:rPr>
            </w:pPr>
          </w:p>
        </w:tc>
        <w:tc>
          <w:tcPr>
            <w:tcW w:w="2109" w:type="dxa"/>
            <w:vMerge w:val="restart"/>
            <w:tcBorders>
              <w:top w:val="single" w:sz="4" w:space="0" w:color="auto"/>
              <w:left w:val="single" w:sz="4" w:space="0" w:color="auto"/>
              <w:right w:val="single" w:sz="4" w:space="0" w:color="auto"/>
            </w:tcBorders>
          </w:tcPr>
          <w:p w14:paraId="1E14737D" w14:textId="77777777" w:rsidR="00670FD4" w:rsidRPr="00DF369E" w:rsidRDefault="00670FD4" w:rsidP="001925BA">
            <w:pPr>
              <w:spacing w:line="240" w:lineRule="auto"/>
              <w:ind w:firstLine="0"/>
              <w:rPr>
                <w:rFonts w:eastAsia="Times New Roman" w:cs="Times New Roman"/>
                <w:sz w:val="20"/>
                <w:szCs w:val="20"/>
              </w:rPr>
            </w:pPr>
            <w:r w:rsidRPr="00DF369E">
              <w:rPr>
                <w:rFonts w:eastAsia="Times New Roman" w:cs="Times New Roman"/>
                <w:sz w:val="20"/>
                <w:szCs w:val="20"/>
              </w:rPr>
              <w:lastRenderedPageBreak/>
              <w:t xml:space="preserve">Os2.b Gestionarea, revitalizare și reabilitarea zonelor </w:t>
            </w:r>
            <w:r w:rsidRPr="00DF369E">
              <w:rPr>
                <w:rFonts w:eastAsia="Times New Roman" w:cs="Times New Roman"/>
                <w:sz w:val="20"/>
                <w:szCs w:val="20"/>
              </w:rPr>
              <w:lastRenderedPageBreak/>
              <w:t>urbane şi rurale poluate;</w:t>
            </w:r>
          </w:p>
          <w:p w14:paraId="119F5044" w14:textId="77777777" w:rsidR="00670FD4" w:rsidRDefault="00670FD4" w:rsidP="001925BA">
            <w:pPr>
              <w:spacing w:line="240" w:lineRule="auto"/>
              <w:ind w:firstLine="0"/>
              <w:rPr>
                <w:rFonts w:eastAsia="Times New Roman" w:cs="Times New Roman"/>
                <w:sz w:val="20"/>
                <w:szCs w:val="20"/>
              </w:rPr>
            </w:pPr>
            <w:r w:rsidRPr="00DF369E">
              <w:rPr>
                <w:rFonts w:eastAsia="Times New Roman" w:cs="Times New Roman"/>
                <w:sz w:val="20"/>
                <w:szCs w:val="20"/>
              </w:rPr>
              <w:t>Os2.c Stimularea dezvoltării infrastructurii verzi.</w:t>
            </w:r>
          </w:p>
        </w:tc>
        <w:tc>
          <w:tcPr>
            <w:tcW w:w="4251"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27D6E99E"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lastRenderedPageBreak/>
              <w:t>A 5.1.1 Actualizarea inventarului siturilor contaminate și potențial contaminate</w:t>
            </w:r>
          </w:p>
        </w:tc>
        <w:tc>
          <w:tcPr>
            <w:tcW w:w="1274"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ACD0C9D" w14:textId="77777777" w:rsidR="00670FD4" w:rsidRDefault="00670FD4" w:rsidP="001925BA">
            <w:pPr>
              <w:spacing w:after="0" w:line="240" w:lineRule="auto"/>
              <w:ind w:firstLine="26"/>
              <w:rPr>
                <w:rFonts w:eastAsia="Times New Roman" w:cs="Times New Roman"/>
                <w:sz w:val="20"/>
                <w:szCs w:val="20"/>
              </w:rPr>
            </w:pPr>
            <w:r>
              <w:rPr>
                <w:rFonts w:eastAsia="Times New Roman" w:cs="Times New Roman"/>
                <w:sz w:val="20"/>
                <w:szCs w:val="20"/>
              </w:rPr>
              <w:t>Ridicată</w:t>
            </w:r>
          </w:p>
        </w:tc>
        <w:tc>
          <w:tcPr>
            <w:tcW w:w="141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769E869" w14:textId="77777777" w:rsidR="00670FD4" w:rsidRDefault="00670FD4" w:rsidP="001925BA">
            <w:pPr>
              <w:spacing w:after="0" w:line="240" w:lineRule="auto"/>
              <w:ind w:firstLine="27"/>
              <w:rPr>
                <w:rFonts w:eastAsia="Times New Roman" w:cs="Times New Roman"/>
                <w:sz w:val="20"/>
                <w:szCs w:val="20"/>
              </w:rPr>
            </w:pPr>
            <w:r>
              <w:rPr>
                <w:rFonts w:eastAsia="Times New Roman" w:cs="Times New Roman"/>
                <w:sz w:val="20"/>
                <w:szCs w:val="20"/>
              </w:rPr>
              <w:t>2027</w:t>
            </w:r>
          </w:p>
        </w:tc>
        <w:tc>
          <w:tcPr>
            <w:tcW w:w="141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505C3E9" w14:textId="77777777" w:rsidR="00670FD4" w:rsidRDefault="00670FD4" w:rsidP="001925BA">
            <w:pPr>
              <w:spacing w:after="0" w:line="240" w:lineRule="auto"/>
              <w:ind w:firstLine="30"/>
              <w:rPr>
                <w:rFonts w:eastAsia="Times New Roman" w:cs="Times New Roman"/>
                <w:sz w:val="20"/>
                <w:szCs w:val="20"/>
              </w:rPr>
            </w:pPr>
            <w:r>
              <w:rPr>
                <w:rFonts w:eastAsia="Times New Roman" w:cs="Times New Roman"/>
                <w:sz w:val="20"/>
                <w:szCs w:val="20"/>
              </w:rPr>
              <w:t xml:space="preserve">MMAP, autorități locale </w:t>
            </w:r>
          </w:p>
        </w:tc>
        <w:tc>
          <w:tcPr>
            <w:tcW w:w="1699"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9398B3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 xml:space="preserve">Programul de Dezvoltare Durabilă, Programul InvestEU) și </w:t>
            </w:r>
            <w:r>
              <w:rPr>
                <w:rFonts w:eastAsia="Times New Roman" w:cs="Times New Roman"/>
                <w:sz w:val="20"/>
                <w:szCs w:val="20"/>
              </w:rPr>
              <w:lastRenderedPageBreak/>
              <w:t>naționale (PNCDI IV, fonduri proprii ale MMAP*, bugetul local</w:t>
            </w:r>
          </w:p>
        </w:tc>
      </w:tr>
      <w:tr w:rsidR="00670FD4" w14:paraId="0DFACFF8" w14:textId="77777777" w:rsidTr="001925BA">
        <w:trPr>
          <w:trHeight w:val="420"/>
        </w:trPr>
        <w:tc>
          <w:tcPr>
            <w:tcW w:w="1892" w:type="dxa"/>
            <w:vMerge/>
            <w:tcBorders>
              <w:top w:val="nil"/>
              <w:left w:val="single" w:sz="5" w:space="0" w:color="000000"/>
              <w:bottom w:val="single" w:sz="5" w:space="0" w:color="000000"/>
              <w:right w:val="single" w:sz="4" w:space="0" w:color="auto"/>
            </w:tcBorders>
            <w:shd w:val="clear" w:color="auto" w:fill="auto"/>
            <w:tcMar>
              <w:top w:w="100" w:type="dxa"/>
              <w:left w:w="100" w:type="dxa"/>
              <w:bottom w:w="100" w:type="dxa"/>
              <w:right w:w="100" w:type="dxa"/>
            </w:tcMar>
          </w:tcPr>
          <w:p w14:paraId="6FAE6AF5"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2109" w:type="dxa"/>
            <w:vMerge/>
            <w:tcBorders>
              <w:left w:val="single" w:sz="4" w:space="0" w:color="auto"/>
              <w:right w:val="single" w:sz="4" w:space="0" w:color="auto"/>
            </w:tcBorders>
          </w:tcPr>
          <w:p w14:paraId="114A2906" w14:textId="77777777" w:rsidR="00670FD4" w:rsidRDefault="00670FD4" w:rsidP="001925BA">
            <w:pPr>
              <w:spacing w:after="0" w:line="240" w:lineRule="auto"/>
              <w:ind w:firstLine="0"/>
              <w:rPr>
                <w:rFonts w:eastAsia="Times New Roman" w:cs="Times New Roman"/>
                <w:sz w:val="20"/>
                <w:szCs w:val="20"/>
              </w:rPr>
            </w:pPr>
          </w:p>
        </w:tc>
        <w:tc>
          <w:tcPr>
            <w:tcW w:w="4251"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651493E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5.1.2 Identificarea și aplicarea de noi soluții ecologice, inovative, pentru remedierea siturilor contaminate, cât și a celor din proximitatea acestora</w:t>
            </w:r>
          </w:p>
        </w:tc>
        <w:tc>
          <w:tcPr>
            <w:tcW w:w="1274"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17C1FF9" w14:textId="77777777" w:rsidR="00670FD4" w:rsidRDefault="00670FD4" w:rsidP="001925BA">
            <w:pPr>
              <w:spacing w:after="0" w:line="240" w:lineRule="auto"/>
              <w:ind w:firstLine="26"/>
              <w:rPr>
                <w:rFonts w:eastAsia="Times New Roman" w:cs="Times New Roman"/>
                <w:sz w:val="20"/>
                <w:szCs w:val="20"/>
              </w:rPr>
            </w:pPr>
            <w:r>
              <w:rPr>
                <w:rFonts w:eastAsia="Times New Roman" w:cs="Times New Roman"/>
                <w:sz w:val="20"/>
                <w:szCs w:val="20"/>
              </w:rPr>
              <w:t>Ridicată</w:t>
            </w:r>
          </w:p>
        </w:tc>
        <w:tc>
          <w:tcPr>
            <w:tcW w:w="141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1E37FBA" w14:textId="77777777" w:rsidR="00670FD4" w:rsidRDefault="00670FD4" w:rsidP="001925BA">
            <w:pPr>
              <w:spacing w:after="0" w:line="240" w:lineRule="auto"/>
              <w:ind w:firstLine="27"/>
              <w:rPr>
                <w:rFonts w:eastAsia="Times New Roman" w:cs="Times New Roman"/>
                <w:sz w:val="20"/>
                <w:szCs w:val="20"/>
              </w:rPr>
            </w:pPr>
            <w:r>
              <w:rPr>
                <w:rFonts w:eastAsia="Times New Roman" w:cs="Times New Roman"/>
                <w:sz w:val="20"/>
                <w:szCs w:val="20"/>
              </w:rPr>
              <w:t>2030</w:t>
            </w:r>
          </w:p>
        </w:tc>
        <w:tc>
          <w:tcPr>
            <w:tcW w:w="141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FA7EE78" w14:textId="77777777" w:rsidR="00670FD4" w:rsidRDefault="00670FD4" w:rsidP="001925BA">
            <w:pPr>
              <w:spacing w:after="0" w:line="240" w:lineRule="auto"/>
              <w:ind w:firstLine="30"/>
              <w:rPr>
                <w:rFonts w:eastAsia="Times New Roman" w:cs="Times New Roman"/>
                <w:sz w:val="20"/>
                <w:szCs w:val="20"/>
              </w:rPr>
            </w:pPr>
            <w:r>
              <w:rPr>
                <w:rFonts w:eastAsia="Times New Roman" w:cs="Times New Roman"/>
                <w:sz w:val="20"/>
                <w:szCs w:val="20"/>
              </w:rPr>
              <w:t>MMAP, MCID (INCD-uri), ME (departamente de cercetare din universități)</w:t>
            </w:r>
          </w:p>
        </w:tc>
        <w:tc>
          <w:tcPr>
            <w:tcW w:w="1699" w:type="dxa"/>
            <w:vMerge w:val="restart"/>
            <w:tcBorders>
              <w:top w:val="nil"/>
              <w:left w:val="nil"/>
              <w:right w:val="single" w:sz="5" w:space="0" w:color="000000"/>
            </w:tcBorders>
            <w:shd w:val="clear" w:color="auto" w:fill="auto"/>
            <w:tcMar>
              <w:top w:w="0" w:type="dxa"/>
              <w:left w:w="100" w:type="dxa"/>
              <w:bottom w:w="0" w:type="dxa"/>
              <w:right w:w="100" w:type="dxa"/>
            </w:tcMar>
          </w:tcPr>
          <w:p w14:paraId="28743AA7"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r>
              <w:rPr>
                <w:rFonts w:eastAsia="Times New Roman" w:cs="Times New Roman"/>
                <w:sz w:val="20"/>
                <w:szCs w:val="20"/>
              </w:rPr>
              <w:t>Programul de Dezvoltare Durabilă, Programul InvestEU) și naționale (PNCDI IV, fonduri proprii ale MMAP*, bugetul local</w:t>
            </w:r>
          </w:p>
        </w:tc>
      </w:tr>
      <w:tr w:rsidR="00670FD4" w14:paraId="2A03FEC1" w14:textId="77777777" w:rsidTr="001925BA">
        <w:trPr>
          <w:trHeight w:val="420"/>
        </w:trPr>
        <w:tc>
          <w:tcPr>
            <w:tcW w:w="1892" w:type="dxa"/>
            <w:vMerge/>
            <w:tcBorders>
              <w:top w:val="nil"/>
              <w:left w:val="single" w:sz="5" w:space="0" w:color="000000"/>
              <w:bottom w:val="single" w:sz="5" w:space="0" w:color="000000"/>
              <w:right w:val="single" w:sz="4" w:space="0" w:color="auto"/>
            </w:tcBorders>
            <w:shd w:val="clear" w:color="auto" w:fill="auto"/>
            <w:tcMar>
              <w:top w:w="100" w:type="dxa"/>
              <w:left w:w="100" w:type="dxa"/>
              <w:bottom w:w="100" w:type="dxa"/>
              <w:right w:w="100" w:type="dxa"/>
            </w:tcMar>
          </w:tcPr>
          <w:p w14:paraId="6A091284"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2109" w:type="dxa"/>
            <w:vMerge/>
            <w:tcBorders>
              <w:left w:val="single" w:sz="4" w:space="0" w:color="auto"/>
              <w:bottom w:val="single" w:sz="4" w:space="0" w:color="auto"/>
              <w:right w:val="single" w:sz="4" w:space="0" w:color="auto"/>
            </w:tcBorders>
          </w:tcPr>
          <w:p w14:paraId="79183F58" w14:textId="77777777" w:rsidR="00670FD4" w:rsidRDefault="00670FD4" w:rsidP="001925BA">
            <w:pPr>
              <w:spacing w:after="0" w:line="240" w:lineRule="auto"/>
              <w:ind w:firstLine="0"/>
              <w:rPr>
                <w:rFonts w:eastAsia="Times New Roman" w:cs="Times New Roman"/>
                <w:sz w:val="20"/>
                <w:szCs w:val="20"/>
              </w:rPr>
            </w:pPr>
          </w:p>
        </w:tc>
        <w:tc>
          <w:tcPr>
            <w:tcW w:w="4251" w:type="dxa"/>
            <w:tcBorders>
              <w:top w:val="nil"/>
              <w:left w:val="single" w:sz="4" w:space="0" w:color="auto"/>
              <w:bottom w:val="single" w:sz="4" w:space="0" w:color="000000"/>
              <w:right w:val="single" w:sz="5" w:space="0" w:color="000000"/>
            </w:tcBorders>
            <w:shd w:val="clear" w:color="auto" w:fill="auto"/>
            <w:tcMar>
              <w:top w:w="0" w:type="dxa"/>
              <w:left w:w="100" w:type="dxa"/>
              <w:bottom w:w="0" w:type="dxa"/>
              <w:right w:w="100" w:type="dxa"/>
            </w:tcMar>
          </w:tcPr>
          <w:p w14:paraId="32431AA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5.1.3 Creșterea capacității de monitorizare post remediere prin sisteme inteligente de supraveghere,control și investigare</w:t>
            </w:r>
          </w:p>
        </w:tc>
        <w:tc>
          <w:tcPr>
            <w:tcW w:w="1274" w:type="dxa"/>
            <w:tcBorders>
              <w:top w:val="nil"/>
              <w:left w:val="nil"/>
              <w:bottom w:val="single" w:sz="4" w:space="0" w:color="000000"/>
              <w:right w:val="single" w:sz="5" w:space="0" w:color="000000"/>
            </w:tcBorders>
            <w:shd w:val="clear" w:color="auto" w:fill="auto"/>
            <w:tcMar>
              <w:top w:w="0" w:type="dxa"/>
              <w:left w:w="100" w:type="dxa"/>
              <w:bottom w:w="0" w:type="dxa"/>
              <w:right w:w="100" w:type="dxa"/>
            </w:tcMar>
          </w:tcPr>
          <w:p w14:paraId="5362C3CC" w14:textId="77777777" w:rsidR="00670FD4" w:rsidRDefault="00670FD4" w:rsidP="001925BA">
            <w:pPr>
              <w:spacing w:after="0" w:line="240" w:lineRule="auto"/>
              <w:ind w:firstLine="26"/>
              <w:rPr>
                <w:rFonts w:eastAsia="Times New Roman" w:cs="Times New Roman"/>
                <w:sz w:val="20"/>
                <w:szCs w:val="20"/>
              </w:rPr>
            </w:pPr>
            <w:r>
              <w:rPr>
                <w:rFonts w:eastAsia="Times New Roman" w:cs="Times New Roman"/>
                <w:sz w:val="20"/>
                <w:szCs w:val="20"/>
              </w:rPr>
              <w:t>Medie</w:t>
            </w:r>
          </w:p>
        </w:tc>
        <w:tc>
          <w:tcPr>
            <w:tcW w:w="1415" w:type="dxa"/>
            <w:tcBorders>
              <w:top w:val="nil"/>
              <w:left w:val="nil"/>
              <w:bottom w:val="single" w:sz="4" w:space="0" w:color="000000"/>
              <w:right w:val="single" w:sz="5" w:space="0" w:color="000000"/>
            </w:tcBorders>
            <w:shd w:val="clear" w:color="auto" w:fill="auto"/>
            <w:tcMar>
              <w:top w:w="0" w:type="dxa"/>
              <w:left w:w="100" w:type="dxa"/>
              <w:bottom w:w="0" w:type="dxa"/>
              <w:right w:w="100" w:type="dxa"/>
            </w:tcMar>
          </w:tcPr>
          <w:p w14:paraId="0EFE535C" w14:textId="77777777" w:rsidR="00670FD4" w:rsidRDefault="00670FD4" w:rsidP="001925BA">
            <w:pPr>
              <w:spacing w:after="0" w:line="240" w:lineRule="auto"/>
              <w:ind w:firstLine="27"/>
              <w:rPr>
                <w:rFonts w:eastAsia="Times New Roman" w:cs="Times New Roman"/>
                <w:sz w:val="20"/>
                <w:szCs w:val="20"/>
              </w:rPr>
            </w:pPr>
            <w:r>
              <w:rPr>
                <w:rFonts w:eastAsia="Times New Roman" w:cs="Times New Roman"/>
                <w:sz w:val="20"/>
                <w:szCs w:val="20"/>
              </w:rPr>
              <w:t>2030</w:t>
            </w:r>
          </w:p>
        </w:tc>
        <w:tc>
          <w:tcPr>
            <w:tcW w:w="1416" w:type="dxa"/>
            <w:tcBorders>
              <w:top w:val="nil"/>
              <w:left w:val="nil"/>
              <w:bottom w:val="single" w:sz="4" w:space="0" w:color="000000"/>
              <w:right w:val="single" w:sz="5" w:space="0" w:color="000000"/>
            </w:tcBorders>
            <w:shd w:val="clear" w:color="auto" w:fill="auto"/>
            <w:tcMar>
              <w:top w:w="0" w:type="dxa"/>
              <w:left w:w="100" w:type="dxa"/>
              <w:bottom w:w="0" w:type="dxa"/>
              <w:right w:w="100" w:type="dxa"/>
            </w:tcMar>
          </w:tcPr>
          <w:p w14:paraId="4DD0B9A0" w14:textId="77777777" w:rsidR="00670FD4" w:rsidRDefault="00670FD4" w:rsidP="001925BA">
            <w:pPr>
              <w:spacing w:after="0" w:line="240" w:lineRule="auto"/>
              <w:ind w:firstLine="30"/>
              <w:rPr>
                <w:rFonts w:eastAsia="Times New Roman" w:cs="Times New Roman"/>
                <w:sz w:val="20"/>
                <w:szCs w:val="20"/>
              </w:rPr>
            </w:pPr>
            <w:r>
              <w:rPr>
                <w:rFonts w:eastAsia="Times New Roman" w:cs="Times New Roman"/>
                <w:sz w:val="20"/>
                <w:szCs w:val="20"/>
              </w:rPr>
              <w:t>MMAP, autorități locale, MCID (INCD-uri), ME (departamente cercetare din universități)</w:t>
            </w:r>
          </w:p>
        </w:tc>
        <w:tc>
          <w:tcPr>
            <w:tcW w:w="1699" w:type="dxa"/>
            <w:vMerge/>
            <w:tcBorders>
              <w:left w:val="nil"/>
              <w:bottom w:val="single" w:sz="5" w:space="0" w:color="000000"/>
              <w:right w:val="single" w:sz="5" w:space="0" w:color="000000"/>
            </w:tcBorders>
            <w:shd w:val="clear" w:color="auto" w:fill="auto"/>
            <w:tcMar>
              <w:top w:w="0" w:type="dxa"/>
              <w:left w:w="100" w:type="dxa"/>
              <w:bottom w:w="0" w:type="dxa"/>
              <w:right w:w="100" w:type="dxa"/>
            </w:tcMar>
          </w:tcPr>
          <w:p w14:paraId="5B6E1AB8"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r>
      <w:tr w:rsidR="00670FD4" w14:paraId="509EA133" w14:textId="77777777" w:rsidTr="001925BA">
        <w:trPr>
          <w:trHeight w:val="633"/>
        </w:trPr>
        <w:tc>
          <w:tcPr>
            <w:tcW w:w="1892" w:type="dxa"/>
            <w:vMerge w:val="restart"/>
            <w:tcBorders>
              <w:top w:val="single" w:sz="4" w:space="0" w:color="000000"/>
              <w:left w:val="single" w:sz="4" w:space="0" w:color="000000"/>
              <w:right w:val="single" w:sz="4" w:space="0" w:color="auto"/>
            </w:tcBorders>
            <w:shd w:val="clear" w:color="auto" w:fill="auto"/>
            <w:tcMar>
              <w:top w:w="0" w:type="dxa"/>
              <w:left w:w="100" w:type="dxa"/>
              <w:bottom w:w="0" w:type="dxa"/>
              <w:right w:w="100" w:type="dxa"/>
            </w:tcMar>
          </w:tcPr>
          <w:p w14:paraId="7650F9E4"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M5.2 Restaurarea ecologică a lacurilor urbane în scopul valorificării potențialului lor natural și turistic (lacurile Tăbăcărie, Costinești, Belona, Neptun, etc.)</w:t>
            </w:r>
          </w:p>
        </w:tc>
        <w:tc>
          <w:tcPr>
            <w:tcW w:w="2109" w:type="dxa"/>
            <w:vMerge w:val="restart"/>
            <w:tcBorders>
              <w:top w:val="single" w:sz="4" w:space="0" w:color="auto"/>
              <w:left w:val="single" w:sz="4" w:space="0" w:color="auto"/>
              <w:right w:val="single" w:sz="4" w:space="0" w:color="auto"/>
            </w:tcBorders>
          </w:tcPr>
          <w:p w14:paraId="1B8FA07C" w14:textId="77777777" w:rsidR="00670FD4" w:rsidRPr="00DF369E" w:rsidRDefault="00670FD4" w:rsidP="001925BA">
            <w:pPr>
              <w:spacing w:line="240" w:lineRule="auto"/>
              <w:ind w:firstLine="0"/>
              <w:rPr>
                <w:rFonts w:eastAsia="Times New Roman" w:cs="Times New Roman"/>
                <w:color w:val="000000"/>
                <w:sz w:val="20"/>
                <w:szCs w:val="20"/>
              </w:rPr>
            </w:pPr>
            <w:r w:rsidRPr="00DF369E">
              <w:rPr>
                <w:rFonts w:eastAsia="Times New Roman" w:cs="Times New Roman"/>
                <w:color w:val="000000"/>
                <w:sz w:val="20"/>
                <w:szCs w:val="20"/>
              </w:rPr>
              <w:t>Os2.b Gestionarea, revitalizare și reabilitarea zonelor urbane şi rurale poluate;</w:t>
            </w:r>
          </w:p>
          <w:p w14:paraId="700C63E0" w14:textId="77777777" w:rsidR="00670FD4" w:rsidRPr="00DF369E" w:rsidRDefault="00670FD4" w:rsidP="001925BA">
            <w:pPr>
              <w:spacing w:line="240" w:lineRule="auto"/>
              <w:ind w:firstLine="0"/>
              <w:rPr>
                <w:rFonts w:eastAsia="Times New Roman" w:cs="Times New Roman"/>
                <w:color w:val="000000"/>
                <w:sz w:val="20"/>
                <w:szCs w:val="20"/>
              </w:rPr>
            </w:pPr>
            <w:r w:rsidRPr="00DF369E">
              <w:rPr>
                <w:rFonts w:eastAsia="Times New Roman" w:cs="Times New Roman"/>
                <w:color w:val="000000"/>
                <w:sz w:val="20"/>
                <w:szCs w:val="20"/>
              </w:rPr>
              <w:t>Os2.c Stimularea dezvoltării infrastructurii verzi</w:t>
            </w:r>
          </w:p>
          <w:p w14:paraId="2660765F" w14:textId="77777777" w:rsidR="00670FD4" w:rsidRPr="00DF369E" w:rsidRDefault="00670FD4" w:rsidP="001925BA">
            <w:pPr>
              <w:spacing w:line="240" w:lineRule="auto"/>
              <w:ind w:firstLine="0"/>
              <w:rPr>
                <w:rFonts w:eastAsia="Times New Roman" w:cs="Times New Roman"/>
                <w:color w:val="000000"/>
                <w:sz w:val="20"/>
                <w:szCs w:val="20"/>
              </w:rPr>
            </w:pPr>
            <w:r w:rsidRPr="00DF369E">
              <w:rPr>
                <w:rFonts w:eastAsia="Times New Roman" w:cs="Times New Roman"/>
                <w:color w:val="000000"/>
                <w:sz w:val="20"/>
                <w:szCs w:val="20"/>
              </w:rPr>
              <w:t xml:space="preserve">Os1.a Protejarea eficientă a valorilor naturale, peisagistice și culturale; </w:t>
            </w:r>
          </w:p>
          <w:p w14:paraId="5DA9E6DD" w14:textId="77777777" w:rsidR="00670FD4" w:rsidRPr="00DF369E" w:rsidRDefault="00670FD4" w:rsidP="001925BA">
            <w:pPr>
              <w:spacing w:line="240" w:lineRule="auto"/>
              <w:ind w:firstLine="0"/>
              <w:rPr>
                <w:rFonts w:eastAsia="Times New Roman" w:cs="Times New Roman"/>
                <w:color w:val="000000"/>
                <w:sz w:val="20"/>
                <w:szCs w:val="20"/>
              </w:rPr>
            </w:pPr>
            <w:r w:rsidRPr="00DF369E">
              <w:rPr>
                <w:rFonts w:eastAsia="Times New Roman" w:cs="Times New Roman"/>
                <w:color w:val="000000"/>
                <w:sz w:val="20"/>
                <w:szCs w:val="20"/>
              </w:rPr>
              <w:lastRenderedPageBreak/>
              <w:t xml:space="preserve">Os4.a Gestionarea durabilă a resurselor zonei de coastă; Os4.b Dezvoltarea “verde” a zonei costiere; </w:t>
            </w:r>
          </w:p>
          <w:p w14:paraId="5A0A89A5" w14:textId="77777777" w:rsidR="00670FD4" w:rsidRPr="00DF369E" w:rsidRDefault="00670FD4" w:rsidP="001925BA">
            <w:pPr>
              <w:spacing w:line="240" w:lineRule="auto"/>
              <w:ind w:firstLine="0"/>
              <w:rPr>
                <w:rFonts w:eastAsia="Times New Roman" w:cs="Times New Roman"/>
                <w:color w:val="000000"/>
                <w:sz w:val="20"/>
                <w:szCs w:val="20"/>
              </w:rPr>
            </w:pPr>
            <w:r w:rsidRPr="00DF369E">
              <w:rPr>
                <w:rFonts w:eastAsia="Times New Roman" w:cs="Times New Roman"/>
                <w:color w:val="000000"/>
                <w:sz w:val="20"/>
                <w:szCs w:val="20"/>
              </w:rPr>
              <w:t>Os6.b Creșterea gradului de conștientizare cu privire la necesitatea de a păstra și îmbunătăți resursele zonei de coastă;</w:t>
            </w:r>
          </w:p>
          <w:p w14:paraId="614F6538" w14:textId="77777777" w:rsidR="00670FD4" w:rsidRDefault="00670FD4" w:rsidP="001925BA">
            <w:pPr>
              <w:spacing w:line="240" w:lineRule="auto"/>
              <w:ind w:firstLine="0"/>
              <w:rPr>
                <w:rFonts w:eastAsia="Times New Roman" w:cs="Times New Roman"/>
                <w:color w:val="000000"/>
                <w:sz w:val="20"/>
                <w:szCs w:val="20"/>
              </w:rPr>
            </w:pPr>
            <w:r w:rsidRPr="00DF369E">
              <w:rPr>
                <w:rFonts w:eastAsia="Times New Roman" w:cs="Times New Roman"/>
                <w:color w:val="000000"/>
                <w:sz w:val="20"/>
                <w:szCs w:val="20"/>
              </w:rPr>
              <w:t>Os6.c Implicarea cetățenilor în monitorizarea stării de sănătate a mediului costier (Citizen-science).</w:t>
            </w:r>
          </w:p>
        </w:tc>
        <w:tc>
          <w:tcPr>
            <w:tcW w:w="4251"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3DEAECDC"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lastRenderedPageBreak/>
              <w:t>A 5.2.1 Derularea de campanii de conștientizare a potențialului natural și turistic al lacurilor urbane și de atragere a societății civile în proiectele de restaurare</w:t>
            </w:r>
          </w:p>
        </w:tc>
        <w:tc>
          <w:tcPr>
            <w:tcW w:w="1274"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88D93C1" w14:textId="77777777" w:rsidR="00670FD4" w:rsidRDefault="00670FD4" w:rsidP="001925BA">
            <w:pPr>
              <w:spacing w:after="0" w:line="240" w:lineRule="auto"/>
              <w:ind w:firstLine="26"/>
              <w:rPr>
                <w:rFonts w:eastAsia="Times New Roman" w:cs="Times New Roman"/>
                <w:color w:val="000000"/>
                <w:sz w:val="20"/>
                <w:szCs w:val="20"/>
              </w:rPr>
            </w:pPr>
            <w:r>
              <w:rPr>
                <w:rFonts w:eastAsia="Times New Roman" w:cs="Times New Roman"/>
                <w:color w:val="000000"/>
                <w:sz w:val="20"/>
                <w:szCs w:val="20"/>
              </w:rPr>
              <w:t>Medie</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A6A392A" w14:textId="77777777" w:rsidR="00670FD4" w:rsidRDefault="00670FD4" w:rsidP="001925BA">
            <w:pPr>
              <w:spacing w:after="0" w:line="240" w:lineRule="auto"/>
              <w:ind w:firstLine="27"/>
              <w:rPr>
                <w:rFonts w:eastAsia="Times New Roman" w:cs="Times New Roman"/>
                <w:color w:val="000000"/>
                <w:sz w:val="20"/>
                <w:szCs w:val="20"/>
              </w:rPr>
            </w:pPr>
            <w:r>
              <w:rPr>
                <w:rFonts w:eastAsia="Times New Roman" w:cs="Times New Roman"/>
                <w:color w:val="000000"/>
                <w:sz w:val="20"/>
                <w:szCs w:val="20"/>
              </w:rPr>
              <w:t>2030</w:t>
            </w: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81FE963" w14:textId="77777777" w:rsidR="00670FD4" w:rsidRDefault="00670FD4" w:rsidP="001925BA">
            <w:pPr>
              <w:spacing w:after="0" w:line="240" w:lineRule="auto"/>
              <w:ind w:firstLine="30"/>
              <w:rPr>
                <w:rFonts w:eastAsia="Times New Roman" w:cs="Times New Roman"/>
                <w:color w:val="000000"/>
                <w:sz w:val="20"/>
                <w:szCs w:val="20"/>
              </w:rPr>
            </w:pPr>
            <w:r>
              <w:rPr>
                <w:rFonts w:eastAsia="Times New Roman" w:cs="Times New Roman"/>
                <w:color w:val="000000"/>
                <w:sz w:val="20"/>
                <w:szCs w:val="20"/>
              </w:rPr>
              <w:t>MDAR (ANPA), MMAP</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B49285F"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Bugete locale, PNRR, buget propriu MADR (ANPA)</w:t>
            </w:r>
          </w:p>
        </w:tc>
      </w:tr>
      <w:tr w:rsidR="00670FD4" w14:paraId="4566D880" w14:textId="77777777" w:rsidTr="001925BA">
        <w:trPr>
          <w:trHeight w:val="633"/>
        </w:trPr>
        <w:tc>
          <w:tcPr>
            <w:tcW w:w="1892" w:type="dxa"/>
            <w:vMerge/>
            <w:tcBorders>
              <w:top w:val="single" w:sz="4" w:space="0" w:color="000000"/>
              <w:left w:val="single" w:sz="4" w:space="0" w:color="000000"/>
              <w:bottom w:val="single" w:sz="4" w:space="0" w:color="auto"/>
              <w:right w:val="single" w:sz="4" w:space="0" w:color="auto"/>
            </w:tcBorders>
            <w:shd w:val="clear" w:color="auto" w:fill="auto"/>
            <w:tcMar>
              <w:top w:w="0" w:type="dxa"/>
              <w:left w:w="100" w:type="dxa"/>
              <w:bottom w:w="0" w:type="dxa"/>
              <w:right w:w="100" w:type="dxa"/>
            </w:tcMar>
          </w:tcPr>
          <w:p w14:paraId="709AEF73" w14:textId="77777777" w:rsidR="00670FD4" w:rsidRDefault="00670FD4" w:rsidP="001925BA">
            <w:pPr>
              <w:widowControl w:val="0"/>
              <w:pBdr>
                <w:top w:val="nil"/>
                <w:left w:val="nil"/>
                <w:bottom w:val="nil"/>
                <w:right w:val="nil"/>
                <w:between w:val="nil"/>
              </w:pBdr>
              <w:spacing w:after="0"/>
              <w:ind w:firstLine="0"/>
              <w:rPr>
                <w:rFonts w:eastAsia="Times New Roman" w:cs="Times New Roman"/>
                <w:color w:val="000000"/>
                <w:sz w:val="20"/>
                <w:szCs w:val="20"/>
              </w:rPr>
            </w:pPr>
          </w:p>
        </w:tc>
        <w:tc>
          <w:tcPr>
            <w:tcW w:w="2109" w:type="dxa"/>
            <w:vMerge/>
            <w:tcBorders>
              <w:left w:val="single" w:sz="4" w:space="0" w:color="auto"/>
              <w:bottom w:val="single" w:sz="4" w:space="0" w:color="auto"/>
              <w:right w:val="single" w:sz="4" w:space="0" w:color="auto"/>
            </w:tcBorders>
          </w:tcPr>
          <w:p w14:paraId="02E10B63" w14:textId="77777777" w:rsidR="00670FD4" w:rsidRDefault="00670FD4" w:rsidP="001925BA">
            <w:pPr>
              <w:spacing w:after="0" w:line="240" w:lineRule="auto"/>
              <w:ind w:firstLine="0"/>
              <w:rPr>
                <w:rFonts w:eastAsia="Times New Roman" w:cs="Times New Roman"/>
                <w:color w:val="000000"/>
                <w:sz w:val="20"/>
                <w:szCs w:val="20"/>
              </w:rPr>
            </w:pPr>
          </w:p>
        </w:tc>
        <w:tc>
          <w:tcPr>
            <w:tcW w:w="4251"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0E7E8B24"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5.2.2 Angrenarea cetățenilor în monitorizarea stării ecologice a lacurilor urbane</w:t>
            </w:r>
          </w:p>
        </w:tc>
        <w:tc>
          <w:tcPr>
            <w:tcW w:w="1274"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27ACA412" w14:textId="77777777" w:rsidR="00670FD4" w:rsidRDefault="00670FD4" w:rsidP="001925BA">
            <w:pPr>
              <w:spacing w:after="0" w:line="240" w:lineRule="auto"/>
              <w:ind w:firstLine="26"/>
              <w:rPr>
                <w:rFonts w:eastAsia="Times New Roman" w:cs="Times New Roman"/>
                <w:color w:val="000000"/>
                <w:sz w:val="20"/>
                <w:szCs w:val="20"/>
              </w:rPr>
            </w:pPr>
            <w:r>
              <w:rPr>
                <w:rFonts w:eastAsia="Times New Roman" w:cs="Times New Roman"/>
                <w:color w:val="000000"/>
                <w:sz w:val="20"/>
                <w:szCs w:val="20"/>
              </w:rPr>
              <w:t>Medie</w:t>
            </w:r>
          </w:p>
        </w:tc>
        <w:tc>
          <w:tcPr>
            <w:tcW w:w="1415"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251F15AA" w14:textId="77777777" w:rsidR="00670FD4" w:rsidRDefault="00670FD4" w:rsidP="001925BA">
            <w:pPr>
              <w:spacing w:after="0" w:line="240" w:lineRule="auto"/>
              <w:ind w:firstLine="27"/>
              <w:rPr>
                <w:rFonts w:eastAsia="Times New Roman" w:cs="Times New Roman"/>
                <w:color w:val="000000"/>
                <w:sz w:val="20"/>
                <w:szCs w:val="20"/>
              </w:rPr>
            </w:pPr>
            <w:r>
              <w:rPr>
                <w:rFonts w:eastAsia="Times New Roman" w:cs="Times New Roman"/>
                <w:color w:val="000000"/>
                <w:sz w:val="20"/>
                <w:szCs w:val="20"/>
              </w:rPr>
              <w:t>2030</w:t>
            </w:r>
          </w:p>
        </w:tc>
        <w:tc>
          <w:tcPr>
            <w:tcW w:w="1416"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348EED68" w14:textId="77777777" w:rsidR="00670FD4" w:rsidRDefault="00670FD4" w:rsidP="001925BA">
            <w:pPr>
              <w:spacing w:after="0" w:line="240" w:lineRule="auto"/>
              <w:ind w:firstLine="30"/>
              <w:rPr>
                <w:rFonts w:eastAsia="Times New Roman" w:cs="Times New Roman"/>
                <w:color w:val="000000"/>
                <w:sz w:val="20"/>
                <w:szCs w:val="20"/>
              </w:rPr>
            </w:pPr>
            <w:r>
              <w:rPr>
                <w:rFonts w:eastAsia="Times New Roman" w:cs="Times New Roman"/>
                <w:color w:val="000000"/>
                <w:sz w:val="20"/>
                <w:szCs w:val="20"/>
              </w:rPr>
              <w:t>MDAR (ANPA), MMAP</w:t>
            </w:r>
          </w:p>
        </w:tc>
        <w:tc>
          <w:tcPr>
            <w:tcW w:w="1699"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6A366FAB"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Bugete locale, PNRR, buget propriu MADR (ANPA)</w:t>
            </w:r>
          </w:p>
        </w:tc>
      </w:tr>
      <w:tr w:rsidR="00670FD4" w14:paraId="0755C835" w14:textId="77777777" w:rsidTr="001925BA">
        <w:trPr>
          <w:trHeight w:val="633"/>
        </w:trPr>
        <w:tc>
          <w:tcPr>
            <w:tcW w:w="1892" w:type="dxa"/>
            <w:vMerge/>
            <w:tcBorders>
              <w:top w:val="single" w:sz="4" w:space="0" w:color="auto"/>
              <w:left w:val="single" w:sz="4" w:space="0" w:color="000000"/>
              <w:right w:val="single" w:sz="4" w:space="0" w:color="auto"/>
            </w:tcBorders>
            <w:shd w:val="clear" w:color="auto" w:fill="auto"/>
            <w:tcMar>
              <w:top w:w="0" w:type="dxa"/>
              <w:left w:w="100" w:type="dxa"/>
              <w:bottom w:w="0" w:type="dxa"/>
              <w:right w:w="100" w:type="dxa"/>
            </w:tcMar>
          </w:tcPr>
          <w:p w14:paraId="158C7720" w14:textId="77777777" w:rsidR="00670FD4" w:rsidRDefault="00670FD4" w:rsidP="001925BA">
            <w:pPr>
              <w:widowControl w:val="0"/>
              <w:pBdr>
                <w:top w:val="nil"/>
                <w:left w:val="nil"/>
                <w:bottom w:val="nil"/>
                <w:right w:val="nil"/>
                <w:between w:val="nil"/>
              </w:pBdr>
              <w:spacing w:after="0"/>
              <w:ind w:firstLine="0"/>
              <w:rPr>
                <w:rFonts w:eastAsia="Times New Roman" w:cs="Times New Roman"/>
                <w:color w:val="000000"/>
                <w:sz w:val="20"/>
                <w:szCs w:val="20"/>
              </w:rPr>
            </w:pPr>
          </w:p>
        </w:tc>
        <w:tc>
          <w:tcPr>
            <w:tcW w:w="2109" w:type="dxa"/>
            <w:vMerge/>
            <w:tcBorders>
              <w:top w:val="single" w:sz="4" w:space="0" w:color="auto"/>
              <w:left w:val="single" w:sz="4" w:space="0" w:color="auto"/>
              <w:right w:val="single" w:sz="4" w:space="0" w:color="auto"/>
            </w:tcBorders>
          </w:tcPr>
          <w:p w14:paraId="48C2CB2F" w14:textId="77777777" w:rsidR="00670FD4" w:rsidRDefault="00670FD4" w:rsidP="001925BA">
            <w:pPr>
              <w:spacing w:after="0" w:line="240" w:lineRule="auto"/>
              <w:ind w:firstLine="0"/>
              <w:rPr>
                <w:rFonts w:eastAsia="Times New Roman" w:cs="Times New Roman"/>
                <w:color w:val="000000"/>
                <w:sz w:val="20"/>
                <w:szCs w:val="20"/>
              </w:rPr>
            </w:pPr>
          </w:p>
        </w:tc>
        <w:tc>
          <w:tcPr>
            <w:tcW w:w="4251"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73F9ABA1"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5.2.3 Identificarea și aplicarea soluțiilor bazate pe natură pentru reducerea/stoparea aportului de poluanți, materie organică și deșeuri în lacurile urbane</w:t>
            </w:r>
          </w:p>
        </w:tc>
        <w:tc>
          <w:tcPr>
            <w:tcW w:w="1274"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C3A2C5C" w14:textId="77777777" w:rsidR="00670FD4" w:rsidRDefault="00670FD4" w:rsidP="001925BA">
            <w:pPr>
              <w:spacing w:after="0" w:line="240" w:lineRule="auto"/>
              <w:ind w:firstLine="26"/>
              <w:rPr>
                <w:rFonts w:eastAsia="Times New Roman" w:cs="Times New Roman"/>
                <w:color w:val="000000"/>
                <w:sz w:val="20"/>
                <w:szCs w:val="20"/>
              </w:rPr>
            </w:pPr>
            <w:r>
              <w:rPr>
                <w:rFonts w:eastAsia="Times New Roman" w:cs="Times New Roman"/>
                <w:color w:val="000000"/>
                <w:sz w:val="20"/>
                <w:szCs w:val="20"/>
              </w:rPr>
              <w:t>Ridicată</w:t>
            </w:r>
          </w:p>
        </w:tc>
        <w:tc>
          <w:tcPr>
            <w:tcW w:w="1415"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EC49C69" w14:textId="77777777" w:rsidR="00670FD4" w:rsidRDefault="00670FD4" w:rsidP="001925BA">
            <w:pPr>
              <w:spacing w:after="0" w:line="240" w:lineRule="auto"/>
              <w:ind w:firstLine="27"/>
              <w:rPr>
                <w:rFonts w:eastAsia="Times New Roman" w:cs="Times New Roman"/>
                <w:color w:val="000000"/>
                <w:sz w:val="20"/>
                <w:szCs w:val="20"/>
              </w:rPr>
            </w:pPr>
            <w:r>
              <w:rPr>
                <w:rFonts w:eastAsia="Times New Roman" w:cs="Times New Roman"/>
                <w:color w:val="000000"/>
                <w:sz w:val="20"/>
                <w:szCs w:val="20"/>
              </w:rPr>
              <w:t>2030</w:t>
            </w:r>
          </w:p>
        </w:tc>
        <w:tc>
          <w:tcPr>
            <w:tcW w:w="1416"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7B163EE" w14:textId="77777777" w:rsidR="00670FD4" w:rsidRDefault="00670FD4" w:rsidP="001925BA">
            <w:pPr>
              <w:spacing w:after="0" w:line="240" w:lineRule="auto"/>
              <w:ind w:firstLine="30"/>
              <w:rPr>
                <w:rFonts w:eastAsia="Times New Roman" w:cs="Times New Roman"/>
                <w:color w:val="000000"/>
                <w:sz w:val="20"/>
                <w:szCs w:val="20"/>
              </w:rPr>
            </w:pPr>
            <w:r>
              <w:rPr>
                <w:rFonts w:eastAsia="Times New Roman" w:cs="Times New Roman"/>
                <w:color w:val="000000"/>
                <w:sz w:val="20"/>
                <w:szCs w:val="20"/>
              </w:rPr>
              <w:t>MCID (INCD-uri), ME (departamente cercetare universități), MADR</w:t>
            </w:r>
          </w:p>
        </w:tc>
        <w:tc>
          <w:tcPr>
            <w:tcW w:w="1699"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B5357A2"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PNCDI IV, Programul InvestEU, LIFE, PNRR, Parteneriate public-privat</w:t>
            </w:r>
          </w:p>
        </w:tc>
      </w:tr>
      <w:tr w:rsidR="00670FD4" w14:paraId="6B96C66F" w14:textId="77777777" w:rsidTr="001925BA">
        <w:trPr>
          <w:trHeight w:val="633"/>
        </w:trPr>
        <w:tc>
          <w:tcPr>
            <w:tcW w:w="1892" w:type="dxa"/>
            <w:vMerge/>
            <w:tcBorders>
              <w:top w:val="single" w:sz="4" w:space="0" w:color="000000"/>
              <w:left w:val="single" w:sz="4" w:space="0" w:color="000000"/>
              <w:bottom w:val="single" w:sz="4" w:space="0" w:color="000000"/>
              <w:right w:val="single" w:sz="4" w:space="0" w:color="auto"/>
            </w:tcBorders>
            <w:shd w:val="clear" w:color="auto" w:fill="auto"/>
            <w:tcMar>
              <w:top w:w="0" w:type="dxa"/>
              <w:left w:w="100" w:type="dxa"/>
              <w:bottom w:w="0" w:type="dxa"/>
              <w:right w:w="100" w:type="dxa"/>
            </w:tcMar>
          </w:tcPr>
          <w:p w14:paraId="00EE5161" w14:textId="77777777" w:rsidR="00670FD4" w:rsidRDefault="00670FD4" w:rsidP="001925BA">
            <w:pPr>
              <w:widowControl w:val="0"/>
              <w:pBdr>
                <w:top w:val="nil"/>
                <w:left w:val="nil"/>
                <w:bottom w:val="nil"/>
                <w:right w:val="nil"/>
                <w:between w:val="nil"/>
              </w:pBdr>
              <w:spacing w:after="0"/>
              <w:ind w:firstLine="0"/>
              <w:rPr>
                <w:rFonts w:eastAsia="Times New Roman" w:cs="Times New Roman"/>
                <w:color w:val="000000"/>
                <w:sz w:val="20"/>
                <w:szCs w:val="20"/>
              </w:rPr>
            </w:pPr>
          </w:p>
        </w:tc>
        <w:tc>
          <w:tcPr>
            <w:tcW w:w="2109" w:type="dxa"/>
            <w:vMerge/>
            <w:tcBorders>
              <w:left w:val="single" w:sz="4" w:space="0" w:color="auto"/>
              <w:bottom w:val="single" w:sz="4" w:space="0" w:color="auto"/>
              <w:right w:val="single" w:sz="4" w:space="0" w:color="auto"/>
            </w:tcBorders>
          </w:tcPr>
          <w:p w14:paraId="51B4AB96" w14:textId="77777777" w:rsidR="00670FD4" w:rsidRDefault="00670FD4" w:rsidP="001925BA">
            <w:pPr>
              <w:spacing w:after="0" w:line="240" w:lineRule="auto"/>
              <w:ind w:firstLine="0"/>
              <w:rPr>
                <w:rFonts w:eastAsia="Times New Roman" w:cs="Times New Roman"/>
                <w:color w:val="000000"/>
                <w:sz w:val="20"/>
                <w:szCs w:val="20"/>
              </w:rPr>
            </w:pPr>
          </w:p>
        </w:tc>
        <w:tc>
          <w:tcPr>
            <w:tcW w:w="4251"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1B277FEC"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5.2.4 Identificarea și testarea prin proiecte pilot a soluțiilor ecologice de restaurare a lacurilor urbane</w:t>
            </w:r>
          </w:p>
        </w:tc>
        <w:tc>
          <w:tcPr>
            <w:tcW w:w="1274"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5634B49" w14:textId="77777777" w:rsidR="00670FD4" w:rsidRDefault="00670FD4" w:rsidP="001925BA">
            <w:pPr>
              <w:spacing w:after="0" w:line="240" w:lineRule="auto"/>
              <w:ind w:firstLine="26"/>
              <w:rPr>
                <w:rFonts w:eastAsia="Times New Roman" w:cs="Times New Roman"/>
                <w:color w:val="000000"/>
                <w:sz w:val="20"/>
                <w:szCs w:val="20"/>
              </w:rPr>
            </w:pPr>
            <w:r>
              <w:rPr>
                <w:rFonts w:eastAsia="Times New Roman" w:cs="Times New Roman"/>
                <w:color w:val="000000"/>
                <w:sz w:val="20"/>
                <w:szCs w:val="20"/>
              </w:rPr>
              <w:t>Ridicată</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D4C2575" w14:textId="77777777" w:rsidR="00670FD4" w:rsidRDefault="00670FD4" w:rsidP="001925BA">
            <w:pPr>
              <w:spacing w:after="0" w:line="240" w:lineRule="auto"/>
              <w:ind w:firstLine="27"/>
              <w:rPr>
                <w:rFonts w:eastAsia="Times New Roman" w:cs="Times New Roman"/>
                <w:color w:val="000000"/>
                <w:sz w:val="20"/>
                <w:szCs w:val="20"/>
              </w:rPr>
            </w:pPr>
            <w:r>
              <w:rPr>
                <w:rFonts w:eastAsia="Times New Roman" w:cs="Times New Roman"/>
                <w:color w:val="000000"/>
                <w:sz w:val="20"/>
                <w:szCs w:val="20"/>
              </w:rPr>
              <w:t>2030</w:t>
            </w: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D45CF99" w14:textId="77777777" w:rsidR="00670FD4" w:rsidRDefault="00670FD4" w:rsidP="001925BA">
            <w:pPr>
              <w:spacing w:after="0" w:line="240" w:lineRule="auto"/>
              <w:ind w:firstLine="30"/>
              <w:rPr>
                <w:rFonts w:eastAsia="Times New Roman" w:cs="Times New Roman"/>
                <w:color w:val="000000"/>
                <w:sz w:val="20"/>
                <w:szCs w:val="20"/>
              </w:rPr>
            </w:pPr>
            <w:r>
              <w:rPr>
                <w:rFonts w:eastAsia="Times New Roman" w:cs="Times New Roman"/>
                <w:color w:val="000000"/>
                <w:sz w:val="20"/>
                <w:szCs w:val="20"/>
              </w:rPr>
              <w:t>MCID (INCD-uri), ME (departamente cercetare universități), MADR</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A39EF1C"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PNCDI IV, Programul de Dezvoltare Durabilă, Programul InvestEU, LIFE, PNRR, Parteneriate public-privat</w:t>
            </w:r>
          </w:p>
        </w:tc>
      </w:tr>
      <w:tr w:rsidR="00670FD4" w14:paraId="72155F0D" w14:textId="77777777" w:rsidTr="001925BA">
        <w:trPr>
          <w:trHeight w:val="2042"/>
        </w:trPr>
        <w:tc>
          <w:tcPr>
            <w:tcW w:w="1892" w:type="dxa"/>
            <w:vMerge w:val="restart"/>
            <w:tcBorders>
              <w:top w:val="single" w:sz="4" w:space="0" w:color="000000"/>
              <w:left w:val="single" w:sz="6" w:space="0" w:color="000000"/>
              <w:bottom w:val="single" w:sz="4" w:space="0" w:color="auto"/>
              <w:right w:val="single" w:sz="4" w:space="0" w:color="auto"/>
            </w:tcBorders>
            <w:shd w:val="clear" w:color="auto" w:fill="auto"/>
            <w:tcMar>
              <w:top w:w="0" w:type="dxa"/>
              <w:left w:w="100" w:type="dxa"/>
              <w:bottom w:w="0" w:type="dxa"/>
              <w:right w:w="100" w:type="dxa"/>
            </w:tcMar>
          </w:tcPr>
          <w:p w14:paraId="1247722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M5.3 Inițierea și implementarea programelor pentru îndepărtarea deșeurilor marine, din coloana de apă și de pe fundul mării</w:t>
            </w:r>
          </w:p>
        </w:tc>
        <w:tc>
          <w:tcPr>
            <w:tcW w:w="2109" w:type="dxa"/>
            <w:tcBorders>
              <w:top w:val="single" w:sz="4" w:space="0" w:color="auto"/>
              <w:left w:val="single" w:sz="4" w:space="0" w:color="auto"/>
              <w:right w:val="single" w:sz="4" w:space="0" w:color="auto"/>
            </w:tcBorders>
          </w:tcPr>
          <w:p w14:paraId="59F4313E" w14:textId="77777777" w:rsidR="00670FD4" w:rsidRPr="00DF369E" w:rsidRDefault="00670FD4" w:rsidP="001925BA">
            <w:pPr>
              <w:spacing w:line="240" w:lineRule="auto"/>
              <w:ind w:firstLine="0"/>
              <w:rPr>
                <w:rFonts w:eastAsia="Times New Roman" w:cs="Times New Roman"/>
                <w:color w:val="000000"/>
                <w:sz w:val="20"/>
                <w:szCs w:val="20"/>
              </w:rPr>
            </w:pPr>
            <w:r w:rsidRPr="00DF369E">
              <w:rPr>
                <w:rFonts w:eastAsia="Times New Roman" w:cs="Times New Roman"/>
                <w:color w:val="000000"/>
                <w:sz w:val="20"/>
                <w:szCs w:val="20"/>
              </w:rPr>
              <w:t>Os2.a Atingerea stării ecologice bune a ecosistemelor</w:t>
            </w:r>
          </w:p>
          <w:p w14:paraId="0811EBE5" w14:textId="77777777" w:rsidR="00670FD4" w:rsidRDefault="00670FD4" w:rsidP="001925BA">
            <w:pPr>
              <w:spacing w:line="240" w:lineRule="auto"/>
              <w:ind w:firstLine="0"/>
              <w:rPr>
                <w:rFonts w:eastAsia="Times New Roman" w:cs="Times New Roman"/>
                <w:color w:val="000000"/>
                <w:sz w:val="20"/>
                <w:szCs w:val="20"/>
              </w:rPr>
            </w:pPr>
            <w:r w:rsidRPr="00DF369E">
              <w:rPr>
                <w:rFonts w:eastAsia="Times New Roman" w:cs="Times New Roman"/>
                <w:color w:val="000000"/>
                <w:sz w:val="20"/>
                <w:szCs w:val="20"/>
              </w:rPr>
              <w:t>Os1.a Protejarea eficientă a valorilor naturale, peisagistice și culturale</w:t>
            </w:r>
          </w:p>
        </w:tc>
        <w:tc>
          <w:tcPr>
            <w:tcW w:w="4251" w:type="dxa"/>
            <w:tcBorders>
              <w:top w:val="single" w:sz="4" w:space="0" w:color="000000"/>
              <w:left w:val="single" w:sz="4" w:space="0" w:color="auto"/>
              <w:right w:val="single" w:sz="4" w:space="0" w:color="000000"/>
            </w:tcBorders>
            <w:shd w:val="clear" w:color="auto" w:fill="auto"/>
            <w:tcMar>
              <w:top w:w="0" w:type="dxa"/>
              <w:left w:w="100" w:type="dxa"/>
              <w:bottom w:w="0" w:type="dxa"/>
              <w:right w:w="100" w:type="dxa"/>
            </w:tcMar>
          </w:tcPr>
          <w:p w14:paraId="329377E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A 5.3.1 Stabilirea mecanismelor de cooperare (de exemplu, implicarea pescarilor în monitorizarea și îndepărtarea deșeurilor marine) și dezvoltarea programelor de creștere a gradului de conștientizare în rândul comunităților de pescari cu privire la efectele negative ale deșeurilor marine asupra ecosistemului costier, în particular asupra resurselor vii</w:t>
            </w:r>
          </w:p>
        </w:tc>
        <w:tc>
          <w:tcPr>
            <w:tcW w:w="1274" w:type="dxa"/>
            <w:tcBorders>
              <w:top w:val="single" w:sz="4" w:space="0" w:color="000000"/>
              <w:left w:val="single" w:sz="4" w:space="0" w:color="000000"/>
              <w:right w:val="single" w:sz="4" w:space="0" w:color="000000"/>
            </w:tcBorders>
            <w:shd w:val="clear" w:color="auto" w:fill="auto"/>
            <w:tcMar>
              <w:top w:w="0" w:type="dxa"/>
              <w:left w:w="100" w:type="dxa"/>
              <w:bottom w:w="0" w:type="dxa"/>
              <w:right w:w="100" w:type="dxa"/>
            </w:tcMar>
          </w:tcPr>
          <w:p w14:paraId="5E6B85E0" w14:textId="77777777" w:rsidR="00670FD4" w:rsidRDefault="00670FD4" w:rsidP="001925BA">
            <w:pPr>
              <w:spacing w:after="0" w:line="240" w:lineRule="auto"/>
              <w:ind w:firstLine="26"/>
              <w:rPr>
                <w:rFonts w:eastAsia="Times New Roman" w:cs="Times New Roman"/>
                <w:sz w:val="20"/>
                <w:szCs w:val="20"/>
              </w:rPr>
            </w:pPr>
            <w:r>
              <w:rPr>
                <w:rFonts w:eastAsia="Times New Roman" w:cs="Times New Roman"/>
                <w:color w:val="000000"/>
                <w:sz w:val="20"/>
                <w:szCs w:val="20"/>
              </w:rPr>
              <w:t>Medie</w:t>
            </w:r>
          </w:p>
        </w:tc>
        <w:tc>
          <w:tcPr>
            <w:tcW w:w="1415" w:type="dxa"/>
            <w:tcBorders>
              <w:top w:val="single" w:sz="4" w:space="0" w:color="000000"/>
              <w:left w:val="single" w:sz="4" w:space="0" w:color="000000"/>
              <w:right w:val="single" w:sz="4" w:space="0" w:color="000000"/>
            </w:tcBorders>
            <w:shd w:val="clear" w:color="auto" w:fill="auto"/>
            <w:tcMar>
              <w:top w:w="0" w:type="dxa"/>
              <w:left w:w="100" w:type="dxa"/>
              <w:bottom w:w="0" w:type="dxa"/>
              <w:right w:w="100" w:type="dxa"/>
            </w:tcMar>
          </w:tcPr>
          <w:p w14:paraId="5DFBBB9D" w14:textId="77777777" w:rsidR="00670FD4" w:rsidRDefault="00670FD4" w:rsidP="001925BA">
            <w:pPr>
              <w:spacing w:after="0" w:line="240" w:lineRule="auto"/>
              <w:ind w:firstLine="27"/>
              <w:rPr>
                <w:rFonts w:eastAsia="Times New Roman" w:cs="Times New Roman"/>
                <w:sz w:val="20"/>
                <w:szCs w:val="20"/>
              </w:rPr>
            </w:pPr>
            <w:r>
              <w:rPr>
                <w:rFonts w:eastAsia="Times New Roman" w:cs="Times New Roman"/>
                <w:color w:val="000000"/>
                <w:sz w:val="20"/>
                <w:szCs w:val="20"/>
              </w:rPr>
              <w:t>2027</w:t>
            </w:r>
          </w:p>
        </w:tc>
        <w:tc>
          <w:tcPr>
            <w:tcW w:w="1416" w:type="dxa"/>
            <w:tcBorders>
              <w:top w:val="single" w:sz="4" w:space="0" w:color="000000"/>
              <w:left w:val="single" w:sz="4" w:space="0" w:color="000000"/>
              <w:right w:val="single" w:sz="4" w:space="0" w:color="000000"/>
            </w:tcBorders>
            <w:shd w:val="clear" w:color="auto" w:fill="auto"/>
            <w:tcMar>
              <w:top w:w="0" w:type="dxa"/>
              <w:left w:w="100" w:type="dxa"/>
              <w:bottom w:w="0" w:type="dxa"/>
              <w:right w:w="100" w:type="dxa"/>
            </w:tcMar>
          </w:tcPr>
          <w:p w14:paraId="1D595CB0" w14:textId="77777777" w:rsidR="00670FD4" w:rsidRDefault="00670FD4" w:rsidP="001925BA">
            <w:pPr>
              <w:spacing w:after="0" w:line="240" w:lineRule="auto"/>
              <w:ind w:firstLine="30"/>
              <w:rPr>
                <w:rFonts w:eastAsia="Times New Roman" w:cs="Times New Roman"/>
                <w:sz w:val="20"/>
                <w:szCs w:val="20"/>
              </w:rPr>
            </w:pPr>
            <w:r>
              <w:rPr>
                <w:rFonts w:eastAsia="Times New Roman" w:cs="Times New Roman"/>
                <w:color w:val="000000"/>
                <w:sz w:val="20"/>
                <w:szCs w:val="20"/>
              </w:rPr>
              <w:t>MMAP, MADR (ANPA), organizații profesionale de pescari</w:t>
            </w:r>
          </w:p>
        </w:tc>
        <w:tc>
          <w:tcPr>
            <w:tcW w:w="1699" w:type="dxa"/>
            <w:tcBorders>
              <w:top w:val="single" w:sz="4" w:space="0" w:color="000000"/>
              <w:left w:val="single" w:sz="4" w:space="0" w:color="000000"/>
              <w:right w:val="single" w:sz="4" w:space="0" w:color="000000"/>
            </w:tcBorders>
            <w:shd w:val="clear" w:color="auto" w:fill="auto"/>
            <w:tcMar>
              <w:top w:w="0" w:type="dxa"/>
              <w:left w:w="100" w:type="dxa"/>
              <w:bottom w:w="0" w:type="dxa"/>
              <w:right w:w="100" w:type="dxa"/>
            </w:tcMar>
          </w:tcPr>
          <w:p w14:paraId="08459FF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Programul de Pescuit și Acvacultură (PAP) 2021-2027, bugete propriu MMAP, buget propriu MADR</w:t>
            </w:r>
          </w:p>
        </w:tc>
      </w:tr>
      <w:tr w:rsidR="00670FD4" w14:paraId="6477E210" w14:textId="77777777" w:rsidTr="001925BA">
        <w:trPr>
          <w:trHeight w:val="1639"/>
        </w:trPr>
        <w:tc>
          <w:tcPr>
            <w:tcW w:w="1892" w:type="dxa"/>
            <w:vMerge/>
            <w:tcBorders>
              <w:top w:val="single" w:sz="4" w:space="0" w:color="000000"/>
              <w:left w:val="single" w:sz="6" w:space="0" w:color="000000"/>
              <w:bottom w:val="single" w:sz="4" w:space="0" w:color="auto"/>
              <w:right w:val="single" w:sz="4" w:space="0" w:color="auto"/>
            </w:tcBorders>
            <w:shd w:val="clear" w:color="auto" w:fill="auto"/>
            <w:tcMar>
              <w:top w:w="0" w:type="dxa"/>
              <w:left w:w="100" w:type="dxa"/>
              <w:bottom w:w="0" w:type="dxa"/>
              <w:right w:w="100" w:type="dxa"/>
            </w:tcMar>
          </w:tcPr>
          <w:p w14:paraId="38EC5DA6" w14:textId="77777777" w:rsidR="00670FD4" w:rsidRDefault="00670FD4" w:rsidP="001925BA">
            <w:pPr>
              <w:widowControl w:val="0"/>
              <w:pBdr>
                <w:top w:val="nil"/>
                <w:left w:val="nil"/>
                <w:bottom w:val="nil"/>
                <w:right w:val="nil"/>
                <w:between w:val="nil"/>
              </w:pBdr>
              <w:spacing w:after="0"/>
              <w:rPr>
                <w:rFonts w:eastAsia="Times New Roman" w:cs="Times New Roman"/>
                <w:sz w:val="20"/>
                <w:szCs w:val="20"/>
              </w:rPr>
            </w:pPr>
          </w:p>
        </w:tc>
        <w:tc>
          <w:tcPr>
            <w:tcW w:w="2109" w:type="dxa"/>
            <w:tcBorders>
              <w:top w:val="single" w:sz="4" w:space="0" w:color="auto"/>
              <w:left w:val="single" w:sz="4" w:space="0" w:color="auto"/>
              <w:bottom w:val="single" w:sz="4" w:space="0" w:color="auto"/>
              <w:right w:val="single" w:sz="4" w:space="0" w:color="auto"/>
            </w:tcBorders>
          </w:tcPr>
          <w:p w14:paraId="5ED180BF" w14:textId="77777777" w:rsidR="00670FD4" w:rsidRDefault="00670FD4" w:rsidP="001925BA">
            <w:pPr>
              <w:spacing w:after="0" w:line="240" w:lineRule="auto"/>
              <w:rPr>
                <w:rFonts w:eastAsia="Times New Roman" w:cs="Times New Roman"/>
                <w:color w:val="000000"/>
                <w:sz w:val="20"/>
                <w:szCs w:val="20"/>
              </w:rPr>
            </w:pPr>
          </w:p>
        </w:tc>
        <w:tc>
          <w:tcPr>
            <w:tcW w:w="4251" w:type="dxa"/>
            <w:tcBorders>
              <w:top w:val="single" w:sz="4" w:space="0" w:color="auto"/>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2644F84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A 5.3.2 Realizarea de proiecte / acțiuni pilot pentru îndepărtarea deșeurilor plutitoare și a celor scufundate, colectarea acestora și tratarea lor ulterioară, inclusiv reciclarea lor</w:t>
            </w:r>
          </w:p>
        </w:tc>
        <w:tc>
          <w:tcPr>
            <w:tcW w:w="1274"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3EF4996C" w14:textId="77777777" w:rsidR="00670FD4" w:rsidRDefault="00670FD4" w:rsidP="001925BA">
            <w:pPr>
              <w:spacing w:after="0" w:line="240" w:lineRule="auto"/>
              <w:ind w:firstLine="26"/>
              <w:rPr>
                <w:rFonts w:eastAsia="Times New Roman" w:cs="Times New Roman"/>
                <w:sz w:val="20"/>
                <w:szCs w:val="20"/>
              </w:rPr>
            </w:pPr>
            <w:r>
              <w:rPr>
                <w:rFonts w:eastAsia="Times New Roman" w:cs="Times New Roman"/>
                <w:color w:val="000000"/>
                <w:sz w:val="20"/>
                <w:szCs w:val="20"/>
              </w:rPr>
              <w:t>Medie</w:t>
            </w:r>
          </w:p>
        </w:tc>
        <w:tc>
          <w:tcPr>
            <w:tcW w:w="1415"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48AEACD6" w14:textId="77777777" w:rsidR="00670FD4" w:rsidRDefault="00670FD4" w:rsidP="001925BA">
            <w:pPr>
              <w:spacing w:after="0" w:line="240" w:lineRule="auto"/>
              <w:ind w:firstLine="27"/>
              <w:rPr>
                <w:rFonts w:eastAsia="Times New Roman" w:cs="Times New Roman"/>
                <w:sz w:val="20"/>
                <w:szCs w:val="20"/>
              </w:rPr>
            </w:pPr>
            <w:r>
              <w:rPr>
                <w:rFonts w:eastAsia="Times New Roman" w:cs="Times New Roman"/>
                <w:color w:val="000000"/>
                <w:sz w:val="20"/>
                <w:szCs w:val="20"/>
              </w:rPr>
              <w:t>2030</w:t>
            </w:r>
          </w:p>
        </w:tc>
        <w:tc>
          <w:tcPr>
            <w:tcW w:w="1416"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70295718" w14:textId="77777777" w:rsidR="00670FD4" w:rsidRDefault="00670FD4" w:rsidP="001925BA">
            <w:pPr>
              <w:spacing w:after="0" w:line="240" w:lineRule="auto"/>
              <w:ind w:firstLine="30"/>
              <w:rPr>
                <w:rFonts w:eastAsia="Times New Roman" w:cs="Times New Roman"/>
                <w:sz w:val="20"/>
                <w:szCs w:val="20"/>
              </w:rPr>
            </w:pPr>
            <w:r>
              <w:rPr>
                <w:rFonts w:eastAsia="Times New Roman" w:cs="Times New Roman"/>
                <w:color w:val="000000"/>
                <w:sz w:val="20"/>
                <w:szCs w:val="20"/>
              </w:rPr>
              <w:t>MMAP, MCID (INCDM Grigore Antipa, INCDDD), organizații de pescari, MADR (ANPA)</w:t>
            </w:r>
          </w:p>
        </w:tc>
        <w:tc>
          <w:tcPr>
            <w:tcW w:w="1699" w:type="dxa"/>
            <w:tcBorders>
              <w:top w:val="single" w:sz="4" w:space="0" w:color="auto"/>
              <w:left w:val="nil"/>
              <w:bottom w:val="single" w:sz="5" w:space="0" w:color="000000"/>
              <w:right w:val="single" w:sz="6" w:space="0" w:color="000000"/>
            </w:tcBorders>
            <w:shd w:val="clear" w:color="auto" w:fill="auto"/>
            <w:tcMar>
              <w:top w:w="0" w:type="dxa"/>
              <w:left w:w="100" w:type="dxa"/>
              <w:bottom w:w="0" w:type="dxa"/>
              <w:right w:w="100" w:type="dxa"/>
            </w:tcMar>
          </w:tcPr>
          <w:p w14:paraId="7CFF2D4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PAP, PNCDI IV</w:t>
            </w:r>
          </w:p>
        </w:tc>
      </w:tr>
    </w:tbl>
    <w:p w14:paraId="66287CB7" w14:textId="77777777" w:rsidR="00670FD4" w:rsidRDefault="00670FD4" w:rsidP="00670FD4">
      <w:pPr>
        <w:rPr>
          <w:rFonts w:eastAsia="Times New Roman" w:cs="Times New Roman"/>
        </w:rPr>
      </w:pPr>
    </w:p>
    <w:p w14:paraId="3A4570D1" w14:textId="77777777" w:rsidR="00670FD4" w:rsidRDefault="00670FD4" w:rsidP="00670FD4">
      <w:pPr>
        <w:spacing w:before="0"/>
        <w:ind w:firstLine="567"/>
        <w:rPr>
          <w:rFonts w:eastAsia="Times New Roman" w:cs="Times New Roman"/>
          <w:b/>
          <w:i/>
        </w:rPr>
      </w:pPr>
      <w:r>
        <w:rPr>
          <w:rFonts w:eastAsia="Times New Roman" w:cs="Times New Roman"/>
        </w:rPr>
        <w:t xml:space="preserve">Activitățile ce se vor realiza în vederea implementării Programului de </w:t>
      </w:r>
      <w:r>
        <w:rPr>
          <w:rFonts w:eastAsia="Times New Roman" w:cs="Times New Roman"/>
          <w:b/>
          <w:i/>
        </w:rPr>
        <w:t xml:space="preserve">Măsuri pentru gestionarea hazardelor naturale și antropice </w:t>
      </w:r>
      <w:r>
        <w:rPr>
          <w:rFonts w:eastAsia="Times New Roman" w:cs="Times New Roman"/>
        </w:rPr>
        <w:t>sunt prezentate în Tabelul de mai jos, unde sunt indicate termenele de implementare, organizațiile responsabile pentru realizarea activităților, și implicit implementarea măsurilor, precum și posibilele surse de finanțare.</w:t>
      </w:r>
    </w:p>
    <w:tbl>
      <w:tblPr>
        <w:tblW w:w="14084" w:type="dxa"/>
        <w:tblInd w:w="-56" w:type="dxa"/>
        <w:tblBorders>
          <w:top w:val="nil"/>
          <w:left w:val="nil"/>
          <w:bottom w:val="nil"/>
          <w:right w:val="nil"/>
          <w:insideH w:val="nil"/>
          <w:insideV w:val="nil"/>
        </w:tblBorders>
        <w:tblLayout w:type="fixed"/>
        <w:tblLook w:val="0600" w:firstRow="0" w:lastRow="0" w:firstColumn="0" w:lastColumn="0" w:noHBand="1" w:noVBand="1"/>
      </w:tblPr>
      <w:tblGrid>
        <w:gridCol w:w="1892"/>
        <w:gridCol w:w="2127"/>
        <w:gridCol w:w="4253"/>
        <w:gridCol w:w="1276"/>
        <w:gridCol w:w="1417"/>
        <w:gridCol w:w="1418"/>
        <w:gridCol w:w="1701"/>
      </w:tblGrid>
      <w:tr w:rsidR="00670FD4" w14:paraId="594C11C9" w14:textId="77777777" w:rsidTr="001925BA">
        <w:trPr>
          <w:trHeight w:val="570"/>
        </w:trPr>
        <w:tc>
          <w:tcPr>
            <w:tcW w:w="1892" w:type="dxa"/>
            <w:tcBorders>
              <w:top w:val="single" w:sz="5" w:space="0" w:color="000000"/>
              <w:left w:val="single" w:sz="5" w:space="0" w:color="000000"/>
              <w:bottom w:val="single" w:sz="5" w:space="0" w:color="000000"/>
              <w:right w:val="single" w:sz="4" w:space="0" w:color="auto"/>
            </w:tcBorders>
            <w:tcMar>
              <w:top w:w="0" w:type="dxa"/>
              <w:left w:w="100" w:type="dxa"/>
              <w:bottom w:w="0" w:type="dxa"/>
              <w:right w:w="100" w:type="dxa"/>
            </w:tcMar>
          </w:tcPr>
          <w:p w14:paraId="1505D0D4" w14:textId="77777777" w:rsidR="00670FD4" w:rsidRDefault="00670FD4" w:rsidP="001925BA">
            <w:pPr>
              <w:spacing w:after="0" w:line="240" w:lineRule="auto"/>
              <w:ind w:hanging="50"/>
              <w:rPr>
                <w:rFonts w:eastAsia="Times New Roman" w:cs="Times New Roman"/>
                <w:sz w:val="20"/>
                <w:szCs w:val="20"/>
              </w:rPr>
            </w:pPr>
            <w:bookmarkStart w:id="150" w:name="_heading=h.2iq8gzs" w:colFirst="0" w:colLast="0"/>
            <w:bookmarkEnd w:id="150"/>
            <w:r>
              <w:rPr>
                <w:rFonts w:eastAsia="Times New Roman" w:cs="Times New Roman"/>
                <w:sz w:val="20"/>
                <w:szCs w:val="20"/>
              </w:rPr>
              <w:t>Măsură</w:t>
            </w:r>
          </w:p>
        </w:tc>
        <w:tc>
          <w:tcPr>
            <w:tcW w:w="2127" w:type="dxa"/>
            <w:tcBorders>
              <w:top w:val="single" w:sz="4" w:space="0" w:color="auto"/>
              <w:left w:val="single" w:sz="4" w:space="0" w:color="auto"/>
              <w:bottom w:val="single" w:sz="4" w:space="0" w:color="auto"/>
              <w:right w:val="single" w:sz="4" w:space="0" w:color="auto"/>
            </w:tcBorders>
          </w:tcPr>
          <w:p w14:paraId="1B2912C2" w14:textId="77777777" w:rsidR="00670FD4" w:rsidRPr="00DF369E" w:rsidRDefault="00670FD4" w:rsidP="001925BA">
            <w:pPr>
              <w:spacing w:after="0" w:line="240" w:lineRule="auto"/>
              <w:ind w:firstLine="35"/>
              <w:rPr>
                <w:rFonts w:eastAsia="Times New Roman" w:cs="Times New Roman"/>
                <w:b/>
                <w:sz w:val="20"/>
                <w:szCs w:val="20"/>
              </w:rPr>
            </w:pPr>
            <w:r>
              <w:rPr>
                <w:rFonts w:eastAsia="Times New Roman" w:cs="Times New Roman"/>
                <w:b/>
                <w:sz w:val="20"/>
                <w:szCs w:val="20"/>
              </w:rPr>
              <w:t>Obiective vizate</w:t>
            </w:r>
          </w:p>
        </w:tc>
        <w:tc>
          <w:tcPr>
            <w:tcW w:w="4253" w:type="dxa"/>
            <w:tcBorders>
              <w:top w:val="single" w:sz="5" w:space="0" w:color="000000"/>
              <w:left w:val="single" w:sz="4" w:space="0" w:color="auto"/>
              <w:bottom w:val="single" w:sz="5" w:space="0" w:color="000000"/>
              <w:right w:val="single" w:sz="5" w:space="0" w:color="000000"/>
            </w:tcBorders>
            <w:tcMar>
              <w:top w:w="0" w:type="dxa"/>
              <w:left w:w="100" w:type="dxa"/>
              <w:bottom w:w="0" w:type="dxa"/>
              <w:right w:w="100" w:type="dxa"/>
            </w:tcMar>
          </w:tcPr>
          <w:p w14:paraId="11C169BB" w14:textId="77777777" w:rsidR="00670FD4" w:rsidRPr="00DF369E" w:rsidRDefault="00670FD4" w:rsidP="001925BA">
            <w:pPr>
              <w:spacing w:after="0" w:line="240" w:lineRule="auto"/>
              <w:ind w:firstLine="42"/>
              <w:rPr>
                <w:rFonts w:eastAsia="Times New Roman" w:cs="Times New Roman"/>
                <w:b/>
                <w:sz w:val="20"/>
                <w:szCs w:val="20"/>
              </w:rPr>
            </w:pPr>
            <w:r w:rsidRPr="00DF369E">
              <w:rPr>
                <w:rFonts w:eastAsia="Times New Roman" w:cs="Times New Roman"/>
                <w:b/>
                <w:sz w:val="20"/>
                <w:szCs w:val="20"/>
              </w:rPr>
              <w:t>Activitate</w:t>
            </w:r>
          </w:p>
        </w:tc>
        <w:tc>
          <w:tcPr>
            <w:tcW w:w="1276"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4401E8D3" w14:textId="77777777" w:rsidR="00670FD4" w:rsidRDefault="00670FD4" w:rsidP="001925BA">
            <w:pPr>
              <w:spacing w:after="0" w:line="240" w:lineRule="auto"/>
              <w:ind w:hanging="100"/>
              <w:rPr>
                <w:rFonts w:eastAsia="Times New Roman" w:cs="Times New Roman"/>
                <w:sz w:val="20"/>
                <w:szCs w:val="20"/>
              </w:rPr>
            </w:pPr>
            <w:r>
              <w:rPr>
                <w:rFonts w:eastAsia="Times New Roman" w:cs="Times New Roman"/>
                <w:sz w:val="20"/>
                <w:szCs w:val="20"/>
              </w:rPr>
              <w:t>Prioritate</w:t>
            </w:r>
          </w:p>
        </w:tc>
        <w:tc>
          <w:tcPr>
            <w:tcW w:w="1417"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184DC1D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Termen de implementare</w:t>
            </w:r>
          </w:p>
        </w:tc>
        <w:tc>
          <w:tcPr>
            <w:tcW w:w="1418"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7A12311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Instituții responsabile</w:t>
            </w:r>
          </w:p>
        </w:tc>
        <w:tc>
          <w:tcPr>
            <w:tcW w:w="1701"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26F327D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Finanțare</w:t>
            </w:r>
          </w:p>
        </w:tc>
      </w:tr>
      <w:tr w:rsidR="00670FD4" w14:paraId="02281EE6" w14:textId="77777777" w:rsidTr="001925BA">
        <w:trPr>
          <w:trHeight w:val="528"/>
        </w:trPr>
        <w:tc>
          <w:tcPr>
            <w:tcW w:w="1892" w:type="dxa"/>
            <w:vMerge w:val="restart"/>
            <w:tcBorders>
              <w:top w:val="nil"/>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56532C14" w14:textId="77777777" w:rsidR="00670FD4" w:rsidRDefault="00670FD4" w:rsidP="001925BA">
            <w:pPr>
              <w:spacing w:after="0" w:line="240" w:lineRule="auto"/>
              <w:ind w:hanging="50"/>
              <w:rPr>
                <w:rFonts w:eastAsia="Times New Roman" w:cs="Times New Roman"/>
                <w:sz w:val="20"/>
                <w:szCs w:val="20"/>
              </w:rPr>
            </w:pPr>
            <w:r>
              <w:rPr>
                <w:rFonts w:eastAsia="Times New Roman" w:cs="Times New Roman"/>
                <w:sz w:val="20"/>
                <w:szCs w:val="20"/>
              </w:rPr>
              <w:t>M6.1 Aplicarea de soluții moderne, simple și cost-eficiente pentru monitorizarea efectelor eroziunii costiere</w:t>
            </w:r>
          </w:p>
        </w:tc>
        <w:tc>
          <w:tcPr>
            <w:tcW w:w="2127" w:type="dxa"/>
            <w:vMerge w:val="restart"/>
            <w:tcBorders>
              <w:top w:val="single" w:sz="4" w:space="0" w:color="auto"/>
              <w:left w:val="single" w:sz="4" w:space="0" w:color="auto"/>
              <w:right w:val="single" w:sz="4" w:space="0" w:color="auto"/>
            </w:tcBorders>
          </w:tcPr>
          <w:p w14:paraId="4FCECFDC" w14:textId="77777777" w:rsidR="00670FD4" w:rsidRPr="00DF369E" w:rsidRDefault="00670FD4" w:rsidP="001925BA">
            <w:pPr>
              <w:spacing w:line="240" w:lineRule="auto"/>
              <w:ind w:firstLine="35"/>
              <w:rPr>
                <w:rFonts w:eastAsia="Times New Roman" w:cs="Times New Roman"/>
                <w:sz w:val="20"/>
                <w:szCs w:val="20"/>
              </w:rPr>
            </w:pPr>
            <w:r w:rsidRPr="00DF369E">
              <w:rPr>
                <w:rFonts w:eastAsia="Times New Roman" w:cs="Times New Roman"/>
                <w:sz w:val="20"/>
                <w:szCs w:val="20"/>
              </w:rPr>
              <w:t>Os2.d Întărirea sistemului de management al riscurilor pentru hazarde naturale și antropice, luând în calcul și impactul schimbărilor climatice;</w:t>
            </w:r>
          </w:p>
          <w:p w14:paraId="4C090788" w14:textId="77777777" w:rsidR="00670FD4" w:rsidRDefault="00670FD4" w:rsidP="001925BA">
            <w:pPr>
              <w:spacing w:line="240" w:lineRule="auto"/>
              <w:ind w:firstLine="35"/>
              <w:rPr>
                <w:rFonts w:eastAsia="Times New Roman" w:cs="Times New Roman"/>
                <w:sz w:val="20"/>
                <w:szCs w:val="20"/>
              </w:rPr>
            </w:pPr>
            <w:r w:rsidRPr="00DF369E">
              <w:rPr>
                <w:rFonts w:eastAsia="Times New Roman" w:cs="Times New Roman"/>
                <w:sz w:val="20"/>
                <w:szCs w:val="20"/>
              </w:rPr>
              <w:t>Os3.b. Stabilirea unui sistem performant de supraveghere a eficienței implementării planificării spațiale prin realizarea Geamănului Digital (Digital Twin) a litoralului românesc</w:t>
            </w:r>
          </w:p>
        </w:tc>
        <w:tc>
          <w:tcPr>
            <w:tcW w:w="4253"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1172D9BB"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A 6.1.1 Dezvoltarea unui serviciu național operațional, automat și gratuit de monitorizare a liniei țărmului pe baza imaginilor satelitare cu acces liber și gratuite (precum Sentinel-2 sau Landsat 8/9)</w:t>
            </w:r>
          </w:p>
        </w:tc>
        <w:tc>
          <w:tcPr>
            <w:tcW w:w="127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E178EEE" w14:textId="77777777" w:rsidR="00670FD4" w:rsidRDefault="00670FD4" w:rsidP="001925BA">
            <w:pPr>
              <w:spacing w:after="0" w:line="240" w:lineRule="auto"/>
              <w:ind w:hanging="100"/>
              <w:rPr>
                <w:rFonts w:eastAsia="Times New Roman" w:cs="Times New Roman"/>
                <w:sz w:val="20"/>
                <w:szCs w:val="20"/>
              </w:rPr>
            </w:pPr>
            <w:r>
              <w:rPr>
                <w:rFonts w:eastAsia="Times New Roman" w:cs="Times New Roman"/>
                <w:sz w:val="20"/>
                <w:szCs w:val="20"/>
              </w:rPr>
              <w:t>Medie</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8D342E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2027</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BBAC7A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MCID (INCDM Grigore Antipa, INCD GeoEcoMar), ME (UB, UOC)</w:t>
            </w:r>
          </w:p>
        </w:tc>
        <w:tc>
          <w:tcPr>
            <w:tcW w:w="1701"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7891CF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Planul Național de Cercetare Dezvoltare și Inovare 2022-2027 (PNCDI IV), și Horizon Europe</w:t>
            </w:r>
          </w:p>
        </w:tc>
      </w:tr>
      <w:tr w:rsidR="00670FD4" w14:paraId="1AB1CFAE" w14:textId="77777777" w:rsidTr="001925BA">
        <w:trPr>
          <w:trHeight w:val="981"/>
        </w:trPr>
        <w:tc>
          <w:tcPr>
            <w:tcW w:w="1892" w:type="dxa"/>
            <w:vMerge/>
            <w:tcBorders>
              <w:top w:val="nil"/>
              <w:left w:val="single" w:sz="5" w:space="0" w:color="000000"/>
              <w:bottom w:val="single" w:sz="4" w:space="0" w:color="auto"/>
              <w:right w:val="single" w:sz="4" w:space="0" w:color="auto"/>
            </w:tcBorders>
            <w:shd w:val="clear" w:color="auto" w:fill="auto"/>
            <w:tcMar>
              <w:top w:w="0" w:type="dxa"/>
              <w:left w:w="100" w:type="dxa"/>
              <w:bottom w:w="0" w:type="dxa"/>
              <w:right w:w="100" w:type="dxa"/>
            </w:tcMar>
          </w:tcPr>
          <w:p w14:paraId="58360CC2" w14:textId="77777777" w:rsidR="00670FD4" w:rsidRDefault="00670FD4" w:rsidP="001925BA">
            <w:pPr>
              <w:widowControl w:val="0"/>
              <w:pBdr>
                <w:top w:val="nil"/>
                <w:left w:val="nil"/>
                <w:bottom w:val="nil"/>
                <w:right w:val="nil"/>
                <w:between w:val="nil"/>
              </w:pBdr>
              <w:spacing w:after="0"/>
              <w:ind w:hanging="50"/>
              <w:rPr>
                <w:rFonts w:eastAsia="Times New Roman" w:cs="Times New Roman"/>
                <w:sz w:val="20"/>
                <w:szCs w:val="20"/>
              </w:rPr>
            </w:pPr>
          </w:p>
        </w:tc>
        <w:tc>
          <w:tcPr>
            <w:tcW w:w="2127" w:type="dxa"/>
            <w:vMerge/>
            <w:tcBorders>
              <w:left w:val="single" w:sz="4" w:space="0" w:color="auto"/>
              <w:bottom w:val="single" w:sz="4" w:space="0" w:color="auto"/>
              <w:right w:val="single" w:sz="4" w:space="0" w:color="auto"/>
            </w:tcBorders>
          </w:tcPr>
          <w:p w14:paraId="2C9458F4" w14:textId="77777777" w:rsidR="00670FD4" w:rsidRDefault="00670FD4" w:rsidP="001925BA">
            <w:pPr>
              <w:spacing w:after="0" w:line="240" w:lineRule="auto"/>
              <w:ind w:firstLine="35"/>
              <w:rPr>
                <w:rFonts w:eastAsia="Times New Roman" w:cs="Times New Roman"/>
                <w:sz w:val="20"/>
                <w:szCs w:val="20"/>
              </w:rPr>
            </w:pPr>
          </w:p>
        </w:tc>
        <w:tc>
          <w:tcPr>
            <w:tcW w:w="4253" w:type="dxa"/>
            <w:tcBorders>
              <w:top w:val="nil"/>
              <w:left w:val="single" w:sz="4" w:space="0" w:color="auto"/>
              <w:bottom w:val="single" w:sz="4" w:space="0" w:color="auto"/>
              <w:right w:val="single" w:sz="5" w:space="0" w:color="000000"/>
            </w:tcBorders>
            <w:shd w:val="clear" w:color="auto" w:fill="auto"/>
            <w:tcMar>
              <w:top w:w="0" w:type="dxa"/>
              <w:left w:w="100" w:type="dxa"/>
              <w:bottom w:w="0" w:type="dxa"/>
              <w:right w:w="100" w:type="dxa"/>
            </w:tcMar>
          </w:tcPr>
          <w:p w14:paraId="52255764"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A 6.1.2 Implementarea sistemului național de monitorizare a liniei țărmului mării</w:t>
            </w:r>
          </w:p>
          <w:p w14:paraId="7D966D7E"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 xml:space="preserve"> </w:t>
            </w:r>
          </w:p>
        </w:tc>
        <w:tc>
          <w:tcPr>
            <w:tcW w:w="1276"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0EF376A2" w14:textId="77777777" w:rsidR="00670FD4" w:rsidRDefault="00670FD4" w:rsidP="001925BA">
            <w:pPr>
              <w:spacing w:after="0" w:line="240" w:lineRule="auto"/>
              <w:ind w:hanging="100"/>
              <w:rPr>
                <w:rFonts w:eastAsia="Times New Roman" w:cs="Times New Roman"/>
                <w:sz w:val="20"/>
                <w:szCs w:val="20"/>
              </w:rPr>
            </w:pPr>
            <w:r>
              <w:rPr>
                <w:rFonts w:eastAsia="Times New Roman" w:cs="Times New Roman"/>
                <w:sz w:val="20"/>
                <w:szCs w:val="20"/>
              </w:rPr>
              <w:t>Medie</w:t>
            </w:r>
          </w:p>
        </w:tc>
        <w:tc>
          <w:tcPr>
            <w:tcW w:w="1417"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2D1AE21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8"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7B5F8F5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MMAP</w:t>
            </w:r>
          </w:p>
        </w:tc>
        <w:tc>
          <w:tcPr>
            <w:tcW w:w="1701"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1C0C309E"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 propriu MMAP</w:t>
            </w:r>
          </w:p>
        </w:tc>
      </w:tr>
      <w:tr w:rsidR="00670FD4" w14:paraId="7D1FF455" w14:textId="77777777" w:rsidTr="001925BA">
        <w:trPr>
          <w:trHeight w:val="1395"/>
        </w:trPr>
        <w:tc>
          <w:tcPr>
            <w:tcW w:w="1892" w:type="dxa"/>
            <w:vMerge w:val="restart"/>
            <w:tcBorders>
              <w:top w:val="single" w:sz="4" w:space="0" w:color="auto"/>
              <w:left w:val="single" w:sz="6" w:space="0" w:color="000000"/>
              <w:bottom w:val="single" w:sz="5" w:space="0" w:color="000000"/>
              <w:right w:val="single" w:sz="4" w:space="0" w:color="auto"/>
            </w:tcBorders>
            <w:shd w:val="clear" w:color="auto" w:fill="auto"/>
            <w:tcMar>
              <w:top w:w="0" w:type="dxa"/>
              <w:left w:w="100" w:type="dxa"/>
              <w:bottom w:w="0" w:type="dxa"/>
              <w:right w:w="100" w:type="dxa"/>
            </w:tcMar>
          </w:tcPr>
          <w:p w14:paraId="3278F51E" w14:textId="77777777" w:rsidR="00670FD4" w:rsidRDefault="00670FD4" w:rsidP="001925BA">
            <w:pPr>
              <w:spacing w:after="0" w:line="240" w:lineRule="auto"/>
              <w:ind w:hanging="50"/>
              <w:rPr>
                <w:rFonts w:eastAsia="Times New Roman" w:cs="Times New Roman"/>
                <w:sz w:val="20"/>
                <w:szCs w:val="20"/>
              </w:rPr>
            </w:pPr>
            <w:r>
              <w:rPr>
                <w:rFonts w:eastAsia="Times New Roman" w:cs="Times New Roman"/>
                <w:sz w:val="20"/>
                <w:szCs w:val="20"/>
              </w:rPr>
              <w:t>M6.2 Îmbunătățirea managementului sedimentelor în Delta Dunării și pe țărmu românesc al Mării Negre</w:t>
            </w:r>
          </w:p>
        </w:tc>
        <w:tc>
          <w:tcPr>
            <w:tcW w:w="2127" w:type="dxa"/>
            <w:vMerge w:val="restart"/>
            <w:tcBorders>
              <w:top w:val="single" w:sz="4" w:space="0" w:color="auto"/>
              <w:left w:val="single" w:sz="4" w:space="0" w:color="auto"/>
              <w:right w:val="single" w:sz="4" w:space="0" w:color="auto"/>
            </w:tcBorders>
          </w:tcPr>
          <w:p w14:paraId="65604E7F" w14:textId="77777777" w:rsidR="00670FD4" w:rsidRPr="00DF369E" w:rsidRDefault="00670FD4" w:rsidP="001925BA">
            <w:pPr>
              <w:spacing w:line="240" w:lineRule="auto"/>
              <w:ind w:firstLine="35"/>
              <w:rPr>
                <w:rFonts w:eastAsia="Times New Roman" w:cs="Times New Roman"/>
                <w:sz w:val="20"/>
                <w:szCs w:val="20"/>
              </w:rPr>
            </w:pPr>
            <w:r w:rsidRPr="00DF369E">
              <w:rPr>
                <w:rFonts w:eastAsia="Times New Roman" w:cs="Times New Roman"/>
                <w:sz w:val="20"/>
                <w:szCs w:val="20"/>
              </w:rPr>
              <w:t xml:space="preserve">Os2.d Întărirea sistemului de management al riscurilor pentru hazarde naturale și antropice, luând în </w:t>
            </w:r>
            <w:r w:rsidRPr="00DF369E">
              <w:rPr>
                <w:rFonts w:eastAsia="Times New Roman" w:cs="Times New Roman"/>
                <w:sz w:val="20"/>
                <w:szCs w:val="20"/>
              </w:rPr>
              <w:lastRenderedPageBreak/>
              <w:t>calcul și impactul schimbărilor climatice;</w:t>
            </w:r>
          </w:p>
          <w:p w14:paraId="3AB04CBB" w14:textId="77777777" w:rsidR="00670FD4" w:rsidRDefault="00670FD4" w:rsidP="001925BA">
            <w:pPr>
              <w:spacing w:line="240" w:lineRule="auto"/>
              <w:ind w:firstLine="35"/>
              <w:rPr>
                <w:rFonts w:eastAsia="Times New Roman" w:cs="Times New Roman"/>
                <w:sz w:val="20"/>
                <w:szCs w:val="20"/>
              </w:rPr>
            </w:pPr>
            <w:r w:rsidRPr="00DF369E">
              <w:rPr>
                <w:rFonts w:eastAsia="Times New Roman" w:cs="Times New Roman"/>
                <w:sz w:val="20"/>
                <w:szCs w:val="20"/>
              </w:rPr>
              <w:t>Os3.b. Stabilirea unui sistem performant de supraveghere a eficienței implementării planificării spațiale prin realizarea Geamănului Digital (Digital Twin) a litoralului românesc</w:t>
            </w:r>
          </w:p>
        </w:tc>
        <w:tc>
          <w:tcPr>
            <w:tcW w:w="4253" w:type="dxa"/>
            <w:tcBorders>
              <w:top w:val="single" w:sz="4" w:space="0" w:color="auto"/>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187C7FAC"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lastRenderedPageBreak/>
              <w:t>A 6.2.1 Dezvoltarea de instrumente moderne și cost eficiente de monitorizare a fluxului sedimentelor în interiorul Deltei Dunării, cât și pe întreg țărmul românesc al Mării Negre</w:t>
            </w:r>
          </w:p>
        </w:tc>
        <w:tc>
          <w:tcPr>
            <w:tcW w:w="1276"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7B3AA5E0" w14:textId="77777777" w:rsidR="00670FD4" w:rsidRDefault="00670FD4" w:rsidP="001925BA">
            <w:pPr>
              <w:spacing w:after="0" w:line="240" w:lineRule="auto"/>
              <w:ind w:hanging="100"/>
              <w:rPr>
                <w:rFonts w:eastAsia="Times New Roman" w:cs="Times New Roman"/>
                <w:sz w:val="20"/>
                <w:szCs w:val="20"/>
              </w:rPr>
            </w:pPr>
            <w:r>
              <w:rPr>
                <w:rFonts w:eastAsia="Times New Roman" w:cs="Times New Roman"/>
                <w:sz w:val="20"/>
                <w:szCs w:val="20"/>
              </w:rPr>
              <w:t>Medie</w:t>
            </w:r>
          </w:p>
        </w:tc>
        <w:tc>
          <w:tcPr>
            <w:tcW w:w="1417"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13FA6BA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8"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0900A11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MCID (INCD GeoEcoMar, INCDM Grigore Antipa, INCDDD), ME (UB)</w:t>
            </w:r>
          </w:p>
        </w:tc>
        <w:tc>
          <w:tcPr>
            <w:tcW w:w="1701" w:type="dxa"/>
            <w:tcBorders>
              <w:top w:val="single" w:sz="4" w:space="0" w:color="auto"/>
              <w:left w:val="nil"/>
              <w:bottom w:val="single" w:sz="5" w:space="0" w:color="000000"/>
              <w:right w:val="single" w:sz="6" w:space="0" w:color="000000"/>
            </w:tcBorders>
            <w:shd w:val="clear" w:color="auto" w:fill="auto"/>
            <w:tcMar>
              <w:top w:w="0" w:type="dxa"/>
              <w:left w:w="100" w:type="dxa"/>
              <w:bottom w:w="0" w:type="dxa"/>
              <w:right w:w="100" w:type="dxa"/>
            </w:tcMar>
          </w:tcPr>
          <w:p w14:paraId="7830A46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PNCDI IV, PNRR și Horizon Europe</w:t>
            </w:r>
          </w:p>
        </w:tc>
      </w:tr>
      <w:tr w:rsidR="00670FD4" w14:paraId="019F81BF" w14:textId="77777777" w:rsidTr="001925BA">
        <w:trPr>
          <w:trHeight w:val="1665"/>
        </w:trPr>
        <w:tc>
          <w:tcPr>
            <w:tcW w:w="1892" w:type="dxa"/>
            <w:vMerge/>
            <w:tcBorders>
              <w:top w:val="nil"/>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4DED56E4" w14:textId="77777777" w:rsidR="00670FD4" w:rsidRDefault="00670FD4" w:rsidP="001925BA">
            <w:pPr>
              <w:widowControl w:val="0"/>
              <w:pBdr>
                <w:top w:val="nil"/>
                <w:left w:val="nil"/>
                <w:bottom w:val="nil"/>
                <w:right w:val="nil"/>
                <w:between w:val="nil"/>
              </w:pBdr>
              <w:spacing w:after="0"/>
              <w:ind w:hanging="50"/>
              <w:rPr>
                <w:rFonts w:eastAsia="Times New Roman" w:cs="Times New Roman"/>
                <w:sz w:val="20"/>
                <w:szCs w:val="20"/>
              </w:rPr>
            </w:pPr>
          </w:p>
        </w:tc>
        <w:tc>
          <w:tcPr>
            <w:tcW w:w="2127" w:type="dxa"/>
            <w:vMerge/>
            <w:tcBorders>
              <w:left w:val="single" w:sz="4" w:space="0" w:color="auto"/>
              <w:bottom w:val="single" w:sz="4" w:space="0" w:color="auto"/>
              <w:right w:val="single" w:sz="4" w:space="0" w:color="auto"/>
            </w:tcBorders>
          </w:tcPr>
          <w:p w14:paraId="252B45F7" w14:textId="77777777" w:rsidR="00670FD4" w:rsidRDefault="00670FD4" w:rsidP="001925BA">
            <w:pPr>
              <w:spacing w:after="0" w:line="240" w:lineRule="auto"/>
              <w:ind w:firstLine="35"/>
              <w:rPr>
                <w:rFonts w:eastAsia="Times New Roman" w:cs="Times New Roman"/>
                <w:sz w:val="20"/>
                <w:szCs w:val="20"/>
              </w:rPr>
            </w:pPr>
          </w:p>
        </w:tc>
        <w:tc>
          <w:tcPr>
            <w:tcW w:w="4253"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0827E61B"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A 6.2.2 Crearea unor mecanisme de management al sedimentelor în Delta Dunării și pe țărmul românesc al Mării Negre</w:t>
            </w:r>
          </w:p>
        </w:tc>
        <w:tc>
          <w:tcPr>
            <w:tcW w:w="127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DB35752" w14:textId="77777777" w:rsidR="00670FD4" w:rsidRDefault="00670FD4" w:rsidP="001925BA">
            <w:pPr>
              <w:spacing w:after="0" w:line="240" w:lineRule="auto"/>
              <w:ind w:hanging="100"/>
              <w:rPr>
                <w:rFonts w:eastAsia="Times New Roman" w:cs="Times New Roman"/>
                <w:sz w:val="20"/>
                <w:szCs w:val="20"/>
              </w:rPr>
            </w:pPr>
            <w:r>
              <w:rPr>
                <w:rFonts w:eastAsia="Times New Roman" w:cs="Times New Roman"/>
                <w:sz w:val="20"/>
                <w:szCs w:val="20"/>
              </w:rPr>
              <w:t>Medie</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429E9D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6FD8D8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MMAP, MCID (INCD GeoEcoMar, INCDM Grigore Antipa, INCDDD), ME (UB)</w:t>
            </w:r>
          </w:p>
        </w:tc>
        <w:tc>
          <w:tcPr>
            <w:tcW w:w="1701"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82BC133"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PNCDI IV, , PNRR și Horizon Europe</w:t>
            </w:r>
          </w:p>
        </w:tc>
      </w:tr>
      <w:tr w:rsidR="00670FD4" w14:paraId="3D33C85F" w14:textId="77777777" w:rsidTr="001925BA">
        <w:trPr>
          <w:trHeight w:val="555"/>
        </w:trPr>
        <w:tc>
          <w:tcPr>
            <w:tcW w:w="1892" w:type="dxa"/>
            <w:vMerge w:val="restart"/>
            <w:tcBorders>
              <w:top w:val="nil"/>
              <w:left w:val="single" w:sz="6" w:space="0" w:color="000000"/>
              <w:bottom w:val="single" w:sz="5" w:space="0" w:color="000000"/>
              <w:right w:val="single" w:sz="4" w:space="0" w:color="auto"/>
            </w:tcBorders>
            <w:shd w:val="clear" w:color="auto" w:fill="auto"/>
            <w:tcMar>
              <w:top w:w="0" w:type="dxa"/>
              <w:left w:w="100" w:type="dxa"/>
              <w:bottom w:w="0" w:type="dxa"/>
              <w:right w:w="100" w:type="dxa"/>
            </w:tcMar>
          </w:tcPr>
          <w:p w14:paraId="5F41230C" w14:textId="77777777" w:rsidR="00670FD4" w:rsidRDefault="00670FD4" w:rsidP="001925BA">
            <w:pPr>
              <w:spacing w:after="0" w:line="240" w:lineRule="auto"/>
              <w:ind w:hanging="50"/>
              <w:rPr>
                <w:rFonts w:eastAsia="Times New Roman" w:cs="Times New Roman"/>
                <w:sz w:val="20"/>
                <w:szCs w:val="20"/>
              </w:rPr>
            </w:pPr>
            <w:r>
              <w:rPr>
                <w:rFonts w:eastAsia="Times New Roman" w:cs="Times New Roman"/>
                <w:sz w:val="20"/>
                <w:szCs w:val="20"/>
              </w:rPr>
              <w:t>M6.3 Realizarea unei evaluări detaliate a vulnerabilității zonei de coastă la furtuni extreme, identificarea și analizarea riscurilor potențiale și stabilirea de măsuri prioritare de prevenire, atenuare, adaptare și remediere</w:t>
            </w:r>
          </w:p>
        </w:tc>
        <w:tc>
          <w:tcPr>
            <w:tcW w:w="2127" w:type="dxa"/>
            <w:vMerge w:val="restart"/>
            <w:tcBorders>
              <w:top w:val="single" w:sz="4" w:space="0" w:color="auto"/>
              <w:left w:val="single" w:sz="4" w:space="0" w:color="auto"/>
              <w:right w:val="single" w:sz="4" w:space="0" w:color="auto"/>
            </w:tcBorders>
          </w:tcPr>
          <w:p w14:paraId="60EA7912" w14:textId="77777777" w:rsidR="00670FD4" w:rsidRDefault="00670FD4" w:rsidP="001925BA">
            <w:pPr>
              <w:spacing w:after="0" w:line="240" w:lineRule="auto"/>
              <w:ind w:firstLine="35"/>
              <w:rPr>
                <w:rFonts w:eastAsia="Times New Roman" w:cs="Times New Roman"/>
                <w:sz w:val="20"/>
                <w:szCs w:val="20"/>
              </w:rPr>
            </w:pPr>
            <w:r w:rsidRPr="00DF369E">
              <w:rPr>
                <w:rFonts w:eastAsia="Times New Roman" w:cs="Times New Roman"/>
                <w:sz w:val="20"/>
                <w:szCs w:val="20"/>
              </w:rPr>
              <w:t>Os2.d Întărirea sistemului de management al riscurilor pentru hazarde naturale și antropice, luând în calcul și impactul schimbărilor climatice.</w:t>
            </w:r>
          </w:p>
        </w:tc>
        <w:tc>
          <w:tcPr>
            <w:tcW w:w="4253"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1E339A8E"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A 6.3.1 Extinderea spațială a rețelei de maregrafe și anemografe</w:t>
            </w:r>
          </w:p>
        </w:tc>
        <w:tc>
          <w:tcPr>
            <w:tcW w:w="127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CBD0C75" w14:textId="77777777" w:rsidR="00670FD4" w:rsidRDefault="00670FD4" w:rsidP="001925BA">
            <w:pPr>
              <w:spacing w:after="0" w:line="240" w:lineRule="auto"/>
              <w:ind w:hanging="100"/>
              <w:rPr>
                <w:rFonts w:eastAsia="Times New Roman" w:cs="Times New Roman"/>
                <w:sz w:val="20"/>
                <w:szCs w:val="20"/>
              </w:rPr>
            </w:pPr>
            <w:r>
              <w:rPr>
                <w:rFonts w:eastAsia="Times New Roman" w:cs="Times New Roman"/>
                <w:sz w:val="20"/>
                <w:szCs w:val="20"/>
              </w:rPr>
              <w:t>Medie</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B93BA4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D5ECEA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MMAP (ANM, ABADL)</w:t>
            </w:r>
          </w:p>
        </w:tc>
        <w:tc>
          <w:tcPr>
            <w:tcW w:w="1701" w:type="dxa"/>
            <w:tcBorders>
              <w:top w:val="nil"/>
              <w:left w:val="nil"/>
              <w:bottom w:val="single" w:sz="5" w:space="0" w:color="000000"/>
              <w:right w:val="single" w:sz="6" w:space="0" w:color="000000"/>
            </w:tcBorders>
            <w:shd w:val="clear" w:color="auto" w:fill="auto"/>
            <w:tcMar>
              <w:top w:w="0" w:type="dxa"/>
              <w:left w:w="100" w:type="dxa"/>
              <w:bottom w:w="0" w:type="dxa"/>
              <w:right w:w="100" w:type="dxa"/>
            </w:tcMar>
          </w:tcPr>
          <w:p w14:paraId="2929A1E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 propriu MMAP, Programul Regional Sud-Est</w:t>
            </w:r>
          </w:p>
        </w:tc>
      </w:tr>
      <w:tr w:rsidR="00670FD4" w14:paraId="30248E4F" w14:textId="77777777" w:rsidTr="001925BA">
        <w:trPr>
          <w:trHeight w:val="907"/>
        </w:trPr>
        <w:tc>
          <w:tcPr>
            <w:tcW w:w="1892" w:type="dxa"/>
            <w:vMerge/>
            <w:tcBorders>
              <w:top w:val="nil"/>
              <w:left w:val="single" w:sz="6" w:space="0" w:color="000000"/>
              <w:bottom w:val="single" w:sz="5" w:space="0" w:color="000000"/>
              <w:right w:val="single" w:sz="4" w:space="0" w:color="auto"/>
            </w:tcBorders>
            <w:shd w:val="clear" w:color="auto" w:fill="auto"/>
            <w:tcMar>
              <w:top w:w="0" w:type="dxa"/>
              <w:left w:w="100" w:type="dxa"/>
              <w:bottom w:w="0" w:type="dxa"/>
              <w:right w:w="100" w:type="dxa"/>
            </w:tcMar>
          </w:tcPr>
          <w:p w14:paraId="069AAE9F" w14:textId="77777777" w:rsidR="00670FD4" w:rsidRDefault="00670FD4" w:rsidP="001925BA">
            <w:pPr>
              <w:widowControl w:val="0"/>
              <w:pBdr>
                <w:top w:val="nil"/>
                <w:left w:val="nil"/>
                <w:bottom w:val="nil"/>
                <w:right w:val="nil"/>
                <w:between w:val="nil"/>
              </w:pBdr>
              <w:spacing w:after="0"/>
              <w:rPr>
                <w:rFonts w:eastAsia="Times New Roman" w:cs="Times New Roman"/>
                <w:sz w:val="20"/>
                <w:szCs w:val="20"/>
              </w:rPr>
            </w:pPr>
          </w:p>
        </w:tc>
        <w:tc>
          <w:tcPr>
            <w:tcW w:w="2127" w:type="dxa"/>
            <w:vMerge/>
            <w:tcBorders>
              <w:left w:val="single" w:sz="4" w:space="0" w:color="auto"/>
              <w:right w:val="single" w:sz="4" w:space="0" w:color="auto"/>
            </w:tcBorders>
          </w:tcPr>
          <w:p w14:paraId="7729AF86" w14:textId="77777777" w:rsidR="00670FD4" w:rsidRDefault="00670FD4" w:rsidP="001925BA">
            <w:pPr>
              <w:spacing w:after="0" w:line="240" w:lineRule="auto"/>
              <w:ind w:firstLine="35"/>
              <w:rPr>
                <w:rFonts w:eastAsia="Times New Roman" w:cs="Times New Roman"/>
                <w:sz w:val="20"/>
                <w:szCs w:val="20"/>
              </w:rPr>
            </w:pPr>
          </w:p>
        </w:tc>
        <w:tc>
          <w:tcPr>
            <w:tcW w:w="4253"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153F9680"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A 6.3.2 Dezvoltarea de sisteme inteligente de observații meteorologice, hidrologice și hidrografice locale ca suport pentru evaluarea riscurilor</w:t>
            </w:r>
          </w:p>
        </w:tc>
        <w:tc>
          <w:tcPr>
            <w:tcW w:w="127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37D78DA" w14:textId="77777777" w:rsidR="00670FD4" w:rsidRDefault="00670FD4" w:rsidP="001925BA">
            <w:pPr>
              <w:spacing w:after="0" w:line="240" w:lineRule="auto"/>
              <w:ind w:hanging="100"/>
              <w:rPr>
                <w:rFonts w:eastAsia="Times New Roman" w:cs="Times New Roman"/>
                <w:sz w:val="20"/>
                <w:szCs w:val="20"/>
              </w:rPr>
            </w:pPr>
            <w:r>
              <w:rPr>
                <w:rFonts w:eastAsia="Times New Roman" w:cs="Times New Roman"/>
                <w:sz w:val="20"/>
                <w:szCs w:val="20"/>
              </w:rPr>
              <w:t>Medie</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F92208E"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3F7CDD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MMAP (ANM), MCID (INCD-uri), ME (universități)</w:t>
            </w:r>
          </w:p>
        </w:tc>
        <w:tc>
          <w:tcPr>
            <w:tcW w:w="1701" w:type="dxa"/>
            <w:tcBorders>
              <w:top w:val="nil"/>
              <w:left w:val="nil"/>
              <w:bottom w:val="single" w:sz="5" w:space="0" w:color="000000"/>
              <w:right w:val="single" w:sz="6" w:space="0" w:color="000000"/>
            </w:tcBorders>
            <w:shd w:val="clear" w:color="auto" w:fill="auto"/>
            <w:tcMar>
              <w:top w:w="0" w:type="dxa"/>
              <w:left w:w="100" w:type="dxa"/>
              <w:bottom w:w="0" w:type="dxa"/>
              <w:right w:w="100" w:type="dxa"/>
            </w:tcMar>
          </w:tcPr>
          <w:p w14:paraId="34A16EC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 propriu MMAP, Programul Regional Sud-Est, Horizon Europe, PNCDI IV</w:t>
            </w:r>
          </w:p>
        </w:tc>
      </w:tr>
      <w:tr w:rsidR="00670FD4" w14:paraId="3C2C1EC4" w14:textId="77777777" w:rsidTr="001925BA">
        <w:trPr>
          <w:trHeight w:val="758"/>
        </w:trPr>
        <w:tc>
          <w:tcPr>
            <w:tcW w:w="1892" w:type="dxa"/>
            <w:vMerge/>
            <w:tcBorders>
              <w:top w:val="nil"/>
              <w:left w:val="single" w:sz="6" w:space="0" w:color="000000"/>
              <w:bottom w:val="single" w:sz="5" w:space="0" w:color="000000"/>
              <w:right w:val="single" w:sz="4" w:space="0" w:color="auto"/>
            </w:tcBorders>
            <w:shd w:val="clear" w:color="auto" w:fill="auto"/>
            <w:tcMar>
              <w:top w:w="0" w:type="dxa"/>
              <w:left w:w="100" w:type="dxa"/>
              <w:bottom w:w="0" w:type="dxa"/>
              <w:right w:w="100" w:type="dxa"/>
            </w:tcMar>
          </w:tcPr>
          <w:p w14:paraId="05742C64" w14:textId="77777777" w:rsidR="00670FD4" w:rsidRDefault="00670FD4" w:rsidP="001925BA">
            <w:pPr>
              <w:widowControl w:val="0"/>
              <w:pBdr>
                <w:top w:val="nil"/>
                <w:left w:val="nil"/>
                <w:bottom w:val="nil"/>
                <w:right w:val="nil"/>
                <w:between w:val="nil"/>
              </w:pBdr>
              <w:spacing w:after="0"/>
              <w:rPr>
                <w:rFonts w:eastAsia="Times New Roman" w:cs="Times New Roman"/>
                <w:sz w:val="20"/>
                <w:szCs w:val="20"/>
              </w:rPr>
            </w:pPr>
          </w:p>
        </w:tc>
        <w:tc>
          <w:tcPr>
            <w:tcW w:w="2127" w:type="dxa"/>
            <w:vMerge/>
            <w:tcBorders>
              <w:left w:val="single" w:sz="4" w:space="0" w:color="auto"/>
              <w:right w:val="single" w:sz="4" w:space="0" w:color="auto"/>
            </w:tcBorders>
          </w:tcPr>
          <w:p w14:paraId="54D7BAF0" w14:textId="77777777" w:rsidR="00670FD4" w:rsidRDefault="00670FD4" w:rsidP="001925BA">
            <w:pPr>
              <w:spacing w:after="0" w:line="240" w:lineRule="auto"/>
              <w:ind w:firstLine="35"/>
              <w:rPr>
                <w:rFonts w:eastAsia="Times New Roman" w:cs="Times New Roman"/>
                <w:sz w:val="20"/>
                <w:szCs w:val="20"/>
              </w:rPr>
            </w:pPr>
          </w:p>
        </w:tc>
        <w:tc>
          <w:tcPr>
            <w:tcW w:w="4253"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732B7562"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A 6.3.3 Crearea de perdele forestiere împotriva vânturilor puternice</w:t>
            </w:r>
          </w:p>
        </w:tc>
        <w:tc>
          <w:tcPr>
            <w:tcW w:w="127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5431587" w14:textId="77777777" w:rsidR="00670FD4" w:rsidRDefault="00670FD4" w:rsidP="001925BA">
            <w:pPr>
              <w:spacing w:after="0" w:line="240" w:lineRule="auto"/>
              <w:ind w:hanging="100"/>
              <w:rPr>
                <w:rFonts w:eastAsia="Times New Roman" w:cs="Times New Roman"/>
                <w:sz w:val="20"/>
                <w:szCs w:val="20"/>
              </w:rPr>
            </w:pPr>
            <w:r>
              <w:rPr>
                <w:rFonts w:eastAsia="Times New Roman" w:cs="Times New Roman"/>
                <w:sz w:val="20"/>
                <w:szCs w:val="20"/>
              </w:rPr>
              <w:t>Ridicată</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99DCFA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634444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MMAP, autorități locale</w:t>
            </w:r>
          </w:p>
        </w:tc>
        <w:tc>
          <w:tcPr>
            <w:tcW w:w="1701" w:type="dxa"/>
            <w:tcBorders>
              <w:top w:val="nil"/>
              <w:left w:val="nil"/>
              <w:bottom w:val="single" w:sz="5" w:space="0" w:color="000000"/>
              <w:right w:val="single" w:sz="6" w:space="0" w:color="000000"/>
            </w:tcBorders>
            <w:shd w:val="clear" w:color="auto" w:fill="auto"/>
            <w:tcMar>
              <w:top w:w="0" w:type="dxa"/>
              <w:left w:w="100" w:type="dxa"/>
              <w:bottom w:w="0" w:type="dxa"/>
              <w:right w:w="100" w:type="dxa"/>
            </w:tcMar>
          </w:tcPr>
          <w:p w14:paraId="6E2C7FB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bugete locale, Programul Regional Sud-Est, Programul LIFE</w:t>
            </w:r>
          </w:p>
        </w:tc>
      </w:tr>
      <w:tr w:rsidR="00670FD4" w14:paraId="1FE7DF87" w14:textId="77777777" w:rsidTr="001925BA">
        <w:trPr>
          <w:trHeight w:val="949"/>
        </w:trPr>
        <w:tc>
          <w:tcPr>
            <w:tcW w:w="1892" w:type="dxa"/>
            <w:vMerge/>
            <w:tcBorders>
              <w:top w:val="nil"/>
              <w:left w:val="single" w:sz="6" w:space="0" w:color="000000"/>
              <w:bottom w:val="single" w:sz="4" w:space="0" w:color="auto"/>
              <w:right w:val="single" w:sz="4" w:space="0" w:color="auto"/>
            </w:tcBorders>
            <w:shd w:val="clear" w:color="auto" w:fill="auto"/>
            <w:tcMar>
              <w:top w:w="0" w:type="dxa"/>
              <w:left w:w="100" w:type="dxa"/>
              <w:bottom w:w="0" w:type="dxa"/>
              <w:right w:w="100" w:type="dxa"/>
            </w:tcMar>
          </w:tcPr>
          <w:p w14:paraId="03A52125" w14:textId="77777777" w:rsidR="00670FD4" w:rsidRDefault="00670FD4" w:rsidP="001925BA">
            <w:pPr>
              <w:widowControl w:val="0"/>
              <w:pBdr>
                <w:top w:val="nil"/>
                <w:left w:val="nil"/>
                <w:bottom w:val="nil"/>
                <w:right w:val="nil"/>
                <w:between w:val="nil"/>
              </w:pBdr>
              <w:spacing w:after="0"/>
              <w:rPr>
                <w:rFonts w:eastAsia="Times New Roman" w:cs="Times New Roman"/>
                <w:sz w:val="20"/>
                <w:szCs w:val="20"/>
              </w:rPr>
            </w:pPr>
          </w:p>
        </w:tc>
        <w:tc>
          <w:tcPr>
            <w:tcW w:w="2127" w:type="dxa"/>
            <w:vMerge/>
            <w:tcBorders>
              <w:left w:val="single" w:sz="4" w:space="0" w:color="auto"/>
              <w:bottom w:val="single" w:sz="4" w:space="0" w:color="auto"/>
              <w:right w:val="single" w:sz="4" w:space="0" w:color="auto"/>
            </w:tcBorders>
          </w:tcPr>
          <w:p w14:paraId="70F5370B" w14:textId="77777777" w:rsidR="00670FD4" w:rsidRDefault="00670FD4" w:rsidP="001925BA">
            <w:pPr>
              <w:spacing w:after="0" w:line="240" w:lineRule="auto"/>
              <w:ind w:firstLine="35"/>
              <w:rPr>
                <w:rFonts w:eastAsia="Times New Roman" w:cs="Times New Roman"/>
                <w:sz w:val="20"/>
                <w:szCs w:val="20"/>
              </w:rPr>
            </w:pPr>
          </w:p>
        </w:tc>
        <w:tc>
          <w:tcPr>
            <w:tcW w:w="4253" w:type="dxa"/>
            <w:tcBorders>
              <w:top w:val="nil"/>
              <w:left w:val="single" w:sz="4" w:space="0" w:color="auto"/>
              <w:bottom w:val="single" w:sz="4" w:space="0" w:color="auto"/>
              <w:right w:val="single" w:sz="5" w:space="0" w:color="000000"/>
            </w:tcBorders>
            <w:shd w:val="clear" w:color="auto" w:fill="auto"/>
            <w:tcMar>
              <w:top w:w="0" w:type="dxa"/>
              <w:left w:w="100" w:type="dxa"/>
              <w:bottom w:w="0" w:type="dxa"/>
              <w:right w:w="100" w:type="dxa"/>
            </w:tcMar>
          </w:tcPr>
          <w:p w14:paraId="0A4DA074"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A 6.3.4 Consolidarea infrastructurii existente pentru a suporta impactul furtunilor severe pe baza celor mai recente date privind fenomenele extreme și valurile de furtună</w:t>
            </w:r>
          </w:p>
        </w:tc>
        <w:tc>
          <w:tcPr>
            <w:tcW w:w="1276"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5F113491" w14:textId="77777777" w:rsidR="00670FD4" w:rsidRDefault="00670FD4" w:rsidP="001925BA">
            <w:pPr>
              <w:spacing w:after="0" w:line="240" w:lineRule="auto"/>
              <w:ind w:hanging="100"/>
              <w:rPr>
                <w:rFonts w:eastAsia="Times New Roman" w:cs="Times New Roman"/>
                <w:sz w:val="20"/>
                <w:szCs w:val="20"/>
              </w:rPr>
            </w:pPr>
            <w:r>
              <w:rPr>
                <w:rFonts w:eastAsia="Times New Roman" w:cs="Times New Roman"/>
                <w:sz w:val="20"/>
                <w:szCs w:val="20"/>
              </w:rPr>
              <w:t>Ridicată</w:t>
            </w:r>
          </w:p>
        </w:tc>
        <w:tc>
          <w:tcPr>
            <w:tcW w:w="1417"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321A81E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8"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3DF5817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MMAP, autorități locale</w:t>
            </w:r>
          </w:p>
        </w:tc>
        <w:tc>
          <w:tcPr>
            <w:tcW w:w="1701" w:type="dxa"/>
            <w:tcBorders>
              <w:top w:val="nil"/>
              <w:left w:val="nil"/>
              <w:bottom w:val="single" w:sz="4" w:space="0" w:color="auto"/>
              <w:right w:val="single" w:sz="6" w:space="0" w:color="000000"/>
            </w:tcBorders>
            <w:shd w:val="clear" w:color="auto" w:fill="auto"/>
            <w:tcMar>
              <w:top w:w="0" w:type="dxa"/>
              <w:left w:w="100" w:type="dxa"/>
              <w:bottom w:w="0" w:type="dxa"/>
              <w:right w:w="100" w:type="dxa"/>
            </w:tcMar>
          </w:tcPr>
          <w:p w14:paraId="0E7454D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bugete locale, Programul Regional Sud-Est, Programul InvestEU</w:t>
            </w:r>
          </w:p>
        </w:tc>
      </w:tr>
      <w:tr w:rsidR="00670FD4" w14:paraId="593DBE07" w14:textId="77777777" w:rsidTr="001925BA">
        <w:trPr>
          <w:trHeight w:val="840"/>
        </w:trPr>
        <w:tc>
          <w:tcPr>
            <w:tcW w:w="1892" w:type="dxa"/>
            <w:vMerge/>
            <w:tcBorders>
              <w:top w:val="single" w:sz="4" w:space="0" w:color="auto"/>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1D76F797" w14:textId="77777777" w:rsidR="00670FD4" w:rsidRDefault="00670FD4" w:rsidP="001925BA">
            <w:pPr>
              <w:widowControl w:val="0"/>
              <w:pBdr>
                <w:top w:val="nil"/>
                <w:left w:val="nil"/>
                <w:bottom w:val="nil"/>
                <w:right w:val="nil"/>
                <w:between w:val="nil"/>
              </w:pBdr>
              <w:spacing w:after="0"/>
              <w:rPr>
                <w:rFonts w:eastAsia="Times New Roman" w:cs="Times New Roman"/>
                <w:sz w:val="20"/>
                <w:szCs w:val="20"/>
              </w:rPr>
            </w:pPr>
          </w:p>
        </w:tc>
        <w:tc>
          <w:tcPr>
            <w:tcW w:w="2127" w:type="dxa"/>
            <w:vMerge/>
            <w:tcBorders>
              <w:top w:val="single" w:sz="4" w:space="0" w:color="auto"/>
              <w:left w:val="single" w:sz="4" w:space="0" w:color="auto"/>
              <w:right w:val="single" w:sz="4" w:space="0" w:color="auto"/>
            </w:tcBorders>
          </w:tcPr>
          <w:p w14:paraId="78052282" w14:textId="77777777" w:rsidR="00670FD4" w:rsidRDefault="00670FD4" w:rsidP="001925BA">
            <w:pPr>
              <w:spacing w:after="0" w:line="240" w:lineRule="auto"/>
              <w:ind w:firstLine="35"/>
              <w:rPr>
                <w:rFonts w:eastAsia="Times New Roman" w:cs="Times New Roman"/>
                <w:sz w:val="20"/>
                <w:szCs w:val="20"/>
              </w:rPr>
            </w:pPr>
          </w:p>
        </w:tc>
        <w:tc>
          <w:tcPr>
            <w:tcW w:w="4253" w:type="dxa"/>
            <w:tcBorders>
              <w:top w:val="single" w:sz="4" w:space="0" w:color="auto"/>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7809E071"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A 6.3.5 Protejarea surselor de apă împotriva intruziunii apei sărate (unde este cazul - localități din Delta Dunării)</w:t>
            </w:r>
          </w:p>
        </w:tc>
        <w:tc>
          <w:tcPr>
            <w:tcW w:w="1276"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2DF43BC6" w14:textId="77777777" w:rsidR="00670FD4" w:rsidRDefault="00670FD4" w:rsidP="001925BA">
            <w:pPr>
              <w:spacing w:after="0" w:line="240" w:lineRule="auto"/>
              <w:ind w:hanging="100"/>
              <w:rPr>
                <w:rFonts w:eastAsia="Times New Roman" w:cs="Times New Roman"/>
                <w:sz w:val="20"/>
                <w:szCs w:val="20"/>
              </w:rPr>
            </w:pPr>
            <w:r>
              <w:rPr>
                <w:rFonts w:eastAsia="Times New Roman" w:cs="Times New Roman"/>
                <w:sz w:val="20"/>
                <w:szCs w:val="20"/>
              </w:rPr>
              <w:t>Ridicată</w:t>
            </w:r>
          </w:p>
        </w:tc>
        <w:tc>
          <w:tcPr>
            <w:tcW w:w="1417"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0DA5E3F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8"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3028183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MMAP, MDLPA, autorități locale</w:t>
            </w:r>
          </w:p>
        </w:tc>
        <w:tc>
          <w:tcPr>
            <w:tcW w:w="1701"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0D35850B"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 propriu MMAP, bugete locale, Programul Regional Sud-Est,</w:t>
            </w:r>
          </w:p>
        </w:tc>
      </w:tr>
      <w:tr w:rsidR="00670FD4" w14:paraId="0FCEF1CA" w14:textId="77777777" w:rsidTr="001925BA">
        <w:trPr>
          <w:trHeight w:val="697"/>
        </w:trPr>
        <w:tc>
          <w:tcPr>
            <w:tcW w:w="1892" w:type="dxa"/>
            <w:vMerge w:val="restart"/>
            <w:tcBorders>
              <w:top w:val="nil"/>
              <w:left w:val="single" w:sz="6" w:space="0" w:color="000000"/>
              <w:bottom w:val="single" w:sz="5" w:space="0" w:color="000000"/>
              <w:right w:val="single" w:sz="4" w:space="0" w:color="auto"/>
            </w:tcBorders>
            <w:shd w:val="clear" w:color="auto" w:fill="auto"/>
            <w:tcMar>
              <w:top w:w="0" w:type="dxa"/>
              <w:left w:w="100" w:type="dxa"/>
              <w:bottom w:w="0" w:type="dxa"/>
              <w:right w:w="100" w:type="dxa"/>
            </w:tcMar>
          </w:tcPr>
          <w:p w14:paraId="30AFF3E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lastRenderedPageBreak/>
              <w:t>M6.4 Realizarea unei evaluări detaliate a vulnerabilității zonei de coastă la secetă, identificarea și analizarea riscurilor potențiale și stabilirea de măsuri prioritare de prevenire, atenuare, adaptare și remediere</w:t>
            </w:r>
          </w:p>
        </w:tc>
        <w:tc>
          <w:tcPr>
            <w:tcW w:w="2127" w:type="dxa"/>
            <w:vMerge w:val="restart"/>
            <w:tcBorders>
              <w:top w:val="single" w:sz="4" w:space="0" w:color="auto"/>
              <w:left w:val="single" w:sz="4" w:space="0" w:color="auto"/>
              <w:right w:val="single" w:sz="4" w:space="0" w:color="auto"/>
            </w:tcBorders>
          </w:tcPr>
          <w:p w14:paraId="692BB057" w14:textId="77777777" w:rsidR="00670FD4" w:rsidRDefault="00670FD4" w:rsidP="001925BA">
            <w:pPr>
              <w:spacing w:after="0" w:line="240" w:lineRule="auto"/>
              <w:ind w:firstLine="35"/>
              <w:rPr>
                <w:rFonts w:eastAsia="Times New Roman" w:cs="Times New Roman"/>
                <w:sz w:val="20"/>
                <w:szCs w:val="20"/>
              </w:rPr>
            </w:pPr>
            <w:r w:rsidRPr="00DF369E">
              <w:rPr>
                <w:rFonts w:eastAsia="Times New Roman" w:cs="Times New Roman"/>
                <w:sz w:val="20"/>
                <w:szCs w:val="20"/>
              </w:rPr>
              <w:t>Os2.d Întărirea sistemului de management al riscurilor pentru hazarde naturale și antropice, luând în calcul și impactul schimbărilor climatice.</w:t>
            </w:r>
          </w:p>
        </w:tc>
        <w:tc>
          <w:tcPr>
            <w:tcW w:w="4253"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4C18DCE3"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A 6.4.1 Îmbunătățirea sistemului de avertizare timpurie și notificare pentru secetă</w:t>
            </w:r>
          </w:p>
          <w:p w14:paraId="70DEBDCA"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 xml:space="preserve"> </w:t>
            </w:r>
          </w:p>
        </w:tc>
        <w:tc>
          <w:tcPr>
            <w:tcW w:w="127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C23D99B" w14:textId="77777777" w:rsidR="00670FD4" w:rsidRDefault="00670FD4" w:rsidP="001925BA">
            <w:pPr>
              <w:spacing w:after="0" w:line="240" w:lineRule="auto"/>
              <w:ind w:hanging="100"/>
              <w:rPr>
                <w:rFonts w:eastAsia="Times New Roman" w:cs="Times New Roman"/>
                <w:sz w:val="20"/>
                <w:szCs w:val="20"/>
              </w:rPr>
            </w:pPr>
            <w:r>
              <w:rPr>
                <w:rFonts w:eastAsia="Times New Roman" w:cs="Times New Roman"/>
                <w:sz w:val="20"/>
                <w:szCs w:val="20"/>
              </w:rPr>
              <w:t>Medie</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65FE67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2027</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818AD2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 xml:space="preserve">MMAP (ANM), MADR, MAI (IGSU) </w:t>
            </w:r>
          </w:p>
        </w:tc>
        <w:tc>
          <w:tcPr>
            <w:tcW w:w="1701" w:type="dxa"/>
            <w:tcBorders>
              <w:top w:val="nil"/>
              <w:left w:val="nil"/>
              <w:bottom w:val="single" w:sz="5" w:space="0" w:color="000000"/>
              <w:right w:val="single" w:sz="6" w:space="0" w:color="000000"/>
            </w:tcBorders>
            <w:shd w:val="clear" w:color="auto" w:fill="auto"/>
            <w:tcMar>
              <w:top w:w="0" w:type="dxa"/>
              <w:left w:w="100" w:type="dxa"/>
              <w:bottom w:w="0" w:type="dxa"/>
              <w:right w:w="100" w:type="dxa"/>
            </w:tcMar>
          </w:tcPr>
          <w:p w14:paraId="45B6C5C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 propriu MMAP, Programul de Dezvoltare Durabilă, Programul (Interreg VI-B) NEXT Bazinul Mării Negre, Programul InvestEU, LIFE, Programul Regional Sud-Est</w:t>
            </w:r>
          </w:p>
        </w:tc>
      </w:tr>
      <w:tr w:rsidR="00670FD4" w14:paraId="340E2160" w14:textId="77777777" w:rsidTr="001925BA">
        <w:trPr>
          <w:trHeight w:val="840"/>
        </w:trPr>
        <w:tc>
          <w:tcPr>
            <w:tcW w:w="1892" w:type="dxa"/>
            <w:vMerge/>
            <w:tcBorders>
              <w:top w:val="nil"/>
              <w:left w:val="single" w:sz="6" w:space="0" w:color="000000"/>
              <w:bottom w:val="single" w:sz="5" w:space="0" w:color="000000"/>
              <w:right w:val="single" w:sz="4" w:space="0" w:color="auto"/>
            </w:tcBorders>
            <w:shd w:val="clear" w:color="auto" w:fill="auto"/>
            <w:tcMar>
              <w:top w:w="0" w:type="dxa"/>
              <w:left w:w="100" w:type="dxa"/>
              <w:bottom w:w="0" w:type="dxa"/>
              <w:right w:w="100" w:type="dxa"/>
            </w:tcMar>
          </w:tcPr>
          <w:p w14:paraId="111E7B39" w14:textId="77777777" w:rsidR="00670FD4" w:rsidRDefault="00670FD4" w:rsidP="001925BA">
            <w:pPr>
              <w:widowControl w:val="0"/>
              <w:pBdr>
                <w:top w:val="nil"/>
                <w:left w:val="nil"/>
                <w:bottom w:val="nil"/>
                <w:right w:val="nil"/>
                <w:between w:val="nil"/>
              </w:pBdr>
              <w:spacing w:after="0"/>
              <w:rPr>
                <w:rFonts w:eastAsia="Times New Roman" w:cs="Times New Roman"/>
                <w:sz w:val="20"/>
                <w:szCs w:val="20"/>
              </w:rPr>
            </w:pPr>
          </w:p>
        </w:tc>
        <w:tc>
          <w:tcPr>
            <w:tcW w:w="2127" w:type="dxa"/>
            <w:vMerge/>
            <w:tcBorders>
              <w:left w:val="single" w:sz="4" w:space="0" w:color="auto"/>
              <w:right w:val="single" w:sz="4" w:space="0" w:color="auto"/>
            </w:tcBorders>
          </w:tcPr>
          <w:p w14:paraId="5969ECF5" w14:textId="77777777" w:rsidR="00670FD4" w:rsidRDefault="00670FD4" w:rsidP="001925BA">
            <w:pPr>
              <w:spacing w:after="0" w:line="240" w:lineRule="auto"/>
              <w:ind w:firstLine="35"/>
              <w:rPr>
                <w:rFonts w:eastAsia="Times New Roman" w:cs="Times New Roman"/>
                <w:sz w:val="20"/>
                <w:szCs w:val="20"/>
              </w:rPr>
            </w:pPr>
          </w:p>
        </w:tc>
        <w:tc>
          <w:tcPr>
            <w:tcW w:w="4253"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4FB45622"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A 6.4.2 Îmbunătățirea și eficientizarea sistemului de alimentare cu apă, incluzand aici realizarea/refacerea infrastructurii privind asigurarea apei pentru irigații</w:t>
            </w:r>
          </w:p>
        </w:tc>
        <w:tc>
          <w:tcPr>
            <w:tcW w:w="127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4593C1A" w14:textId="77777777" w:rsidR="00670FD4" w:rsidRDefault="00670FD4" w:rsidP="001925BA">
            <w:pPr>
              <w:spacing w:after="0" w:line="240" w:lineRule="auto"/>
              <w:ind w:hanging="100"/>
              <w:rPr>
                <w:rFonts w:eastAsia="Times New Roman" w:cs="Times New Roman"/>
                <w:sz w:val="20"/>
                <w:szCs w:val="20"/>
              </w:rPr>
            </w:pPr>
            <w:r>
              <w:rPr>
                <w:rFonts w:eastAsia="Times New Roman" w:cs="Times New Roman"/>
                <w:sz w:val="20"/>
                <w:szCs w:val="20"/>
              </w:rPr>
              <w:t>Ridicată</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E63A4E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FBA54F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MADR</w:t>
            </w:r>
          </w:p>
        </w:tc>
        <w:tc>
          <w:tcPr>
            <w:tcW w:w="1701" w:type="dxa"/>
            <w:tcBorders>
              <w:top w:val="nil"/>
              <w:left w:val="nil"/>
              <w:bottom w:val="single" w:sz="5" w:space="0" w:color="000000"/>
              <w:right w:val="single" w:sz="6" w:space="0" w:color="000000"/>
            </w:tcBorders>
            <w:shd w:val="clear" w:color="auto" w:fill="auto"/>
            <w:tcMar>
              <w:top w:w="0" w:type="dxa"/>
              <w:left w:w="100" w:type="dxa"/>
              <w:bottom w:w="0" w:type="dxa"/>
              <w:right w:w="100" w:type="dxa"/>
            </w:tcMar>
          </w:tcPr>
          <w:p w14:paraId="3A5A44C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 propriu MADR, PAC, Invest EU, Programul de Dezvoltare Durabilă, Programul Regional Sud-Est</w:t>
            </w:r>
          </w:p>
        </w:tc>
      </w:tr>
      <w:tr w:rsidR="00670FD4" w14:paraId="6D41F268" w14:textId="77777777" w:rsidTr="001925BA">
        <w:trPr>
          <w:trHeight w:val="765"/>
        </w:trPr>
        <w:tc>
          <w:tcPr>
            <w:tcW w:w="1892" w:type="dxa"/>
            <w:vMerge/>
            <w:tcBorders>
              <w:top w:val="nil"/>
              <w:left w:val="single" w:sz="6" w:space="0" w:color="000000"/>
              <w:bottom w:val="single" w:sz="4" w:space="0" w:color="auto"/>
              <w:right w:val="single" w:sz="4" w:space="0" w:color="auto"/>
            </w:tcBorders>
            <w:shd w:val="clear" w:color="auto" w:fill="auto"/>
            <w:tcMar>
              <w:top w:w="0" w:type="dxa"/>
              <w:left w:w="100" w:type="dxa"/>
              <w:bottom w:w="0" w:type="dxa"/>
              <w:right w:w="100" w:type="dxa"/>
            </w:tcMar>
          </w:tcPr>
          <w:p w14:paraId="1D231C7F" w14:textId="77777777" w:rsidR="00670FD4" w:rsidRDefault="00670FD4" w:rsidP="001925BA">
            <w:pPr>
              <w:widowControl w:val="0"/>
              <w:pBdr>
                <w:top w:val="nil"/>
                <w:left w:val="nil"/>
                <w:bottom w:val="nil"/>
                <w:right w:val="nil"/>
                <w:between w:val="nil"/>
              </w:pBdr>
              <w:spacing w:after="0"/>
              <w:rPr>
                <w:rFonts w:eastAsia="Times New Roman" w:cs="Times New Roman"/>
                <w:sz w:val="20"/>
                <w:szCs w:val="20"/>
              </w:rPr>
            </w:pPr>
          </w:p>
        </w:tc>
        <w:tc>
          <w:tcPr>
            <w:tcW w:w="2127" w:type="dxa"/>
            <w:vMerge/>
            <w:tcBorders>
              <w:left w:val="single" w:sz="4" w:space="0" w:color="auto"/>
              <w:bottom w:val="single" w:sz="4" w:space="0" w:color="auto"/>
              <w:right w:val="single" w:sz="4" w:space="0" w:color="auto"/>
            </w:tcBorders>
          </w:tcPr>
          <w:p w14:paraId="6708E596" w14:textId="77777777" w:rsidR="00670FD4" w:rsidRDefault="00670FD4" w:rsidP="001925BA">
            <w:pPr>
              <w:spacing w:after="0" w:line="240" w:lineRule="auto"/>
              <w:ind w:firstLine="35"/>
              <w:rPr>
                <w:rFonts w:eastAsia="Times New Roman" w:cs="Times New Roman"/>
                <w:sz w:val="20"/>
                <w:szCs w:val="20"/>
              </w:rPr>
            </w:pPr>
          </w:p>
        </w:tc>
        <w:tc>
          <w:tcPr>
            <w:tcW w:w="4253" w:type="dxa"/>
            <w:tcBorders>
              <w:top w:val="nil"/>
              <w:left w:val="single" w:sz="4" w:space="0" w:color="auto"/>
              <w:bottom w:val="single" w:sz="4" w:space="0" w:color="auto"/>
              <w:right w:val="single" w:sz="5" w:space="0" w:color="000000"/>
            </w:tcBorders>
            <w:shd w:val="clear" w:color="auto" w:fill="auto"/>
            <w:tcMar>
              <w:top w:w="0" w:type="dxa"/>
              <w:left w:w="100" w:type="dxa"/>
              <w:bottom w:w="0" w:type="dxa"/>
              <w:right w:w="100" w:type="dxa"/>
            </w:tcMar>
          </w:tcPr>
          <w:p w14:paraId="5B5CA733"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A 6.4.3 Utilizarea soiurilor de culturi rezistente la secetă și temperaturi ridicate</w:t>
            </w:r>
          </w:p>
        </w:tc>
        <w:tc>
          <w:tcPr>
            <w:tcW w:w="1276"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0C872519" w14:textId="77777777" w:rsidR="00670FD4" w:rsidRDefault="00670FD4" w:rsidP="001925BA">
            <w:pPr>
              <w:spacing w:after="0" w:line="240" w:lineRule="auto"/>
              <w:ind w:hanging="100"/>
              <w:rPr>
                <w:rFonts w:eastAsia="Times New Roman" w:cs="Times New Roman"/>
                <w:sz w:val="20"/>
                <w:szCs w:val="20"/>
              </w:rPr>
            </w:pPr>
            <w:r>
              <w:rPr>
                <w:rFonts w:eastAsia="Times New Roman" w:cs="Times New Roman"/>
                <w:sz w:val="20"/>
                <w:szCs w:val="20"/>
              </w:rPr>
              <w:t>Medie</w:t>
            </w:r>
          </w:p>
        </w:tc>
        <w:tc>
          <w:tcPr>
            <w:tcW w:w="1417"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37A6F43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8"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1AF2D9E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MADR, MCID (INCD-uri), ME (departamente cercetare universități)</w:t>
            </w:r>
          </w:p>
        </w:tc>
        <w:tc>
          <w:tcPr>
            <w:tcW w:w="1701" w:type="dxa"/>
            <w:tcBorders>
              <w:top w:val="nil"/>
              <w:left w:val="nil"/>
              <w:bottom w:val="single" w:sz="4" w:space="0" w:color="auto"/>
              <w:right w:val="single" w:sz="6" w:space="0" w:color="000000"/>
            </w:tcBorders>
            <w:shd w:val="clear" w:color="auto" w:fill="auto"/>
            <w:tcMar>
              <w:top w:w="0" w:type="dxa"/>
              <w:left w:w="100" w:type="dxa"/>
              <w:bottom w:w="0" w:type="dxa"/>
              <w:right w:w="100" w:type="dxa"/>
            </w:tcMar>
          </w:tcPr>
          <w:p w14:paraId="719E9EE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 propriu MADR, PAC, PNCDI IV</w:t>
            </w:r>
          </w:p>
        </w:tc>
      </w:tr>
      <w:tr w:rsidR="00670FD4" w14:paraId="4F56D2BB" w14:textId="77777777" w:rsidTr="001925BA">
        <w:trPr>
          <w:trHeight w:val="1110"/>
        </w:trPr>
        <w:tc>
          <w:tcPr>
            <w:tcW w:w="1892" w:type="dxa"/>
            <w:vMerge/>
            <w:tcBorders>
              <w:top w:val="single" w:sz="4" w:space="0" w:color="auto"/>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15FD6384" w14:textId="77777777" w:rsidR="00670FD4" w:rsidRDefault="00670FD4" w:rsidP="001925BA">
            <w:pPr>
              <w:widowControl w:val="0"/>
              <w:pBdr>
                <w:top w:val="nil"/>
                <w:left w:val="nil"/>
                <w:bottom w:val="nil"/>
                <w:right w:val="nil"/>
                <w:between w:val="nil"/>
              </w:pBdr>
              <w:spacing w:after="0"/>
              <w:rPr>
                <w:rFonts w:eastAsia="Times New Roman" w:cs="Times New Roman"/>
                <w:sz w:val="20"/>
                <w:szCs w:val="20"/>
              </w:rPr>
            </w:pPr>
          </w:p>
        </w:tc>
        <w:tc>
          <w:tcPr>
            <w:tcW w:w="2127" w:type="dxa"/>
            <w:vMerge/>
            <w:tcBorders>
              <w:top w:val="single" w:sz="4" w:space="0" w:color="auto"/>
              <w:left w:val="single" w:sz="4" w:space="0" w:color="auto"/>
              <w:bottom w:val="single" w:sz="4" w:space="0" w:color="auto"/>
              <w:right w:val="single" w:sz="4" w:space="0" w:color="auto"/>
            </w:tcBorders>
          </w:tcPr>
          <w:p w14:paraId="34DF6970" w14:textId="77777777" w:rsidR="00670FD4" w:rsidRDefault="00670FD4" w:rsidP="001925BA">
            <w:pPr>
              <w:spacing w:after="0" w:line="240" w:lineRule="auto"/>
              <w:ind w:firstLine="35"/>
              <w:rPr>
                <w:rFonts w:eastAsia="Times New Roman" w:cs="Times New Roman"/>
                <w:sz w:val="20"/>
                <w:szCs w:val="20"/>
              </w:rPr>
            </w:pPr>
          </w:p>
        </w:tc>
        <w:tc>
          <w:tcPr>
            <w:tcW w:w="4253" w:type="dxa"/>
            <w:tcBorders>
              <w:top w:val="single" w:sz="4" w:space="0" w:color="auto"/>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79DCC726"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A 6.4.4 Înființarea de perdele forestiere pentru obținerea unor condiții de microclimat favorabil culturilor agricole și pentru protecția calității solurilor de pe terenurile agricole</w:t>
            </w:r>
          </w:p>
        </w:tc>
        <w:tc>
          <w:tcPr>
            <w:tcW w:w="1276"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25D0F85D" w14:textId="77777777" w:rsidR="00670FD4" w:rsidRDefault="00670FD4" w:rsidP="001925BA">
            <w:pPr>
              <w:spacing w:after="0" w:line="240" w:lineRule="auto"/>
              <w:ind w:hanging="100"/>
              <w:rPr>
                <w:rFonts w:eastAsia="Times New Roman" w:cs="Times New Roman"/>
                <w:sz w:val="20"/>
                <w:szCs w:val="20"/>
              </w:rPr>
            </w:pPr>
            <w:r>
              <w:rPr>
                <w:rFonts w:eastAsia="Times New Roman" w:cs="Times New Roman"/>
                <w:sz w:val="20"/>
                <w:szCs w:val="20"/>
              </w:rPr>
              <w:t>Ridicată</w:t>
            </w:r>
          </w:p>
        </w:tc>
        <w:tc>
          <w:tcPr>
            <w:tcW w:w="1417"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5CD4CF7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8"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6B28E81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MADR, MMAP, MCID (INCD-uri), ME (departamente cercetare universități)</w:t>
            </w:r>
          </w:p>
        </w:tc>
        <w:tc>
          <w:tcPr>
            <w:tcW w:w="1701"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1B5CB9F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 propriu MADR, Programul Regional Sud-Est, LIFE, Programul (Interreg VI-B) NEXT Bazinul Mării Negre, PNCDI IV</w:t>
            </w:r>
          </w:p>
        </w:tc>
      </w:tr>
      <w:tr w:rsidR="00670FD4" w14:paraId="5910B65D" w14:textId="77777777" w:rsidTr="001925BA">
        <w:trPr>
          <w:trHeight w:val="666"/>
        </w:trPr>
        <w:tc>
          <w:tcPr>
            <w:tcW w:w="1892" w:type="dxa"/>
            <w:vMerge w:val="restart"/>
            <w:tcBorders>
              <w:top w:val="nil"/>
              <w:left w:val="single" w:sz="6" w:space="0" w:color="000000"/>
              <w:bottom w:val="single" w:sz="5" w:space="0" w:color="000000"/>
              <w:right w:val="single" w:sz="4" w:space="0" w:color="auto"/>
            </w:tcBorders>
            <w:shd w:val="clear" w:color="auto" w:fill="auto"/>
            <w:tcMar>
              <w:top w:w="0" w:type="dxa"/>
              <w:left w:w="100" w:type="dxa"/>
              <w:bottom w:w="0" w:type="dxa"/>
              <w:right w:w="100" w:type="dxa"/>
            </w:tcMar>
          </w:tcPr>
          <w:p w14:paraId="50DF2AE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lastRenderedPageBreak/>
              <w:t>M6.5 Realizarea unei evaluări detaliate a vulnerabilității zonei de coastă la inundații, identificarea și analizarea riscurilor potențiale și stabilirea de măsuri prioritare de prevenire, atenuare, adaptare și remediere</w:t>
            </w:r>
          </w:p>
        </w:tc>
        <w:tc>
          <w:tcPr>
            <w:tcW w:w="2127" w:type="dxa"/>
            <w:vMerge w:val="restart"/>
            <w:tcBorders>
              <w:top w:val="single" w:sz="4" w:space="0" w:color="auto"/>
              <w:left w:val="single" w:sz="4" w:space="0" w:color="auto"/>
              <w:right w:val="single" w:sz="4" w:space="0" w:color="auto"/>
            </w:tcBorders>
          </w:tcPr>
          <w:p w14:paraId="1C7D80AA" w14:textId="77777777" w:rsidR="00670FD4" w:rsidRDefault="00670FD4" w:rsidP="001925BA">
            <w:pPr>
              <w:spacing w:after="0" w:line="240" w:lineRule="auto"/>
              <w:ind w:firstLine="35"/>
              <w:rPr>
                <w:rFonts w:eastAsia="Times New Roman" w:cs="Times New Roman"/>
                <w:sz w:val="20"/>
                <w:szCs w:val="20"/>
              </w:rPr>
            </w:pPr>
            <w:r w:rsidRPr="00DF369E">
              <w:rPr>
                <w:rFonts w:eastAsia="Times New Roman" w:cs="Times New Roman"/>
                <w:sz w:val="20"/>
                <w:szCs w:val="20"/>
              </w:rPr>
              <w:t>Os2.d Întărirea sistemului de management al riscurilor pentru hazarde naturale și antropice, luând în calcul și impactul schimbărilor climatice.</w:t>
            </w:r>
          </w:p>
        </w:tc>
        <w:tc>
          <w:tcPr>
            <w:tcW w:w="4253"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15BDBBB3"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A 6.5.1 Îmbunătățirea sistemului de avertizare timpurie și notificare pentru inundații</w:t>
            </w:r>
          </w:p>
        </w:tc>
        <w:tc>
          <w:tcPr>
            <w:tcW w:w="127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AD66F83" w14:textId="77777777" w:rsidR="00670FD4" w:rsidRDefault="00670FD4" w:rsidP="001925BA">
            <w:pPr>
              <w:spacing w:after="0" w:line="240" w:lineRule="auto"/>
              <w:ind w:hanging="100"/>
              <w:rPr>
                <w:rFonts w:eastAsia="Times New Roman" w:cs="Times New Roman"/>
                <w:sz w:val="20"/>
                <w:szCs w:val="20"/>
              </w:rPr>
            </w:pPr>
            <w:r>
              <w:rPr>
                <w:rFonts w:eastAsia="Times New Roman" w:cs="Times New Roman"/>
                <w:sz w:val="20"/>
                <w:szCs w:val="20"/>
              </w:rPr>
              <w:t>Ridicată</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F80B1E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2027</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734F4E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MMAP, MAI (IGSU), MCID (INCD-uri), ME (universități)</w:t>
            </w:r>
          </w:p>
        </w:tc>
        <w:tc>
          <w:tcPr>
            <w:tcW w:w="1701" w:type="dxa"/>
            <w:tcBorders>
              <w:top w:val="nil"/>
              <w:left w:val="nil"/>
              <w:bottom w:val="single" w:sz="5" w:space="0" w:color="000000"/>
              <w:right w:val="single" w:sz="6" w:space="0" w:color="000000"/>
            </w:tcBorders>
            <w:shd w:val="clear" w:color="auto" w:fill="auto"/>
            <w:tcMar>
              <w:top w:w="0" w:type="dxa"/>
              <w:left w:w="100" w:type="dxa"/>
              <w:bottom w:w="0" w:type="dxa"/>
              <w:right w:w="100" w:type="dxa"/>
            </w:tcMar>
          </w:tcPr>
          <w:p w14:paraId="15A43EF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 xml:space="preserve">Buget propriu MMAP, Programul de Dezvoltare Durabilă, PNCDI IV </w:t>
            </w:r>
          </w:p>
        </w:tc>
      </w:tr>
      <w:tr w:rsidR="00670FD4" w14:paraId="2E178AC1" w14:textId="77777777" w:rsidTr="001925BA">
        <w:trPr>
          <w:trHeight w:val="616"/>
        </w:trPr>
        <w:tc>
          <w:tcPr>
            <w:tcW w:w="1892" w:type="dxa"/>
            <w:vMerge/>
            <w:tcBorders>
              <w:top w:val="nil"/>
              <w:left w:val="single" w:sz="6" w:space="0" w:color="000000"/>
              <w:bottom w:val="single" w:sz="5" w:space="0" w:color="000000"/>
              <w:right w:val="single" w:sz="4" w:space="0" w:color="auto"/>
            </w:tcBorders>
            <w:shd w:val="clear" w:color="auto" w:fill="auto"/>
            <w:tcMar>
              <w:top w:w="0" w:type="dxa"/>
              <w:left w:w="100" w:type="dxa"/>
              <w:bottom w:w="0" w:type="dxa"/>
              <w:right w:w="100" w:type="dxa"/>
            </w:tcMar>
          </w:tcPr>
          <w:p w14:paraId="7130FACE" w14:textId="77777777" w:rsidR="00670FD4" w:rsidRDefault="00670FD4" w:rsidP="001925BA">
            <w:pPr>
              <w:widowControl w:val="0"/>
              <w:pBdr>
                <w:top w:val="nil"/>
                <w:left w:val="nil"/>
                <w:bottom w:val="nil"/>
                <w:right w:val="nil"/>
                <w:between w:val="nil"/>
              </w:pBdr>
              <w:spacing w:after="0"/>
              <w:rPr>
                <w:rFonts w:eastAsia="Times New Roman" w:cs="Times New Roman"/>
                <w:sz w:val="20"/>
                <w:szCs w:val="20"/>
              </w:rPr>
            </w:pPr>
          </w:p>
        </w:tc>
        <w:tc>
          <w:tcPr>
            <w:tcW w:w="2127" w:type="dxa"/>
            <w:vMerge/>
            <w:tcBorders>
              <w:left w:val="single" w:sz="4" w:space="0" w:color="auto"/>
              <w:right w:val="single" w:sz="4" w:space="0" w:color="auto"/>
            </w:tcBorders>
          </w:tcPr>
          <w:p w14:paraId="7F1295B0" w14:textId="77777777" w:rsidR="00670FD4" w:rsidRDefault="00670FD4" w:rsidP="001925BA">
            <w:pPr>
              <w:spacing w:after="0" w:line="240" w:lineRule="auto"/>
              <w:rPr>
                <w:rFonts w:eastAsia="Times New Roman" w:cs="Times New Roman"/>
                <w:sz w:val="20"/>
                <w:szCs w:val="20"/>
              </w:rPr>
            </w:pPr>
          </w:p>
        </w:tc>
        <w:tc>
          <w:tcPr>
            <w:tcW w:w="4253"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07056DAA"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A 6.5.2 Îmbunătățirea sistemelor de drenaj (în localități, infrastructură rutieră, feroviară, etc.);</w:t>
            </w:r>
          </w:p>
        </w:tc>
        <w:tc>
          <w:tcPr>
            <w:tcW w:w="127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64CB572" w14:textId="77777777" w:rsidR="00670FD4" w:rsidRDefault="00670FD4" w:rsidP="001925BA">
            <w:pPr>
              <w:spacing w:after="0" w:line="240" w:lineRule="auto"/>
              <w:ind w:hanging="100"/>
              <w:rPr>
                <w:rFonts w:eastAsia="Times New Roman" w:cs="Times New Roman"/>
                <w:sz w:val="20"/>
                <w:szCs w:val="20"/>
              </w:rPr>
            </w:pPr>
            <w:r>
              <w:rPr>
                <w:rFonts w:eastAsia="Times New Roman" w:cs="Times New Roman"/>
                <w:sz w:val="20"/>
                <w:szCs w:val="20"/>
              </w:rPr>
              <w:t xml:space="preserve"> Ridicată</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7D9DA6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B9DD69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Autorități locale, MT, MMAP</w:t>
            </w:r>
          </w:p>
        </w:tc>
        <w:tc>
          <w:tcPr>
            <w:tcW w:w="1701" w:type="dxa"/>
            <w:tcBorders>
              <w:top w:val="nil"/>
              <w:left w:val="nil"/>
              <w:bottom w:val="single" w:sz="5" w:space="0" w:color="000000"/>
              <w:right w:val="single" w:sz="6" w:space="0" w:color="000000"/>
            </w:tcBorders>
            <w:shd w:val="clear" w:color="auto" w:fill="auto"/>
            <w:tcMar>
              <w:top w:w="0" w:type="dxa"/>
              <w:left w:w="100" w:type="dxa"/>
              <w:bottom w:w="0" w:type="dxa"/>
              <w:right w:w="100" w:type="dxa"/>
            </w:tcMar>
          </w:tcPr>
          <w:p w14:paraId="713F8D2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 xml:space="preserve"> Bugete locale, Programul Regional Sud-Est, Programul Național de Investiții „Anghel Saligny”</w:t>
            </w:r>
          </w:p>
        </w:tc>
      </w:tr>
      <w:tr w:rsidR="00670FD4" w14:paraId="6329B693" w14:textId="77777777" w:rsidTr="001925BA">
        <w:trPr>
          <w:trHeight w:val="1223"/>
        </w:trPr>
        <w:tc>
          <w:tcPr>
            <w:tcW w:w="1892" w:type="dxa"/>
            <w:vMerge/>
            <w:tcBorders>
              <w:top w:val="nil"/>
              <w:left w:val="single" w:sz="6" w:space="0" w:color="000000"/>
              <w:bottom w:val="single" w:sz="4" w:space="0" w:color="auto"/>
              <w:right w:val="single" w:sz="4" w:space="0" w:color="auto"/>
            </w:tcBorders>
            <w:shd w:val="clear" w:color="auto" w:fill="auto"/>
            <w:tcMar>
              <w:top w:w="0" w:type="dxa"/>
              <w:left w:w="100" w:type="dxa"/>
              <w:bottom w:w="0" w:type="dxa"/>
              <w:right w:w="100" w:type="dxa"/>
            </w:tcMar>
          </w:tcPr>
          <w:p w14:paraId="5832E9C0" w14:textId="77777777" w:rsidR="00670FD4" w:rsidRDefault="00670FD4" w:rsidP="001925BA">
            <w:pPr>
              <w:widowControl w:val="0"/>
              <w:pBdr>
                <w:top w:val="nil"/>
                <w:left w:val="nil"/>
                <w:bottom w:val="nil"/>
                <w:right w:val="nil"/>
                <w:between w:val="nil"/>
              </w:pBdr>
              <w:spacing w:after="0"/>
              <w:rPr>
                <w:rFonts w:eastAsia="Times New Roman" w:cs="Times New Roman"/>
                <w:sz w:val="20"/>
                <w:szCs w:val="20"/>
              </w:rPr>
            </w:pPr>
          </w:p>
        </w:tc>
        <w:tc>
          <w:tcPr>
            <w:tcW w:w="2127" w:type="dxa"/>
            <w:vMerge/>
            <w:tcBorders>
              <w:left w:val="single" w:sz="4" w:space="0" w:color="auto"/>
              <w:bottom w:val="single" w:sz="4" w:space="0" w:color="auto"/>
              <w:right w:val="single" w:sz="4" w:space="0" w:color="auto"/>
            </w:tcBorders>
          </w:tcPr>
          <w:p w14:paraId="343E4A36" w14:textId="77777777" w:rsidR="00670FD4" w:rsidRDefault="00670FD4" w:rsidP="001925BA">
            <w:pPr>
              <w:spacing w:after="0" w:line="240" w:lineRule="auto"/>
              <w:rPr>
                <w:rFonts w:eastAsia="Times New Roman" w:cs="Times New Roman"/>
                <w:sz w:val="20"/>
                <w:szCs w:val="20"/>
              </w:rPr>
            </w:pPr>
          </w:p>
        </w:tc>
        <w:tc>
          <w:tcPr>
            <w:tcW w:w="4253" w:type="dxa"/>
            <w:tcBorders>
              <w:top w:val="nil"/>
              <w:left w:val="single" w:sz="4" w:space="0" w:color="auto"/>
              <w:bottom w:val="single" w:sz="4" w:space="0" w:color="auto"/>
              <w:right w:val="single" w:sz="5" w:space="0" w:color="000000"/>
            </w:tcBorders>
            <w:shd w:val="clear" w:color="auto" w:fill="auto"/>
            <w:tcMar>
              <w:top w:w="0" w:type="dxa"/>
              <w:left w:w="100" w:type="dxa"/>
              <w:bottom w:w="0" w:type="dxa"/>
              <w:right w:w="100" w:type="dxa"/>
            </w:tcMar>
          </w:tcPr>
          <w:p w14:paraId="54B1BCD4" w14:textId="77777777" w:rsidR="00670FD4" w:rsidRDefault="00670FD4" w:rsidP="001925BA">
            <w:pPr>
              <w:spacing w:after="0" w:line="240" w:lineRule="auto"/>
              <w:ind w:firstLine="42"/>
              <w:rPr>
                <w:rFonts w:eastAsia="Times New Roman" w:cs="Times New Roman"/>
                <w:sz w:val="20"/>
                <w:szCs w:val="20"/>
              </w:rPr>
            </w:pPr>
            <w:r>
              <w:rPr>
                <w:rFonts w:eastAsia="Times New Roman" w:cs="Times New Roman"/>
                <w:sz w:val="20"/>
                <w:szCs w:val="20"/>
              </w:rPr>
              <w:t>A 6.5.3 Împădurirea zonelor degradate cu productivitate scăzută, precum și ameliorarea suprafețelor forestiere degradate în vederea producerii efectelor antieroziune (combinarea măsurilor și lucrărilor biologice, biotehnice și tehnice);</w:t>
            </w:r>
          </w:p>
        </w:tc>
        <w:tc>
          <w:tcPr>
            <w:tcW w:w="1276"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41A5E83B" w14:textId="77777777" w:rsidR="00670FD4" w:rsidRDefault="00670FD4" w:rsidP="001925BA">
            <w:pPr>
              <w:spacing w:after="0" w:line="240" w:lineRule="auto"/>
              <w:ind w:hanging="100"/>
              <w:rPr>
                <w:rFonts w:eastAsia="Times New Roman" w:cs="Times New Roman"/>
                <w:sz w:val="20"/>
                <w:szCs w:val="20"/>
              </w:rPr>
            </w:pPr>
            <w:r>
              <w:rPr>
                <w:rFonts w:eastAsia="Times New Roman" w:cs="Times New Roman"/>
                <w:sz w:val="20"/>
                <w:szCs w:val="20"/>
              </w:rPr>
              <w:t xml:space="preserve"> Medie</w:t>
            </w:r>
          </w:p>
        </w:tc>
        <w:tc>
          <w:tcPr>
            <w:tcW w:w="1417"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14CB09C3"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8"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4C4227A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MMAP, MCID (INCD-uri), ME (departamente de cercetare din universități)</w:t>
            </w:r>
          </w:p>
        </w:tc>
        <w:tc>
          <w:tcPr>
            <w:tcW w:w="1701" w:type="dxa"/>
            <w:tcBorders>
              <w:top w:val="nil"/>
              <w:left w:val="nil"/>
              <w:bottom w:val="single" w:sz="4" w:space="0" w:color="auto"/>
              <w:right w:val="single" w:sz="6" w:space="0" w:color="000000"/>
            </w:tcBorders>
            <w:shd w:val="clear" w:color="auto" w:fill="auto"/>
            <w:tcMar>
              <w:top w:w="0" w:type="dxa"/>
              <w:left w:w="100" w:type="dxa"/>
              <w:bottom w:w="0" w:type="dxa"/>
              <w:right w:w="100" w:type="dxa"/>
            </w:tcMar>
          </w:tcPr>
          <w:p w14:paraId="20F7F2C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 xml:space="preserve"> Programul Regional Sud-Est, PNRR, LIFE</w:t>
            </w:r>
          </w:p>
        </w:tc>
      </w:tr>
      <w:tr w:rsidR="00670FD4" w14:paraId="66D18E44" w14:textId="77777777" w:rsidTr="001925BA">
        <w:trPr>
          <w:trHeight w:val="1785"/>
        </w:trPr>
        <w:tc>
          <w:tcPr>
            <w:tcW w:w="1892" w:type="dxa"/>
            <w:vMerge/>
            <w:tcBorders>
              <w:top w:val="single" w:sz="4" w:space="0" w:color="auto"/>
              <w:left w:val="single" w:sz="6" w:space="0" w:color="000000"/>
              <w:bottom w:val="single" w:sz="4" w:space="0" w:color="auto"/>
              <w:right w:val="single" w:sz="4" w:space="0" w:color="auto"/>
            </w:tcBorders>
            <w:shd w:val="clear" w:color="auto" w:fill="auto"/>
            <w:tcMar>
              <w:top w:w="0" w:type="dxa"/>
              <w:left w:w="100" w:type="dxa"/>
              <w:bottom w:w="0" w:type="dxa"/>
              <w:right w:w="100" w:type="dxa"/>
            </w:tcMar>
          </w:tcPr>
          <w:p w14:paraId="524E1006" w14:textId="77777777" w:rsidR="00670FD4" w:rsidRDefault="00670FD4" w:rsidP="001925BA">
            <w:pPr>
              <w:widowControl w:val="0"/>
              <w:pBdr>
                <w:top w:val="nil"/>
                <w:left w:val="nil"/>
                <w:bottom w:val="nil"/>
                <w:right w:val="nil"/>
                <w:between w:val="nil"/>
              </w:pBdr>
              <w:spacing w:after="0"/>
              <w:rPr>
                <w:rFonts w:eastAsia="Times New Roman" w:cs="Times New Roman"/>
                <w:sz w:val="20"/>
                <w:szCs w:val="20"/>
              </w:rPr>
            </w:pPr>
          </w:p>
        </w:tc>
        <w:tc>
          <w:tcPr>
            <w:tcW w:w="2127" w:type="dxa"/>
            <w:vMerge/>
            <w:tcBorders>
              <w:top w:val="single" w:sz="4" w:space="0" w:color="auto"/>
              <w:left w:val="single" w:sz="4" w:space="0" w:color="auto"/>
              <w:bottom w:val="single" w:sz="4" w:space="0" w:color="auto"/>
              <w:right w:val="single" w:sz="4" w:space="0" w:color="auto"/>
            </w:tcBorders>
          </w:tcPr>
          <w:p w14:paraId="17C9A23B" w14:textId="77777777" w:rsidR="00670FD4" w:rsidRDefault="00670FD4" w:rsidP="001925BA">
            <w:pPr>
              <w:spacing w:after="0" w:line="240" w:lineRule="auto"/>
              <w:rPr>
                <w:rFonts w:eastAsia="Times New Roman" w:cs="Times New Roman"/>
                <w:sz w:val="20"/>
                <w:szCs w:val="20"/>
              </w:rPr>
            </w:pPr>
          </w:p>
        </w:tc>
        <w:tc>
          <w:tcPr>
            <w:tcW w:w="4253" w:type="dxa"/>
            <w:tcBorders>
              <w:top w:val="single" w:sz="4" w:space="0" w:color="auto"/>
              <w:left w:val="single" w:sz="4" w:space="0" w:color="auto"/>
              <w:bottom w:val="single" w:sz="4" w:space="0" w:color="auto"/>
              <w:right w:val="single" w:sz="5" w:space="0" w:color="000000"/>
            </w:tcBorders>
            <w:shd w:val="clear" w:color="auto" w:fill="auto"/>
            <w:tcMar>
              <w:top w:w="0" w:type="dxa"/>
              <w:left w:w="100" w:type="dxa"/>
              <w:bottom w:w="0" w:type="dxa"/>
              <w:right w:w="100" w:type="dxa"/>
            </w:tcMar>
          </w:tcPr>
          <w:p w14:paraId="2D61621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6.5.4 Lucrări și măsuri care vizează protecția împotriva inundațiilor, protecția împotriva eroziunii cauzate de apă, vânt și torenți, drenarea și eliminarea consecințelor unor astfel de impacturi ale inundațiilor (împăduriri, plantare de iarbă, stuf, terasare, curățarea albiei etc.);</w:t>
            </w:r>
          </w:p>
        </w:tc>
        <w:tc>
          <w:tcPr>
            <w:tcW w:w="1276" w:type="dxa"/>
            <w:tcBorders>
              <w:top w:val="single" w:sz="4" w:space="0" w:color="auto"/>
              <w:left w:val="nil"/>
              <w:bottom w:val="single" w:sz="4" w:space="0" w:color="auto"/>
              <w:right w:val="single" w:sz="5" w:space="0" w:color="000000"/>
            </w:tcBorders>
            <w:shd w:val="clear" w:color="auto" w:fill="auto"/>
            <w:tcMar>
              <w:top w:w="0" w:type="dxa"/>
              <w:left w:w="100" w:type="dxa"/>
              <w:bottom w:w="0" w:type="dxa"/>
              <w:right w:w="100" w:type="dxa"/>
            </w:tcMar>
          </w:tcPr>
          <w:p w14:paraId="0BFBD53C" w14:textId="77777777" w:rsidR="00670FD4" w:rsidRDefault="00670FD4" w:rsidP="001925BA">
            <w:pPr>
              <w:spacing w:after="0" w:line="240" w:lineRule="auto"/>
              <w:ind w:hanging="100"/>
              <w:rPr>
                <w:rFonts w:eastAsia="Times New Roman" w:cs="Times New Roman"/>
                <w:sz w:val="20"/>
                <w:szCs w:val="20"/>
              </w:rPr>
            </w:pPr>
            <w:r>
              <w:rPr>
                <w:rFonts w:eastAsia="Times New Roman" w:cs="Times New Roman"/>
                <w:sz w:val="20"/>
                <w:szCs w:val="20"/>
              </w:rPr>
              <w:t>Ridicată</w:t>
            </w:r>
          </w:p>
        </w:tc>
        <w:tc>
          <w:tcPr>
            <w:tcW w:w="1417" w:type="dxa"/>
            <w:tcBorders>
              <w:top w:val="single" w:sz="4" w:space="0" w:color="auto"/>
              <w:left w:val="nil"/>
              <w:bottom w:val="single" w:sz="4" w:space="0" w:color="auto"/>
              <w:right w:val="single" w:sz="5" w:space="0" w:color="000000"/>
            </w:tcBorders>
            <w:shd w:val="clear" w:color="auto" w:fill="auto"/>
            <w:tcMar>
              <w:top w:w="0" w:type="dxa"/>
              <w:left w:w="100" w:type="dxa"/>
              <w:bottom w:w="0" w:type="dxa"/>
              <w:right w:w="100" w:type="dxa"/>
            </w:tcMar>
          </w:tcPr>
          <w:p w14:paraId="573014F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 xml:space="preserve">2030 </w:t>
            </w:r>
          </w:p>
        </w:tc>
        <w:tc>
          <w:tcPr>
            <w:tcW w:w="1418" w:type="dxa"/>
            <w:tcBorders>
              <w:top w:val="single" w:sz="4" w:space="0" w:color="auto"/>
              <w:left w:val="nil"/>
              <w:bottom w:val="single" w:sz="4" w:space="0" w:color="auto"/>
              <w:right w:val="single" w:sz="5" w:space="0" w:color="000000"/>
            </w:tcBorders>
            <w:shd w:val="clear" w:color="auto" w:fill="auto"/>
            <w:tcMar>
              <w:top w:w="0" w:type="dxa"/>
              <w:left w:w="100" w:type="dxa"/>
              <w:bottom w:w="0" w:type="dxa"/>
              <w:right w:w="100" w:type="dxa"/>
            </w:tcMar>
          </w:tcPr>
          <w:p w14:paraId="6AA1547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MMAP</w:t>
            </w:r>
          </w:p>
        </w:tc>
        <w:tc>
          <w:tcPr>
            <w:tcW w:w="1701" w:type="dxa"/>
            <w:tcBorders>
              <w:top w:val="single" w:sz="4" w:space="0" w:color="auto"/>
              <w:left w:val="nil"/>
              <w:bottom w:val="single" w:sz="4" w:space="0" w:color="auto"/>
              <w:right w:val="single" w:sz="6" w:space="0" w:color="000000"/>
            </w:tcBorders>
            <w:shd w:val="clear" w:color="auto" w:fill="auto"/>
            <w:tcMar>
              <w:top w:w="0" w:type="dxa"/>
              <w:left w:w="100" w:type="dxa"/>
              <w:bottom w:w="0" w:type="dxa"/>
              <w:right w:w="100" w:type="dxa"/>
            </w:tcMar>
          </w:tcPr>
          <w:p w14:paraId="4A3177E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Program Dezvoltare Durabilă, Programul Regional Sud-Est, PNRR, buget propriu MMAP</w:t>
            </w:r>
          </w:p>
        </w:tc>
      </w:tr>
      <w:tr w:rsidR="00670FD4" w14:paraId="5178B8E4" w14:textId="77777777" w:rsidTr="001925BA">
        <w:trPr>
          <w:trHeight w:val="1460"/>
        </w:trPr>
        <w:tc>
          <w:tcPr>
            <w:tcW w:w="1892" w:type="dxa"/>
            <w:vMerge/>
            <w:tcBorders>
              <w:top w:val="single" w:sz="4" w:space="0" w:color="auto"/>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104BAD22" w14:textId="77777777" w:rsidR="00670FD4" w:rsidRDefault="00670FD4" w:rsidP="001925BA">
            <w:pPr>
              <w:widowControl w:val="0"/>
              <w:pBdr>
                <w:top w:val="nil"/>
                <w:left w:val="nil"/>
                <w:bottom w:val="nil"/>
                <w:right w:val="nil"/>
                <w:between w:val="nil"/>
              </w:pBdr>
              <w:spacing w:after="0"/>
              <w:rPr>
                <w:rFonts w:eastAsia="Times New Roman" w:cs="Times New Roman"/>
                <w:sz w:val="20"/>
                <w:szCs w:val="20"/>
              </w:rPr>
            </w:pPr>
          </w:p>
        </w:tc>
        <w:tc>
          <w:tcPr>
            <w:tcW w:w="2127" w:type="dxa"/>
            <w:vMerge/>
            <w:tcBorders>
              <w:top w:val="single" w:sz="4" w:space="0" w:color="auto"/>
              <w:left w:val="single" w:sz="4" w:space="0" w:color="auto"/>
              <w:bottom w:val="single" w:sz="4" w:space="0" w:color="auto"/>
              <w:right w:val="single" w:sz="4" w:space="0" w:color="auto"/>
            </w:tcBorders>
          </w:tcPr>
          <w:p w14:paraId="423DB071" w14:textId="77777777" w:rsidR="00670FD4" w:rsidRDefault="00670FD4" w:rsidP="001925BA">
            <w:pPr>
              <w:spacing w:after="0" w:line="240" w:lineRule="auto"/>
              <w:rPr>
                <w:rFonts w:eastAsia="Times New Roman" w:cs="Times New Roman"/>
                <w:sz w:val="20"/>
                <w:szCs w:val="20"/>
              </w:rPr>
            </w:pPr>
          </w:p>
        </w:tc>
        <w:tc>
          <w:tcPr>
            <w:tcW w:w="4253" w:type="dxa"/>
            <w:tcBorders>
              <w:top w:val="single" w:sz="4" w:space="0" w:color="auto"/>
              <w:left w:val="single" w:sz="4" w:space="0" w:color="auto"/>
              <w:bottom w:val="single" w:sz="4" w:space="0" w:color="000000"/>
              <w:right w:val="single" w:sz="5" w:space="0" w:color="000000"/>
            </w:tcBorders>
            <w:shd w:val="clear" w:color="auto" w:fill="auto"/>
            <w:tcMar>
              <w:top w:w="0" w:type="dxa"/>
              <w:left w:w="100" w:type="dxa"/>
              <w:bottom w:w="0" w:type="dxa"/>
              <w:right w:w="100" w:type="dxa"/>
            </w:tcMar>
          </w:tcPr>
          <w:p w14:paraId="53A6B6A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6.5.5 Impunerea de interdicții de: defrișarea și tăierea pădurilor în zonele erodate; denudarea zonelor; nivelarea necontrolată a terenurilor necultivate; umplerea izvoarelor; construirea de structuri care ar putea pune în pericol stabilitatea terenului și întreprinderea altor acțiuni care duc la eroziune și apariția torenților</w:t>
            </w:r>
          </w:p>
        </w:tc>
        <w:tc>
          <w:tcPr>
            <w:tcW w:w="1276" w:type="dxa"/>
            <w:tcBorders>
              <w:top w:val="single" w:sz="4" w:space="0" w:color="auto"/>
              <w:left w:val="nil"/>
              <w:bottom w:val="single" w:sz="4" w:space="0" w:color="000000"/>
              <w:right w:val="single" w:sz="5" w:space="0" w:color="000000"/>
            </w:tcBorders>
            <w:shd w:val="clear" w:color="auto" w:fill="auto"/>
            <w:tcMar>
              <w:top w:w="0" w:type="dxa"/>
              <w:left w:w="100" w:type="dxa"/>
              <w:bottom w:w="0" w:type="dxa"/>
              <w:right w:w="100" w:type="dxa"/>
            </w:tcMar>
          </w:tcPr>
          <w:p w14:paraId="3DB99861" w14:textId="77777777" w:rsidR="00670FD4" w:rsidRDefault="00670FD4" w:rsidP="001925BA">
            <w:pPr>
              <w:spacing w:after="0" w:line="240" w:lineRule="auto"/>
              <w:ind w:hanging="100"/>
              <w:rPr>
                <w:rFonts w:eastAsia="Times New Roman" w:cs="Times New Roman"/>
                <w:sz w:val="20"/>
                <w:szCs w:val="20"/>
              </w:rPr>
            </w:pPr>
            <w:r>
              <w:rPr>
                <w:rFonts w:eastAsia="Times New Roman" w:cs="Times New Roman"/>
                <w:sz w:val="20"/>
                <w:szCs w:val="20"/>
              </w:rPr>
              <w:t>Ridicată</w:t>
            </w:r>
          </w:p>
        </w:tc>
        <w:tc>
          <w:tcPr>
            <w:tcW w:w="1417" w:type="dxa"/>
            <w:tcBorders>
              <w:top w:val="single" w:sz="4" w:space="0" w:color="auto"/>
              <w:left w:val="nil"/>
              <w:bottom w:val="single" w:sz="4" w:space="0" w:color="000000"/>
              <w:right w:val="single" w:sz="5" w:space="0" w:color="000000"/>
            </w:tcBorders>
            <w:shd w:val="clear" w:color="auto" w:fill="auto"/>
            <w:tcMar>
              <w:top w:w="0" w:type="dxa"/>
              <w:left w:w="100" w:type="dxa"/>
              <w:bottom w:w="0" w:type="dxa"/>
              <w:right w:w="100" w:type="dxa"/>
            </w:tcMar>
          </w:tcPr>
          <w:p w14:paraId="1417A32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2025</w:t>
            </w:r>
          </w:p>
        </w:tc>
        <w:tc>
          <w:tcPr>
            <w:tcW w:w="1418" w:type="dxa"/>
            <w:tcBorders>
              <w:top w:val="single" w:sz="4" w:space="0" w:color="auto"/>
              <w:left w:val="nil"/>
              <w:bottom w:val="single" w:sz="4" w:space="0" w:color="000000"/>
              <w:right w:val="single" w:sz="5" w:space="0" w:color="000000"/>
            </w:tcBorders>
            <w:shd w:val="clear" w:color="auto" w:fill="auto"/>
            <w:tcMar>
              <w:top w:w="0" w:type="dxa"/>
              <w:left w:w="100" w:type="dxa"/>
              <w:bottom w:w="0" w:type="dxa"/>
              <w:right w:w="100" w:type="dxa"/>
            </w:tcMar>
          </w:tcPr>
          <w:p w14:paraId="69DB91F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MMAP, MAI (IGSU)</w:t>
            </w:r>
          </w:p>
        </w:tc>
        <w:tc>
          <w:tcPr>
            <w:tcW w:w="1701" w:type="dxa"/>
            <w:tcBorders>
              <w:top w:val="single" w:sz="4" w:space="0" w:color="auto"/>
              <w:left w:val="nil"/>
              <w:bottom w:val="single" w:sz="4" w:space="0" w:color="000000"/>
              <w:right w:val="single" w:sz="5" w:space="0" w:color="000000"/>
            </w:tcBorders>
            <w:shd w:val="clear" w:color="auto" w:fill="auto"/>
            <w:tcMar>
              <w:top w:w="0" w:type="dxa"/>
              <w:left w:w="100" w:type="dxa"/>
              <w:bottom w:w="0" w:type="dxa"/>
              <w:right w:w="100" w:type="dxa"/>
            </w:tcMar>
          </w:tcPr>
          <w:p w14:paraId="277BBFC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 propriu MMAP</w:t>
            </w:r>
          </w:p>
        </w:tc>
      </w:tr>
    </w:tbl>
    <w:p w14:paraId="1F59D1E1" w14:textId="77777777" w:rsidR="00670FD4" w:rsidRDefault="00670FD4" w:rsidP="00670FD4">
      <w:pPr>
        <w:rPr>
          <w:rFonts w:eastAsia="Times New Roman" w:cs="Times New Roman"/>
        </w:rPr>
      </w:pPr>
    </w:p>
    <w:p w14:paraId="53D5706A" w14:textId="77777777" w:rsidR="00670FD4" w:rsidRDefault="00670FD4" w:rsidP="00670FD4">
      <w:pPr>
        <w:spacing w:before="0"/>
        <w:ind w:firstLine="567"/>
        <w:rPr>
          <w:rFonts w:eastAsia="Times New Roman" w:cs="Times New Roman"/>
          <w:b/>
          <w:i/>
        </w:rPr>
      </w:pPr>
      <w:r>
        <w:rPr>
          <w:rFonts w:eastAsia="Times New Roman" w:cs="Times New Roman"/>
        </w:rPr>
        <w:lastRenderedPageBreak/>
        <w:t xml:space="preserve">Activitățile ce se vor realiza în vederea implementării Programului de </w:t>
      </w:r>
      <w:r>
        <w:rPr>
          <w:rFonts w:eastAsia="Times New Roman" w:cs="Times New Roman"/>
          <w:b/>
          <w:i/>
        </w:rPr>
        <w:t>Măsuri dezvoltarea sustenabilă a zonei costiere</w:t>
      </w:r>
      <w:r>
        <w:rPr>
          <w:rFonts w:eastAsia="Times New Roman" w:cs="Times New Roman"/>
        </w:rPr>
        <w:t xml:space="preserve"> sunt prezentate în Tabelul de mai jos, unde sunt indicate termenele de implementare, organizațiile responsabile pentru realizarea activităților, și implicit implementarea măsurilor, precum și posibilele surse de finanțare.</w:t>
      </w:r>
    </w:p>
    <w:tbl>
      <w:tblPr>
        <w:tblW w:w="14082" w:type="dxa"/>
        <w:tblInd w:w="-68" w:type="dxa"/>
        <w:tblBorders>
          <w:top w:val="nil"/>
          <w:left w:val="nil"/>
          <w:bottom w:val="nil"/>
          <w:right w:val="nil"/>
          <w:insideH w:val="nil"/>
          <w:insideV w:val="nil"/>
        </w:tblBorders>
        <w:tblLayout w:type="fixed"/>
        <w:tblLook w:val="0600" w:firstRow="0" w:lastRow="0" w:firstColumn="0" w:lastColumn="0" w:noHBand="1" w:noVBand="1"/>
      </w:tblPr>
      <w:tblGrid>
        <w:gridCol w:w="1892"/>
        <w:gridCol w:w="2121"/>
        <w:gridCol w:w="4254"/>
        <w:gridCol w:w="1277"/>
        <w:gridCol w:w="1418"/>
        <w:gridCol w:w="1419"/>
        <w:gridCol w:w="1701"/>
      </w:tblGrid>
      <w:tr w:rsidR="00670FD4" w14:paraId="3AFA97B7" w14:textId="77777777" w:rsidTr="001925BA">
        <w:trPr>
          <w:trHeight w:val="570"/>
        </w:trPr>
        <w:tc>
          <w:tcPr>
            <w:tcW w:w="1892" w:type="dxa"/>
            <w:tcBorders>
              <w:top w:val="single" w:sz="5" w:space="0" w:color="000000"/>
              <w:left w:val="single" w:sz="5" w:space="0" w:color="000000"/>
              <w:bottom w:val="single" w:sz="5" w:space="0" w:color="000000"/>
              <w:right w:val="single" w:sz="4" w:space="0" w:color="auto"/>
            </w:tcBorders>
            <w:tcMar>
              <w:top w:w="0" w:type="dxa"/>
              <w:left w:w="100" w:type="dxa"/>
              <w:bottom w:w="0" w:type="dxa"/>
              <w:right w:w="100" w:type="dxa"/>
            </w:tcMar>
          </w:tcPr>
          <w:p w14:paraId="3E467DE1" w14:textId="77777777" w:rsidR="00670FD4" w:rsidRDefault="00670FD4" w:rsidP="001925BA">
            <w:pPr>
              <w:spacing w:after="0" w:line="240" w:lineRule="auto"/>
              <w:ind w:hanging="37"/>
              <w:rPr>
                <w:rFonts w:eastAsia="Times New Roman" w:cs="Times New Roman"/>
                <w:sz w:val="20"/>
                <w:szCs w:val="20"/>
              </w:rPr>
            </w:pPr>
            <w:bookmarkStart w:id="151" w:name="_heading=h.xvir7l" w:colFirst="0" w:colLast="0"/>
            <w:bookmarkEnd w:id="151"/>
            <w:r>
              <w:rPr>
                <w:rFonts w:eastAsia="Times New Roman" w:cs="Times New Roman"/>
                <w:sz w:val="20"/>
                <w:szCs w:val="20"/>
              </w:rPr>
              <w:t>Măsură</w:t>
            </w:r>
          </w:p>
        </w:tc>
        <w:tc>
          <w:tcPr>
            <w:tcW w:w="2121" w:type="dxa"/>
            <w:tcBorders>
              <w:top w:val="single" w:sz="4" w:space="0" w:color="auto"/>
              <w:left w:val="single" w:sz="4" w:space="0" w:color="auto"/>
              <w:bottom w:val="single" w:sz="4" w:space="0" w:color="auto"/>
              <w:right w:val="single" w:sz="4" w:space="0" w:color="auto"/>
            </w:tcBorders>
          </w:tcPr>
          <w:p w14:paraId="315805BE" w14:textId="77777777" w:rsidR="00670FD4" w:rsidRDefault="00670FD4" w:rsidP="001925BA">
            <w:pPr>
              <w:spacing w:after="0" w:line="240" w:lineRule="auto"/>
              <w:ind w:firstLine="48"/>
              <w:rPr>
                <w:rFonts w:eastAsia="Times New Roman" w:cs="Times New Roman"/>
                <w:sz w:val="20"/>
                <w:szCs w:val="20"/>
              </w:rPr>
            </w:pPr>
            <w:r>
              <w:rPr>
                <w:rFonts w:eastAsia="Times New Roman" w:cs="Times New Roman"/>
                <w:sz w:val="20"/>
                <w:szCs w:val="20"/>
              </w:rPr>
              <w:t>Obiective vizate</w:t>
            </w:r>
          </w:p>
        </w:tc>
        <w:tc>
          <w:tcPr>
            <w:tcW w:w="4254" w:type="dxa"/>
            <w:tcBorders>
              <w:top w:val="single" w:sz="5" w:space="0" w:color="000000"/>
              <w:left w:val="single" w:sz="4" w:space="0" w:color="auto"/>
              <w:bottom w:val="single" w:sz="5" w:space="0" w:color="000000"/>
              <w:right w:val="single" w:sz="5" w:space="0" w:color="000000"/>
            </w:tcBorders>
            <w:tcMar>
              <w:top w:w="0" w:type="dxa"/>
              <w:left w:w="100" w:type="dxa"/>
              <w:bottom w:w="0" w:type="dxa"/>
              <w:right w:w="100" w:type="dxa"/>
            </w:tcMar>
          </w:tcPr>
          <w:p w14:paraId="18E11E2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Activitate</w:t>
            </w:r>
          </w:p>
        </w:tc>
        <w:tc>
          <w:tcPr>
            <w:tcW w:w="1277"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F4F30CA" w14:textId="77777777" w:rsidR="00670FD4" w:rsidRPr="002508D3" w:rsidRDefault="00670FD4" w:rsidP="001925BA">
            <w:pPr>
              <w:spacing w:after="0" w:line="240" w:lineRule="auto"/>
              <w:ind w:firstLine="0"/>
              <w:rPr>
                <w:rFonts w:eastAsia="Times New Roman" w:cs="Times New Roman"/>
                <w:sz w:val="20"/>
                <w:szCs w:val="22"/>
              </w:rPr>
            </w:pPr>
            <w:r w:rsidRPr="002508D3">
              <w:rPr>
                <w:rFonts w:eastAsia="Times New Roman" w:cs="Times New Roman"/>
                <w:sz w:val="20"/>
                <w:szCs w:val="22"/>
              </w:rPr>
              <w:t>Prioritate</w:t>
            </w:r>
          </w:p>
        </w:tc>
        <w:tc>
          <w:tcPr>
            <w:tcW w:w="1418"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6C0F6EB3" w14:textId="77777777" w:rsidR="00670FD4" w:rsidRPr="002508D3" w:rsidRDefault="00670FD4" w:rsidP="001925BA">
            <w:pPr>
              <w:spacing w:after="0" w:line="240" w:lineRule="auto"/>
              <w:ind w:firstLine="0"/>
              <w:rPr>
                <w:rFonts w:eastAsia="Times New Roman" w:cs="Times New Roman"/>
                <w:sz w:val="20"/>
                <w:szCs w:val="20"/>
              </w:rPr>
            </w:pPr>
            <w:r w:rsidRPr="002508D3">
              <w:rPr>
                <w:rFonts w:eastAsia="Times New Roman" w:cs="Times New Roman"/>
                <w:sz w:val="20"/>
                <w:szCs w:val="20"/>
              </w:rPr>
              <w:t>Termen de implementare</w:t>
            </w:r>
          </w:p>
        </w:tc>
        <w:tc>
          <w:tcPr>
            <w:tcW w:w="1419"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2716C782" w14:textId="77777777" w:rsidR="00670FD4" w:rsidRPr="00473248" w:rsidRDefault="00670FD4" w:rsidP="001925BA">
            <w:pPr>
              <w:spacing w:after="0" w:line="240" w:lineRule="auto"/>
              <w:ind w:firstLine="0"/>
              <w:rPr>
                <w:rFonts w:eastAsia="Times New Roman" w:cs="Times New Roman"/>
                <w:sz w:val="20"/>
                <w:szCs w:val="20"/>
              </w:rPr>
            </w:pPr>
            <w:r w:rsidRPr="00473248">
              <w:rPr>
                <w:rFonts w:eastAsia="Times New Roman" w:cs="Times New Roman"/>
                <w:sz w:val="20"/>
                <w:szCs w:val="20"/>
              </w:rPr>
              <w:t>Instituții responsabile</w:t>
            </w:r>
          </w:p>
        </w:tc>
        <w:tc>
          <w:tcPr>
            <w:tcW w:w="1701" w:type="dxa"/>
            <w:tcBorders>
              <w:top w:val="single" w:sz="5" w:space="0" w:color="000000"/>
              <w:left w:val="nil"/>
              <w:bottom w:val="single" w:sz="6" w:space="0" w:color="000000"/>
              <w:right w:val="single" w:sz="5" w:space="0" w:color="000000"/>
            </w:tcBorders>
            <w:tcMar>
              <w:top w:w="0" w:type="dxa"/>
              <w:left w:w="100" w:type="dxa"/>
              <w:bottom w:w="0" w:type="dxa"/>
              <w:right w:w="100" w:type="dxa"/>
            </w:tcMar>
          </w:tcPr>
          <w:p w14:paraId="2FF0911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Finanțare</w:t>
            </w:r>
          </w:p>
        </w:tc>
      </w:tr>
      <w:tr w:rsidR="00670FD4" w14:paraId="2A21A21C" w14:textId="77777777" w:rsidTr="001925BA">
        <w:trPr>
          <w:trHeight w:val="978"/>
        </w:trPr>
        <w:tc>
          <w:tcPr>
            <w:tcW w:w="1892" w:type="dxa"/>
            <w:vMerge w:val="restart"/>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3A9B0D17" w14:textId="77777777" w:rsidR="00670FD4" w:rsidRDefault="00670FD4" w:rsidP="001925BA">
            <w:pPr>
              <w:spacing w:after="0" w:line="240" w:lineRule="auto"/>
              <w:ind w:hanging="37"/>
              <w:rPr>
                <w:rFonts w:eastAsia="Times New Roman" w:cs="Times New Roman"/>
                <w:sz w:val="20"/>
                <w:szCs w:val="20"/>
              </w:rPr>
            </w:pPr>
            <w:r>
              <w:rPr>
                <w:rFonts w:eastAsia="Times New Roman" w:cs="Times New Roman"/>
                <w:sz w:val="20"/>
                <w:szCs w:val="20"/>
              </w:rPr>
              <w:t>M7.1 Stimularea întreprinderilor care obțin eticheta ecologică pentru activitatea de cazare turistică</w:t>
            </w:r>
          </w:p>
        </w:tc>
        <w:tc>
          <w:tcPr>
            <w:tcW w:w="2121" w:type="dxa"/>
            <w:vMerge w:val="restart"/>
            <w:tcBorders>
              <w:top w:val="single" w:sz="4" w:space="0" w:color="auto"/>
              <w:left w:val="single" w:sz="4" w:space="0" w:color="auto"/>
              <w:bottom w:val="single" w:sz="4" w:space="0" w:color="auto"/>
              <w:right w:val="single" w:sz="4" w:space="0" w:color="auto"/>
            </w:tcBorders>
          </w:tcPr>
          <w:p w14:paraId="6951FB60" w14:textId="77777777" w:rsidR="00670FD4" w:rsidRDefault="00670FD4" w:rsidP="001925BA">
            <w:pPr>
              <w:spacing w:line="240" w:lineRule="auto"/>
              <w:ind w:firstLine="48"/>
              <w:rPr>
                <w:rFonts w:eastAsia="Times New Roman" w:cs="Times New Roman"/>
                <w:sz w:val="20"/>
                <w:szCs w:val="20"/>
              </w:rPr>
            </w:pPr>
            <w:r w:rsidRPr="00DD49F4">
              <w:rPr>
                <w:rFonts w:eastAsia="Times New Roman" w:cs="Times New Roman"/>
                <w:sz w:val="20"/>
                <w:szCs w:val="20"/>
              </w:rPr>
              <w:t>Os4.b Dezvoltarea “verde” a zonei costiere</w:t>
            </w:r>
            <w:r>
              <w:rPr>
                <w:rFonts w:eastAsia="Times New Roman" w:cs="Times New Roman"/>
                <w:sz w:val="20"/>
                <w:szCs w:val="20"/>
              </w:rPr>
              <w:t>.</w:t>
            </w: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092591C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7.1.1 Realizarea de campanii de promovare și informare a deținătorilor și managerilor structurilor de primire turistică asupra criteriilor pentru încadrarea în program și ale avantajelor obținerii “Eticheta ecologică în turism“</w:t>
            </w:r>
          </w:p>
        </w:tc>
        <w:tc>
          <w:tcPr>
            <w:tcW w:w="1277"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01565B75" w14:textId="77777777" w:rsidR="00670FD4" w:rsidRPr="002508D3" w:rsidRDefault="00670FD4" w:rsidP="001925BA">
            <w:pPr>
              <w:spacing w:after="0" w:line="240" w:lineRule="auto"/>
              <w:ind w:firstLine="0"/>
              <w:rPr>
                <w:rFonts w:eastAsia="Times New Roman" w:cs="Times New Roman"/>
                <w:sz w:val="20"/>
                <w:szCs w:val="22"/>
              </w:rPr>
            </w:pPr>
            <w:r w:rsidRPr="002508D3">
              <w:rPr>
                <w:rFonts w:eastAsia="Times New Roman" w:cs="Times New Roman"/>
                <w:sz w:val="20"/>
                <w:szCs w:val="22"/>
              </w:rPr>
              <w:t>Ridicată</w:t>
            </w:r>
          </w:p>
        </w:tc>
        <w:tc>
          <w:tcPr>
            <w:tcW w:w="1418"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68FF5B03" w14:textId="77777777" w:rsidR="00670FD4" w:rsidRPr="002508D3" w:rsidRDefault="00670FD4" w:rsidP="001925BA">
            <w:pPr>
              <w:spacing w:after="0" w:line="240" w:lineRule="auto"/>
              <w:ind w:firstLine="0"/>
              <w:rPr>
                <w:rFonts w:eastAsia="Times New Roman" w:cs="Times New Roman"/>
                <w:sz w:val="20"/>
                <w:szCs w:val="20"/>
              </w:rPr>
            </w:pPr>
            <w:r w:rsidRPr="002508D3">
              <w:rPr>
                <w:rFonts w:eastAsia="Times New Roman" w:cs="Times New Roman"/>
                <w:sz w:val="20"/>
                <w:szCs w:val="20"/>
              </w:rPr>
              <w:t>2030</w:t>
            </w:r>
          </w:p>
        </w:tc>
        <w:tc>
          <w:tcPr>
            <w:tcW w:w="1419"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2753752F" w14:textId="77777777" w:rsidR="00670FD4" w:rsidRPr="00473248" w:rsidRDefault="00670FD4" w:rsidP="001925BA">
            <w:pPr>
              <w:spacing w:after="0" w:line="240" w:lineRule="auto"/>
              <w:ind w:firstLine="0"/>
              <w:rPr>
                <w:rFonts w:eastAsia="Times New Roman" w:cs="Times New Roman"/>
                <w:sz w:val="20"/>
                <w:szCs w:val="20"/>
              </w:rPr>
            </w:pPr>
            <w:r w:rsidRPr="00473248">
              <w:rPr>
                <w:rFonts w:eastAsia="Times New Roman" w:cs="Times New Roman"/>
                <w:sz w:val="20"/>
                <w:szCs w:val="20"/>
              </w:rPr>
              <w:t>MMAP, MEAT</w:t>
            </w:r>
          </w:p>
        </w:tc>
        <w:tc>
          <w:tcPr>
            <w:tcW w:w="1701" w:type="dxa"/>
            <w:vMerge w:val="restart"/>
            <w:tcBorders>
              <w:top w:val="single" w:sz="6" w:space="0" w:color="000000"/>
              <w:left w:val="single" w:sz="4" w:space="0" w:color="000000"/>
              <w:bottom w:val="nil"/>
              <w:right w:val="single" w:sz="4" w:space="0" w:color="000000"/>
            </w:tcBorders>
            <w:shd w:val="clear" w:color="auto" w:fill="auto"/>
            <w:tcMar>
              <w:top w:w="0" w:type="dxa"/>
              <w:left w:w="100" w:type="dxa"/>
              <w:bottom w:w="0" w:type="dxa"/>
              <w:right w:w="100" w:type="dxa"/>
            </w:tcMar>
          </w:tcPr>
          <w:p w14:paraId="47C34B0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bugetul propriu al MEAT, PNRR, INTERREG EUROPE 2021-2027, Programul Regional Sud-Est</w:t>
            </w:r>
          </w:p>
        </w:tc>
      </w:tr>
      <w:tr w:rsidR="00670FD4" w14:paraId="3AE91D0B" w14:textId="77777777" w:rsidTr="001925BA">
        <w:trPr>
          <w:trHeight w:val="978"/>
        </w:trPr>
        <w:tc>
          <w:tcPr>
            <w:tcW w:w="1892" w:type="dxa"/>
            <w:vMerge/>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6754D4DA" w14:textId="77777777" w:rsidR="00670FD4" w:rsidRDefault="00670FD4" w:rsidP="001925BA">
            <w:pPr>
              <w:widowControl w:val="0"/>
              <w:pBdr>
                <w:top w:val="nil"/>
                <w:left w:val="nil"/>
                <w:bottom w:val="nil"/>
                <w:right w:val="nil"/>
                <w:between w:val="nil"/>
              </w:pBdr>
              <w:spacing w:after="0"/>
              <w:ind w:hanging="37"/>
              <w:rPr>
                <w:rFonts w:eastAsia="Times New Roman" w:cs="Times New Roman"/>
                <w:sz w:val="20"/>
                <w:szCs w:val="20"/>
              </w:rPr>
            </w:pPr>
          </w:p>
        </w:tc>
        <w:tc>
          <w:tcPr>
            <w:tcW w:w="2121" w:type="dxa"/>
            <w:vMerge/>
            <w:tcBorders>
              <w:top w:val="single" w:sz="4" w:space="0" w:color="auto"/>
              <w:left w:val="single" w:sz="4" w:space="0" w:color="auto"/>
              <w:bottom w:val="single" w:sz="4" w:space="0" w:color="auto"/>
              <w:right w:val="single" w:sz="4" w:space="0" w:color="auto"/>
            </w:tcBorders>
          </w:tcPr>
          <w:p w14:paraId="3C769061" w14:textId="77777777" w:rsidR="00670FD4" w:rsidRDefault="00670FD4" w:rsidP="001925BA">
            <w:pPr>
              <w:spacing w:after="0" w:line="240" w:lineRule="auto"/>
              <w:ind w:firstLine="48"/>
              <w:rPr>
                <w:rFonts w:eastAsia="Times New Roman" w:cs="Times New Roman"/>
                <w:sz w:val="20"/>
                <w:szCs w:val="20"/>
              </w:rPr>
            </w:pPr>
          </w:p>
        </w:tc>
        <w:tc>
          <w:tcPr>
            <w:tcW w:w="4254" w:type="dxa"/>
            <w:tcBorders>
              <w:top w:val="single" w:sz="4" w:space="0" w:color="auto"/>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2B8DA34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7.1.2 Inițierea și aprobarea, prin Hotărâre de Guvern, a unui Program de stimulare a întreprinderilor din turism care au obținut, urmare a investițiilor realizate, “Eticheta ecologică în turism“</w:t>
            </w:r>
          </w:p>
        </w:tc>
        <w:tc>
          <w:tcPr>
            <w:tcW w:w="1277" w:type="dxa"/>
            <w:tcBorders>
              <w:top w:val="single" w:sz="4" w:space="0" w:color="auto"/>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73BD5339" w14:textId="77777777" w:rsidR="00670FD4" w:rsidRPr="002508D3" w:rsidRDefault="00670FD4" w:rsidP="001925BA">
            <w:pPr>
              <w:spacing w:after="0" w:line="240" w:lineRule="auto"/>
              <w:ind w:firstLine="0"/>
              <w:rPr>
                <w:rFonts w:eastAsia="Times New Roman" w:cs="Times New Roman"/>
                <w:sz w:val="20"/>
                <w:szCs w:val="22"/>
              </w:rPr>
            </w:pPr>
            <w:r w:rsidRPr="002508D3">
              <w:rPr>
                <w:rFonts w:eastAsia="Times New Roman" w:cs="Times New Roman"/>
                <w:sz w:val="20"/>
                <w:szCs w:val="22"/>
              </w:rPr>
              <w:t>Ridicată</w:t>
            </w:r>
          </w:p>
        </w:tc>
        <w:tc>
          <w:tcPr>
            <w:tcW w:w="1418" w:type="dxa"/>
            <w:tcBorders>
              <w:top w:val="single" w:sz="4" w:space="0" w:color="auto"/>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412EA4A6" w14:textId="77777777" w:rsidR="00670FD4" w:rsidRPr="002508D3" w:rsidRDefault="00670FD4" w:rsidP="001925BA">
            <w:pPr>
              <w:spacing w:after="0" w:line="240" w:lineRule="auto"/>
              <w:ind w:firstLine="0"/>
              <w:rPr>
                <w:rFonts w:eastAsia="Times New Roman" w:cs="Times New Roman"/>
                <w:sz w:val="20"/>
                <w:szCs w:val="20"/>
              </w:rPr>
            </w:pPr>
            <w:r w:rsidRPr="002508D3">
              <w:rPr>
                <w:rFonts w:eastAsia="Times New Roman" w:cs="Times New Roman"/>
                <w:sz w:val="20"/>
                <w:szCs w:val="20"/>
              </w:rPr>
              <w:t>2027</w:t>
            </w:r>
          </w:p>
        </w:tc>
        <w:tc>
          <w:tcPr>
            <w:tcW w:w="1419" w:type="dxa"/>
            <w:tcBorders>
              <w:top w:val="single" w:sz="4" w:space="0" w:color="auto"/>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356F405C" w14:textId="77777777" w:rsidR="00670FD4" w:rsidRPr="00473248" w:rsidRDefault="00670FD4" w:rsidP="001925BA">
            <w:pPr>
              <w:spacing w:after="0" w:line="240" w:lineRule="auto"/>
              <w:ind w:firstLine="0"/>
              <w:rPr>
                <w:rFonts w:eastAsia="Times New Roman" w:cs="Times New Roman"/>
                <w:sz w:val="20"/>
                <w:szCs w:val="20"/>
              </w:rPr>
            </w:pPr>
            <w:r w:rsidRPr="00473248">
              <w:rPr>
                <w:rFonts w:eastAsia="Times New Roman" w:cs="Times New Roman"/>
                <w:sz w:val="20"/>
                <w:szCs w:val="20"/>
              </w:rPr>
              <w:t>MMAP, MEAT</w:t>
            </w:r>
          </w:p>
        </w:tc>
        <w:tc>
          <w:tcPr>
            <w:tcW w:w="1701" w:type="dxa"/>
            <w:vMerge/>
            <w:tcBorders>
              <w:top w:val="single" w:sz="4" w:space="0" w:color="auto"/>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0804CAEA"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r>
      <w:tr w:rsidR="00670FD4" w14:paraId="5AF51B52" w14:textId="77777777" w:rsidTr="001925BA">
        <w:trPr>
          <w:trHeight w:val="896"/>
        </w:trPr>
        <w:tc>
          <w:tcPr>
            <w:tcW w:w="1892" w:type="dxa"/>
            <w:vMerge w:val="restart"/>
            <w:tcBorders>
              <w:top w:val="single" w:sz="4" w:space="0" w:color="auto"/>
              <w:left w:val="single" w:sz="4" w:space="0" w:color="000000"/>
              <w:bottom w:val="nil"/>
              <w:right w:val="single" w:sz="4" w:space="0" w:color="auto"/>
            </w:tcBorders>
            <w:shd w:val="clear" w:color="auto" w:fill="auto"/>
            <w:tcMar>
              <w:top w:w="100" w:type="dxa"/>
              <w:left w:w="100" w:type="dxa"/>
              <w:bottom w:w="100" w:type="dxa"/>
              <w:right w:w="100" w:type="dxa"/>
            </w:tcMar>
          </w:tcPr>
          <w:p w14:paraId="1C0C0504" w14:textId="77777777" w:rsidR="00670FD4" w:rsidRDefault="00670FD4" w:rsidP="001925BA">
            <w:pPr>
              <w:spacing w:after="0" w:line="240" w:lineRule="auto"/>
              <w:ind w:hanging="37"/>
              <w:rPr>
                <w:rFonts w:eastAsia="Times New Roman" w:cs="Times New Roman"/>
                <w:sz w:val="20"/>
                <w:szCs w:val="20"/>
              </w:rPr>
            </w:pPr>
            <w:r>
              <w:rPr>
                <w:rFonts w:eastAsia="Times New Roman" w:cs="Times New Roman"/>
                <w:sz w:val="20"/>
                <w:szCs w:val="20"/>
              </w:rPr>
              <w:t>M7.2 Stimularea operatorilor de plaje și de porturi de agrement care reușesc să obțină distincția Blue Flag</w:t>
            </w:r>
          </w:p>
        </w:tc>
        <w:tc>
          <w:tcPr>
            <w:tcW w:w="2121" w:type="dxa"/>
            <w:vMerge w:val="restart"/>
            <w:tcBorders>
              <w:top w:val="single" w:sz="4" w:space="0" w:color="auto"/>
              <w:left w:val="single" w:sz="4" w:space="0" w:color="auto"/>
              <w:bottom w:val="nil"/>
              <w:right w:val="single" w:sz="4" w:space="0" w:color="auto"/>
            </w:tcBorders>
          </w:tcPr>
          <w:p w14:paraId="14293203" w14:textId="77777777" w:rsidR="00670FD4" w:rsidRPr="00DD49F4" w:rsidRDefault="00670FD4" w:rsidP="001925BA">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Os4.b Dezvoltarea “verde” a zonei costiere;</w:t>
            </w:r>
          </w:p>
          <w:p w14:paraId="0B70627A" w14:textId="77777777" w:rsidR="00670FD4" w:rsidRDefault="00670FD4" w:rsidP="001925BA">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Os2.a Atingerea stării ecologice bune a ecosistemelor.</w:t>
            </w:r>
          </w:p>
        </w:tc>
        <w:tc>
          <w:tcPr>
            <w:tcW w:w="4254" w:type="dxa"/>
            <w:tcBorders>
              <w:top w:val="single" w:sz="4" w:space="0" w:color="auto"/>
              <w:left w:val="single" w:sz="4" w:space="0" w:color="auto"/>
              <w:bottom w:val="nil"/>
              <w:right w:val="single" w:sz="4" w:space="0" w:color="000000"/>
            </w:tcBorders>
            <w:shd w:val="clear" w:color="auto" w:fill="auto"/>
            <w:tcMar>
              <w:top w:w="0" w:type="dxa"/>
              <w:left w:w="100" w:type="dxa"/>
              <w:bottom w:w="0" w:type="dxa"/>
              <w:right w:w="100" w:type="dxa"/>
            </w:tcMar>
          </w:tcPr>
          <w:p w14:paraId="717E9D7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A 7.2.1 Realizarea de campanii de promovare și informare a antreprenorilor cu privire la criteriile pentru încadrarea în program și avantajele programului</w:t>
            </w:r>
          </w:p>
        </w:tc>
        <w:tc>
          <w:tcPr>
            <w:tcW w:w="1277" w:type="dxa"/>
            <w:tcBorders>
              <w:top w:val="single" w:sz="4" w:space="0" w:color="auto"/>
              <w:left w:val="single" w:sz="4" w:space="0" w:color="000000"/>
              <w:bottom w:val="nil"/>
              <w:right w:val="single" w:sz="4" w:space="0" w:color="000000"/>
            </w:tcBorders>
            <w:shd w:val="clear" w:color="auto" w:fill="auto"/>
            <w:tcMar>
              <w:top w:w="0" w:type="dxa"/>
              <w:left w:w="100" w:type="dxa"/>
              <w:bottom w:w="0" w:type="dxa"/>
              <w:right w:w="100" w:type="dxa"/>
            </w:tcMar>
          </w:tcPr>
          <w:p w14:paraId="216AB798" w14:textId="77777777" w:rsidR="00670FD4" w:rsidRPr="002508D3" w:rsidRDefault="00670FD4" w:rsidP="001925BA">
            <w:pPr>
              <w:spacing w:after="0" w:line="240" w:lineRule="auto"/>
              <w:ind w:firstLine="0"/>
              <w:rPr>
                <w:rFonts w:eastAsia="Times New Roman" w:cs="Times New Roman"/>
                <w:sz w:val="20"/>
                <w:szCs w:val="22"/>
              </w:rPr>
            </w:pPr>
            <w:r w:rsidRPr="002508D3">
              <w:rPr>
                <w:rFonts w:eastAsia="Times New Roman" w:cs="Times New Roman"/>
                <w:color w:val="000000"/>
                <w:sz w:val="20"/>
                <w:szCs w:val="22"/>
              </w:rPr>
              <w:t>Ridicată</w:t>
            </w:r>
          </w:p>
        </w:tc>
        <w:tc>
          <w:tcPr>
            <w:tcW w:w="1418" w:type="dxa"/>
            <w:tcBorders>
              <w:top w:val="single" w:sz="4" w:space="0" w:color="auto"/>
              <w:left w:val="single" w:sz="4" w:space="0" w:color="000000"/>
              <w:bottom w:val="nil"/>
              <w:right w:val="single" w:sz="4" w:space="0" w:color="000000"/>
            </w:tcBorders>
            <w:shd w:val="clear" w:color="auto" w:fill="auto"/>
            <w:tcMar>
              <w:top w:w="0" w:type="dxa"/>
              <w:left w:w="100" w:type="dxa"/>
              <w:bottom w:w="0" w:type="dxa"/>
              <w:right w:w="100" w:type="dxa"/>
            </w:tcMar>
          </w:tcPr>
          <w:p w14:paraId="1611F6E5" w14:textId="77777777" w:rsidR="00670FD4" w:rsidRPr="002508D3" w:rsidRDefault="00670FD4" w:rsidP="001925BA">
            <w:pPr>
              <w:spacing w:after="0" w:line="240" w:lineRule="auto"/>
              <w:ind w:firstLine="0"/>
              <w:rPr>
                <w:rFonts w:eastAsia="Times New Roman" w:cs="Times New Roman"/>
                <w:sz w:val="20"/>
                <w:szCs w:val="20"/>
              </w:rPr>
            </w:pPr>
            <w:r w:rsidRPr="002508D3">
              <w:rPr>
                <w:rFonts w:eastAsia="Times New Roman" w:cs="Times New Roman"/>
                <w:color w:val="000000"/>
                <w:sz w:val="20"/>
                <w:szCs w:val="20"/>
              </w:rPr>
              <w:t>2030</w:t>
            </w:r>
          </w:p>
        </w:tc>
        <w:tc>
          <w:tcPr>
            <w:tcW w:w="1419" w:type="dxa"/>
            <w:tcBorders>
              <w:top w:val="single" w:sz="4" w:space="0" w:color="auto"/>
              <w:left w:val="single" w:sz="4" w:space="0" w:color="000000"/>
              <w:bottom w:val="nil"/>
              <w:right w:val="single" w:sz="4" w:space="0" w:color="000000"/>
            </w:tcBorders>
            <w:shd w:val="clear" w:color="auto" w:fill="auto"/>
            <w:tcMar>
              <w:top w:w="0" w:type="dxa"/>
              <w:left w:w="100" w:type="dxa"/>
              <w:bottom w:w="0" w:type="dxa"/>
              <w:right w:w="100" w:type="dxa"/>
            </w:tcMar>
          </w:tcPr>
          <w:p w14:paraId="4A397D44" w14:textId="77777777" w:rsidR="00670FD4" w:rsidRPr="00473248" w:rsidRDefault="00670FD4" w:rsidP="001925BA">
            <w:pPr>
              <w:spacing w:after="0" w:line="240" w:lineRule="auto"/>
              <w:ind w:firstLine="0"/>
              <w:rPr>
                <w:rFonts w:eastAsia="Times New Roman" w:cs="Times New Roman"/>
                <w:sz w:val="20"/>
                <w:szCs w:val="20"/>
              </w:rPr>
            </w:pPr>
            <w:r w:rsidRPr="00473248">
              <w:rPr>
                <w:rFonts w:eastAsia="Times New Roman" w:cs="Times New Roman"/>
                <w:color w:val="000000"/>
                <w:sz w:val="20"/>
                <w:szCs w:val="20"/>
              </w:rPr>
              <w:t>MMAP (ABADL), MEAT</w:t>
            </w:r>
          </w:p>
        </w:tc>
        <w:tc>
          <w:tcPr>
            <w:tcW w:w="1701" w:type="dxa"/>
            <w:vMerge w:val="restart"/>
            <w:tcBorders>
              <w:top w:val="single" w:sz="4" w:space="0" w:color="auto"/>
              <w:left w:val="single" w:sz="4" w:space="0" w:color="000000"/>
              <w:bottom w:val="nil"/>
              <w:right w:val="single" w:sz="4" w:space="0" w:color="000000"/>
            </w:tcBorders>
            <w:shd w:val="clear" w:color="auto" w:fill="auto"/>
            <w:tcMar>
              <w:top w:w="0" w:type="dxa"/>
              <w:left w:w="100" w:type="dxa"/>
              <w:bottom w:w="0" w:type="dxa"/>
              <w:right w:w="100" w:type="dxa"/>
            </w:tcMar>
          </w:tcPr>
          <w:p w14:paraId="1A877DE3"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bugetul propriu al MMAP, buget propriu MEAT, programe europene, precum PNRR, INTERREG EUROPE 2021-2027, Programul Regional Sud-Est</w:t>
            </w:r>
          </w:p>
        </w:tc>
      </w:tr>
      <w:tr w:rsidR="00670FD4" w14:paraId="759740E4" w14:textId="77777777" w:rsidTr="001925BA">
        <w:trPr>
          <w:trHeight w:val="724"/>
        </w:trPr>
        <w:tc>
          <w:tcPr>
            <w:tcW w:w="1892" w:type="dxa"/>
            <w:vMerge/>
            <w:tcBorders>
              <w:top w:val="nil"/>
              <w:left w:val="single" w:sz="4" w:space="0" w:color="000000"/>
              <w:bottom w:val="single" w:sz="4" w:space="0" w:color="000000"/>
              <w:right w:val="single" w:sz="4" w:space="0" w:color="auto"/>
            </w:tcBorders>
            <w:shd w:val="clear" w:color="auto" w:fill="auto"/>
            <w:tcMar>
              <w:top w:w="100" w:type="dxa"/>
              <w:left w:w="100" w:type="dxa"/>
              <w:bottom w:w="100" w:type="dxa"/>
              <w:right w:w="100" w:type="dxa"/>
            </w:tcMar>
          </w:tcPr>
          <w:p w14:paraId="0825F8ED" w14:textId="77777777" w:rsidR="00670FD4" w:rsidRDefault="00670FD4" w:rsidP="001925BA">
            <w:pPr>
              <w:widowControl w:val="0"/>
              <w:pBdr>
                <w:top w:val="nil"/>
                <w:left w:val="nil"/>
                <w:bottom w:val="nil"/>
                <w:right w:val="nil"/>
                <w:between w:val="nil"/>
              </w:pBdr>
              <w:spacing w:after="0"/>
              <w:ind w:hanging="37"/>
              <w:rPr>
                <w:rFonts w:eastAsia="Times New Roman" w:cs="Times New Roman"/>
                <w:sz w:val="20"/>
                <w:szCs w:val="20"/>
              </w:rPr>
            </w:pPr>
          </w:p>
        </w:tc>
        <w:tc>
          <w:tcPr>
            <w:tcW w:w="2121" w:type="dxa"/>
            <w:vMerge/>
            <w:tcBorders>
              <w:top w:val="nil"/>
              <w:left w:val="single" w:sz="4" w:space="0" w:color="auto"/>
              <w:right w:val="single" w:sz="4" w:space="0" w:color="auto"/>
            </w:tcBorders>
          </w:tcPr>
          <w:p w14:paraId="33CB514C"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nil"/>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19FAA91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A 7.2.2 Realizarea de campanii de promovare a plajelor și porturilor de agrement care au obținut distincția Blue Flag</w:t>
            </w:r>
          </w:p>
        </w:tc>
        <w:tc>
          <w:tcPr>
            <w:tcW w:w="1277"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03611C7" w14:textId="77777777" w:rsidR="00670FD4" w:rsidRPr="002508D3" w:rsidRDefault="00670FD4" w:rsidP="001925BA">
            <w:pPr>
              <w:spacing w:after="0" w:line="240" w:lineRule="auto"/>
              <w:ind w:firstLine="0"/>
              <w:rPr>
                <w:rFonts w:eastAsia="Times New Roman" w:cs="Times New Roman"/>
                <w:sz w:val="20"/>
                <w:szCs w:val="22"/>
              </w:rPr>
            </w:pPr>
            <w:r w:rsidRPr="002508D3">
              <w:rPr>
                <w:rFonts w:eastAsia="Times New Roman" w:cs="Times New Roman"/>
                <w:color w:val="000000"/>
                <w:sz w:val="20"/>
                <w:szCs w:val="22"/>
              </w:rPr>
              <w:t>Ridicată</w:t>
            </w:r>
          </w:p>
        </w:tc>
        <w:tc>
          <w:tcPr>
            <w:tcW w:w="1418"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554D622" w14:textId="77777777" w:rsidR="00670FD4" w:rsidRPr="002508D3" w:rsidRDefault="00670FD4" w:rsidP="001925BA">
            <w:pPr>
              <w:spacing w:after="0" w:line="240" w:lineRule="auto"/>
              <w:ind w:firstLine="0"/>
              <w:rPr>
                <w:rFonts w:eastAsia="Times New Roman" w:cs="Times New Roman"/>
                <w:sz w:val="20"/>
                <w:szCs w:val="20"/>
              </w:rPr>
            </w:pPr>
            <w:r w:rsidRPr="002508D3">
              <w:rPr>
                <w:rFonts w:eastAsia="Times New Roman" w:cs="Times New Roman"/>
                <w:color w:val="000000"/>
                <w:sz w:val="20"/>
                <w:szCs w:val="20"/>
              </w:rPr>
              <w:t>2030</w:t>
            </w:r>
          </w:p>
        </w:tc>
        <w:tc>
          <w:tcPr>
            <w:tcW w:w="1419"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2A7C432" w14:textId="77777777" w:rsidR="00670FD4" w:rsidRPr="00473248" w:rsidRDefault="00670FD4" w:rsidP="001925BA">
            <w:pPr>
              <w:spacing w:after="0" w:line="240" w:lineRule="auto"/>
              <w:ind w:firstLine="0"/>
              <w:rPr>
                <w:rFonts w:eastAsia="Times New Roman" w:cs="Times New Roman"/>
                <w:sz w:val="20"/>
                <w:szCs w:val="20"/>
              </w:rPr>
            </w:pPr>
            <w:r w:rsidRPr="00473248">
              <w:rPr>
                <w:rFonts w:eastAsia="Times New Roman" w:cs="Times New Roman"/>
                <w:color w:val="000000"/>
                <w:sz w:val="20"/>
                <w:szCs w:val="20"/>
              </w:rPr>
              <w:t>MMAP (ABADL), MEAT</w:t>
            </w:r>
          </w:p>
        </w:tc>
        <w:tc>
          <w:tcPr>
            <w:tcW w:w="1701" w:type="dxa"/>
            <w:vMerge/>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91E9719"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r>
      <w:tr w:rsidR="00670FD4" w14:paraId="15A81377" w14:textId="77777777" w:rsidTr="001925BA">
        <w:trPr>
          <w:trHeight w:val="874"/>
        </w:trPr>
        <w:tc>
          <w:tcPr>
            <w:tcW w:w="1892" w:type="dxa"/>
            <w:vMerge/>
            <w:tcBorders>
              <w:top w:val="single" w:sz="4" w:space="0" w:color="000000"/>
              <w:left w:val="single" w:sz="4" w:space="0" w:color="000000"/>
              <w:bottom w:val="single" w:sz="4" w:space="0" w:color="000000"/>
              <w:right w:val="single" w:sz="4" w:space="0" w:color="auto"/>
            </w:tcBorders>
            <w:shd w:val="clear" w:color="auto" w:fill="auto"/>
            <w:tcMar>
              <w:top w:w="100" w:type="dxa"/>
              <w:left w:w="100" w:type="dxa"/>
              <w:bottom w:w="100" w:type="dxa"/>
              <w:right w:w="100" w:type="dxa"/>
            </w:tcMar>
          </w:tcPr>
          <w:p w14:paraId="46A16E7A" w14:textId="77777777" w:rsidR="00670FD4" w:rsidRDefault="00670FD4" w:rsidP="001925BA">
            <w:pPr>
              <w:widowControl w:val="0"/>
              <w:pBdr>
                <w:top w:val="nil"/>
                <w:left w:val="nil"/>
                <w:bottom w:val="nil"/>
                <w:right w:val="nil"/>
                <w:between w:val="nil"/>
              </w:pBdr>
              <w:spacing w:after="0"/>
              <w:ind w:hanging="37"/>
              <w:rPr>
                <w:rFonts w:eastAsia="Times New Roman" w:cs="Times New Roman"/>
                <w:sz w:val="20"/>
                <w:szCs w:val="20"/>
              </w:rPr>
            </w:pPr>
          </w:p>
        </w:tc>
        <w:tc>
          <w:tcPr>
            <w:tcW w:w="2121" w:type="dxa"/>
            <w:vMerge/>
            <w:tcBorders>
              <w:left w:val="single" w:sz="4" w:space="0" w:color="auto"/>
              <w:bottom w:val="single" w:sz="4" w:space="0" w:color="auto"/>
              <w:right w:val="single" w:sz="4" w:space="0" w:color="auto"/>
            </w:tcBorders>
          </w:tcPr>
          <w:p w14:paraId="3A181DB4"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4A3864F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A 7.2.3 Inițierea și aprobarea, prin Hotărâre de Guvern, a unui Program de stimulare a operatorilor din turism care au obținut, urmare investițiilor realizate, distincția Blue Flag</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08765F9" w14:textId="77777777" w:rsidR="00670FD4" w:rsidRPr="002508D3" w:rsidRDefault="00670FD4" w:rsidP="001925BA">
            <w:pPr>
              <w:spacing w:after="0" w:line="240" w:lineRule="auto"/>
              <w:ind w:firstLine="0"/>
              <w:rPr>
                <w:rFonts w:eastAsia="Times New Roman" w:cs="Times New Roman"/>
                <w:sz w:val="20"/>
                <w:szCs w:val="22"/>
              </w:rPr>
            </w:pPr>
            <w:r w:rsidRPr="002508D3">
              <w:rPr>
                <w:rFonts w:eastAsia="Times New Roman" w:cs="Times New Roman"/>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55FEB69" w14:textId="77777777" w:rsidR="00670FD4" w:rsidRPr="002508D3" w:rsidRDefault="00670FD4" w:rsidP="001925BA">
            <w:pPr>
              <w:spacing w:after="0" w:line="240" w:lineRule="auto"/>
              <w:ind w:firstLine="0"/>
              <w:rPr>
                <w:rFonts w:eastAsia="Times New Roman" w:cs="Times New Roman"/>
                <w:sz w:val="20"/>
                <w:szCs w:val="20"/>
              </w:rPr>
            </w:pPr>
            <w:r w:rsidRPr="002508D3">
              <w:rPr>
                <w:rFonts w:eastAsia="Times New Roman" w:cs="Times New Roman"/>
                <w:color w:val="000000"/>
                <w:sz w:val="20"/>
                <w:szCs w:val="20"/>
              </w:rPr>
              <w:t>2027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BD6C8A1" w14:textId="77777777" w:rsidR="00670FD4" w:rsidRPr="00473248" w:rsidRDefault="00670FD4" w:rsidP="001925BA">
            <w:pPr>
              <w:spacing w:after="0" w:line="240" w:lineRule="auto"/>
              <w:ind w:firstLine="0"/>
              <w:rPr>
                <w:rFonts w:eastAsia="Times New Roman" w:cs="Times New Roman"/>
                <w:sz w:val="20"/>
                <w:szCs w:val="20"/>
              </w:rPr>
            </w:pPr>
            <w:r w:rsidRPr="00473248">
              <w:rPr>
                <w:rFonts w:eastAsia="Times New Roman" w:cs="Times New Roman"/>
                <w:color w:val="000000"/>
                <w:sz w:val="20"/>
                <w:szCs w:val="20"/>
              </w:rPr>
              <w:t>MMAP (ABADL)</w:t>
            </w:r>
          </w:p>
        </w:tc>
        <w:tc>
          <w:tcPr>
            <w:tcW w:w="170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9DB85C8"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r>
      <w:tr w:rsidR="00670FD4" w14:paraId="2F5ADAC9" w14:textId="77777777" w:rsidTr="001925BA">
        <w:trPr>
          <w:trHeight w:val="198"/>
        </w:trPr>
        <w:tc>
          <w:tcPr>
            <w:tcW w:w="1892" w:type="dxa"/>
            <w:vMerge w:val="restart"/>
            <w:tcBorders>
              <w:top w:val="single" w:sz="4" w:space="0" w:color="000000"/>
              <w:left w:val="single" w:sz="4" w:space="0" w:color="000000"/>
              <w:right w:val="single" w:sz="4" w:space="0" w:color="auto"/>
            </w:tcBorders>
            <w:shd w:val="clear" w:color="auto" w:fill="auto"/>
            <w:tcMar>
              <w:top w:w="100" w:type="dxa"/>
              <w:left w:w="100" w:type="dxa"/>
              <w:bottom w:w="100" w:type="dxa"/>
              <w:right w:w="100" w:type="dxa"/>
            </w:tcMar>
          </w:tcPr>
          <w:p w14:paraId="6BFF6C7B" w14:textId="77777777" w:rsidR="00670FD4" w:rsidRDefault="00670FD4" w:rsidP="001925BA">
            <w:pPr>
              <w:spacing w:after="0" w:line="240" w:lineRule="auto"/>
              <w:ind w:hanging="37"/>
              <w:rPr>
                <w:rFonts w:eastAsia="Times New Roman" w:cs="Times New Roman"/>
                <w:sz w:val="20"/>
                <w:szCs w:val="20"/>
              </w:rPr>
            </w:pPr>
            <w:r>
              <w:rPr>
                <w:rFonts w:eastAsia="Times New Roman" w:cs="Times New Roman"/>
                <w:sz w:val="20"/>
                <w:szCs w:val="20"/>
              </w:rPr>
              <w:lastRenderedPageBreak/>
              <w:t>M7.3 Inițierea și implementarea unui program de dezvoltare a turismului subacvatic</w:t>
            </w:r>
          </w:p>
        </w:tc>
        <w:tc>
          <w:tcPr>
            <w:tcW w:w="2121" w:type="dxa"/>
            <w:vMerge w:val="restart"/>
            <w:tcBorders>
              <w:top w:val="single" w:sz="4" w:space="0" w:color="auto"/>
              <w:left w:val="single" w:sz="4" w:space="0" w:color="auto"/>
              <w:right w:val="single" w:sz="4" w:space="0" w:color="auto"/>
            </w:tcBorders>
          </w:tcPr>
          <w:p w14:paraId="40F1A9FD" w14:textId="77777777" w:rsidR="00670FD4" w:rsidRPr="00DD49F4" w:rsidRDefault="00670FD4" w:rsidP="001925BA">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Os4.b Dezvoltarea “verde” a zonei costiere;</w:t>
            </w:r>
          </w:p>
          <w:p w14:paraId="121319C4" w14:textId="77777777" w:rsidR="00670FD4" w:rsidRPr="00DD49F4" w:rsidRDefault="00670FD4" w:rsidP="001925BA">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Os1.a Protejarea eficientă a valorilor naturale, peisagistice și culturale</w:t>
            </w:r>
            <w:r>
              <w:rPr>
                <w:rFonts w:eastAsia="Times New Roman" w:cs="Times New Roman"/>
                <w:color w:val="000000"/>
                <w:sz w:val="20"/>
                <w:szCs w:val="20"/>
              </w:rPr>
              <w:t>;</w:t>
            </w:r>
          </w:p>
          <w:p w14:paraId="01D0394B" w14:textId="77777777" w:rsidR="00670FD4" w:rsidRDefault="00670FD4" w:rsidP="001925BA">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Os6.b Creșterea gradului de conștientizare cu privire la necesitatea de a păstra și îmbunătăți resursele zonei de coastă</w:t>
            </w:r>
            <w:r>
              <w:rPr>
                <w:rFonts w:eastAsia="Times New Roman" w:cs="Times New Roman"/>
                <w:color w:val="000000"/>
                <w:sz w:val="20"/>
                <w:szCs w:val="20"/>
              </w:rPr>
              <w:t>.</w:t>
            </w: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2C32917E"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7.3.1 Revizuirea legislației privind reglementarea activităților de scufundare în scop recreativ și științific</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B045ECD" w14:textId="77777777" w:rsidR="00670FD4" w:rsidRPr="002508D3" w:rsidRDefault="00670FD4" w:rsidP="001925BA">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1B5A8A6" w14:textId="77777777" w:rsidR="00670FD4" w:rsidRPr="002508D3" w:rsidRDefault="00670FD4" w:rsidP="001925BA">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2025</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113E1C4"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 xml:space="preserve">MC, </w:t>
            </w:r>
            <w:r>
              <w:rPr>
                <w:rFonts w:eastAsia="Times New Roman" w:cs="Times New Roman"/>
                <w:color w:val="000000"/>
                <w:sz w:val="20"/>
                <w:szCs w:val="20"/>
              </w:rPr>
              <w:t xml:space="preserve">MCID, </w:t>
            </w:r>
            <w:r w:rsidRPr="00473248">
              <w:rPr>
                <w:rFonts w:eastAsia="Times New Roman" w:cs="Times New Roman"/>
                <w:color w:val="000000"/>
                <w:sz w:val="20"/>
                <w:szCs w:val="20"/>
              </w:rPr>
              <w:t>MApN</w:t>
            </w:r>
            <w:r>
              <w:rPr>
                <w:rFonts w:eastAsia="Times New Roman" w:cs="Times New Roman"/>
                <w:color w:val="000000"/>
                <w:sz w:val="20"/>
                <w:szCs w:val="20"/>
              </w:rPr>
              <w:t>, MEAT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2C8E08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Bugete proprii ale MC, MCID, MApN și MEAT</w:t>
            </w:r>
          </w:p>
        </w:tc>
      </w:tr>
      <w:tr w:rsidR="00670FD4" w14:paraId="76A3C39A" w14:textId="77777777" w:rsidTr="001925BA">
        <w:trPr>
          <w:trHeight w:val="197"/>
        </w:trPr>
        <w:tc>
          <w:tcPr>
            <w:tcW w:w="1892" w:type="dxa"/>
            <w:vMerge/>
            <w:tcBorders>
              <w:top w:val="single" w:sz="4" w:space="0" w:color="000000"/>
              <w:left w:val="single" w:sz="4" w:space="0" w:color="000000"/>
              <w:right w:val="single" w:sz="4" w:space="0" w:color="auto"/>
            </w:tcBorders>
            <w:shd w:val="clear" w:color="auto" w:fill="auto"/>
            <w:tcMar>
              <w:top w:w="100" w:type="dxa"/>
              <w:left w:w="100" w:type="dxa"/>
              <w:bottom w:w="100" w:type="dxa"/>
              <w:right w:w="100" w:type="dxa"/>
            </w:tcMar>
          </w:tcPr>
          <w:p w14:paraId="4B8823E4" w14:textId="77777777" w:rsidR="00670FD4" w:rsidRDefault="00670FD4" w:rsidP="001925BA">
            <w:pPr>
              <w:widowControl w:val="0"/>
              <w:pBdr>
                <w:top w:val="nil"/>
                <w:left w:val="nil"/>
                <w:bottom w:val="nil"/>
                <w:right w:val="nil"/>
                <w:between w:val="nil"/>
              </w:pBdr>
              <w:spacing w:after="0"/>
              <w:ind w:hanging="37"/>
              <w:rPr>
                <w:rFonts w:eastAsia="Times New Roman" w:cs="Times New Roman"/>
                <w:sz w:val="20"/>
                <w:szCs w:val="20"/>
              </w:rPr>
            </w:pPr>
          </w:p>
        </w:tc>
        <w:tc>
          <w:tcPr>
            <w:tcW w:w="2121" w:type="dxa"/>
            <w:vMerge/>
            <w:tcBorders>
              <w:left w:val="single" w:sz="4" w:space="0" w:color="auto"/>
              <w:right w:val="single" w:sz="4" w:space="0" w:color="auto"/>
            </w:tcBorders>
          </w:tcPr>
          <w:p w14:paraId="40D5B79F"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61F227C6"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7.3.2 Realizarea de campanii de conștientizare a importanței protejării și conservării patrimoniului cultural subacvatic;</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1ECCF0B" w14:textId="77777777" w:rsidR="00670FD4" w:rsidRPr="002508D3" w:rsidRDefault="00670FD4" w:rsidP="001925BA">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Medie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4CF92FE" w14:textId="77777777" w:rsidR="00670FD4" w:rsidRPr="002508D3" w:rsidRDefault="00670FD4" w:rsidP="001925BA">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A46E460"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 xml:space="preserve">MC, </w:t>
            </w:r>
            <w:r>
              <w:rPr>
                <w:rFonts w:eastAsia="Times New Roman" w:cs="Times New Roman"/>
                <w:color w:val="000000"/>
                <w:sz w:val="20"/>
                <w:szCs w:val="20"/>
              </w:rPr>
              <w:t>Organizația de Management a Destinației Mamaia – Constanța, MEAT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CB4295E"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Bugete proprii MC, MEAT și</w:t>
            </w:r>
            <w:r>
              <w:t xml:space="preserve"> </w:t>
            </w:r>
            <w:r w:rsidRPr="0060228C">
              <w:rPr>
                <w:rFonts w:eastAsia="Times New Roman" w:cs="Times New Roman"/>
                <w:sz w:val="20"/>
                <w:szCs w:val="20"/>
              </w:rPr>
              <w:t>Buget propriu Organizația de Management a Destinației Mamaia – Constanța (parteneriate public-privat)</w:t>
            </w:r>
          </w:p>
        </w:tc>
      </w:tr>
      <w:tr w:rsidR="00670FD4" w14:paraId="57BA4E9F" w14:textId="77777777" w:rsidTr="001925BA">
        <w:trPr>
          <w:trHeight w:val="197"/>
        </w:trPr>
        <w:tc>
          <w:tcPr>
            <w:tcW w:w="1892" w:type="dxa"/>
            <w:vMerge/>
            <w:tcBorders>
              <w:top w:val="single" w:sz="4" w:space="0" w:color="000000"/>
              <w:left w:val="single" w:sz="4" w:space="0" w:color="000000"/>
              <w:right w:val="single" w:sz="4" w:space="0" w:color="auto"/>
            </w:tcBorders>
            <w:shd w:val="clear" w:color="auto" w:fill="auto"/>
            <w:tcMar>
              <w:top w:w="100" w:type="dxa"/>
              <w:left w:w="100" w:type="dxa"/>
              <w:bottom w:w="100" w:type="dxa"/>
              <w:right w:w="100" w:type="dxa"/>
            </w:tcMar>
          </w:tcPr>
          <w:p w14:paraId="0393DD97" w14:textId="77777777" w:rsidR="00670FD4" w:rsidRDefault="00670FD4" w:rsidP="001925BA">
            <w:pPr>
              <w:widowControl w:val="0"/>
              <w:pBdr>
                <w:top w:val="nil"/>
                <w:left w:val="nil"/>
                <w:bottom w:val="nil"/>
                <w:right w:val="nil"/>
                <w:between w:val="nil"/>
              </w:pBdr>
              <w:spacing w:after="0"/>
              <w:ind w:hanging="37"/>
              <w:rPr>
                <w:rFonts w:eastAsia="Times New Roman" w:cs="Times New Roman"/>
                <w:sz w:val="20"/>
                <w:szCs w:val="20"/>
              </w:rPr>
            </w:pPr>
          </w:p>
        </w:tc>
        <w:tc>
          <w:tcPr>
            <w:tcW w:w="2121" w:type="dxa"/>
            <w:vMerge/>
            <w:tcBorders>
              <w:left w:val="single" w:sz="4" w:space="0" w:color="auto"/>
              <w:right w:val="single" w:sz="4" w:space="0" w:color="auto"/>
            </w:tcBorders>
          </w:tcPr>
          <w:p w14:paraId="5AA89A08"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112A1D3F"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7.3.3 Realizarea de campanii pentru promovarea turismului subacvatic la litoralul românesc</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7B0A26D" w14:textId="77777777" w:rsidR="00670FD4" w:rsidRPr="002508D3" w:rsidRDefault="00670FD4" w:rsidP="001925BA">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E53ED56" w14:textId="77777777" w:rsidR="00670FD4" w:rsidRPr="002508D3" w:rsidRDefault="00670FD4" w:rsidP="001925BA">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4C4EFDC" w14:textId="77777777" w:rsidR="00670FD4" w:rsidRPr="00473248" w:rsidRDefault="00670FD4" w:rsidP="001925BA">
            <w:pPr>
              <w:spacing w:after="0" w:line="240" w:lineRule="auto"/>
              <w:ind w:firstLine="0"/>
              <w:rPr>
                <w:rFonts w:eastAsia="Times New Roman" w:cs="Times New Roman"/>
                <w:color w:val="000000"/>
                <w:sz w:val="20"/>
                <w:szCs w:val="20"/>
              </w:rPr>
            </w:pPr>
            <w:r w:rsidRPr="0060228C">
              <w:rPr>
                <w:rFonts w:eastAsia="Times New Roman" w:cs="Times New Roman"/>
                <w:color w:val="000000"/>
                <w:sz w:val="20"/>
                <w:szCs w:val="20"/>
              </w:rPr>
              <w:t>Organizația de Management a Destinației Mamaia – Constanța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23288E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 xml:space="preserve">Buget propriu </w:t>
            </w:r>
            <w:r w:rsidRPr="0060228C">
              <w:rPr>
                <w:rFonts w:eastAsia="Times New Roman" w:cs="Times New Roman"/>
                <w:sz w:val="20"/>
                <w:szCs w:val="20"/>
              </w:rPr>
              <w:t>Organizația de Management a Destinației Mamaia – Constanța</w:t>
            </w:r>
            <w:r>
              <w:rPr>
                <w:rFonts w:eastAsia="Times New Roman" w:cs="Times New Roman"/>
                <w:sz w:val="20"/>
                <w:szCs w:val="20"/>
              </w:rPr>
              <w:t xml:space="preserve"> (parteneriate public-privat)</w:t>
            </w:r>
          </w:p>
        </w:tc>
      </w:tr>
      <w:tr w:rsidR="00670FD4" w14:paraId="38E86F0A" w14:textId="77777777" w:rsidTr="001925BA">
        <w:trPr>
          <w:trHeight w:val="197"/>
        </w:trPr>
        <w:tc>
          <w:tcPr>
            <w:tcW w:w="1892"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216701A8" w14:textId="77777777" w:rsidR="00670FD4" w:rsidRDefault="00670FD4" w:rsidP="001925BA">
            <w:pPr>
              <w:widowControl w:val="0"/>
              <w:pBdr>
                <w:top w:val="nil"/>
                <w:left w:val="nil"/>
                <w:bottom w:val="nil"/>
                <w:right w:val="nil"/>
                <w:between w:val="nil"/>
              </w:pBdr>
              <w:spacing w:after="0"/>
              <w:ind w:hanging="37"/>
              <w:rPr>
                <w:rFonts w:eastAsia="Times New Roman" w:cs="Times New Roman"/>
                <w:sz w:val="20"/>
                <w:szCs w:val="20"/>
              </w:rPr>
            </w:pPr>
          </w:p>
        </w:tc>
        <w:tc>
          <w:tcPr>
            <w:tcW w:w="2121" w:type="dxa"/>
            <w:vMerge/>
            <w:tcBorders>
              <w:left w:val="single" w:sz="4" w:space="0" w:color="auto"/>
              <w:bottom w:val="single" w:sz="4" w:space="0" w:color="auto"/>
              <w:right w:val="single" w:sz="4" w:space="0" w:color="auto"/>
            </w:tcBorders>
          </w:tcPr>
          <w:p w14:paraId="07B73FFC"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1C1E51A2"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7.3.4 Inițierea și implementarea de programe de pregătire / specializare pentru ghizii turistici (scuba - diving, arheologie subacvatică, istorie, etc);</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22E7856" w14:textId="77777777" w:rsidR="00670FD4" w:rsidRPr="002508D3" w:rsidRDefault="00670FD4" w:rsidP="001925BA">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BCB55D4" w14:textId="77777777" w:rsidR="00670FD4" w:rsidRPr="002508D3" w:rsidRDefault="00670FD4" w:rsidP="001925BA">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2A89702"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MC,</w:t>
            </w:r>
            <w:r>
              <w:rPr>
                <w:rFonts w:eastAsia="Times New Roman" w:cs="Times New Roman"/>
                <w:color w:val="000000"/>
                <w:sz w:val="20"/>
                <w:szCs w:val="20"/>
              </w:rPr>
              <w:t xml:space="preserve"> </w:t>
            </w:r>
            <w:r w:rsidRPr="0060228C">
              <w:rPr>
                <w:rFonts w:eastAsia="Times New Roman" w:cs="Times New Roman"/>
                <w:color w:val="000000"/>
                <w:sz w:val="20"/>
                <w:szCs w:val="20"/>
              </w:rPr>
              <w:t>Organizația de Management a Destinației Mamaia – Constanța)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8B5FE4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 xml:space="preserve">Bugete proprii MC, </w:t>
            </w:r>
            <w:r w:rsidRPr="0060228C">
              <w:rPr>
                <w:rFonts w:eastAsia="Times New Roman" w:cs="Times New Roman"/>
                <w:sz w:val="20"/>
                <w:szCs w:val="20"/>
              </w:rPr>
              <w:t>Organizația de Management a Destinației Mamaia – Constanța (parteneriate public-privat)</w:t>
            </w:r>
            <w:r>
              <w:rPr>
                <w:rFonts w:eastAsia="Times New Roman" w:cs="Times New Roman"/>
                <w:sz w:val="20"/>
                <w:szCs w:val="20"/>
              </w:rPr>
              <w:t xml:space="preserve">, parteneriate public-privat, Programul </w:t>
            </w:r>
            <w:r>
              <w:rPr>
                <w:rFonts w:eastAsia="Times New Roman" w:cs="Times New Roman"/>
                <w:sz w:val="20"/>
                <w:szCs w:val="20"/>
              </w:rPr>
              <w:lastRenderedPageBreak/>
              <w:t>Educație și Ocupare</w:t>
            </w:r>
          </w:p>
        </w:tc>
      </w:tr>
      <w:tr w:rsidR="00670FD4" w14:paraId="3B657573" w14:textId="77777777" w:rsidTr="001925BA">
        <w:trPr>
          <w:trHeight w:val="197"/>
        </w:trPr>
        <w:tc>
          <w:tcPr>
            <w:tcW w:w="1892"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47F8A188" w14:textId="77777777" w:rsidR="00670FD4" w:rsidRDefault="00670FD4" w:rsidP="001925BA">
            <w:pPr>
              <w:widowControl w:val="0"/>
              <w:pBdr>
                <w:top w:val="nil"/>
                <w:left w:val="nil"/>
                <w:bottom w:val="nil"/>
                <w:right w:val="nil"/>
                <w:between w:val="nil"/>
              </w:pBdr>
              <w:spacing w:after="0"/>
              <w:ind w:hanging="37"/>
              <w:rPr>
                <w:rFonts w:eastAsia="Times New Roman" w:cs="Times New Roman"/>
                <w:sz w:val="20"/>
                <w:szCs w:val="20"/>
              </w:rPr>
            </w:pPr>
          </w:p>
        </w:tc>
        <w:tc>
          <w:tcPr>
            <w:tcW w:w="2121" w:type="dxa"/>
            <w:vMerge/>
            <w:tcBorders>
              <w:left w:val="single" w:sz="4" w:space="0" w:color="auto"/>
              <w:bottom w:val="single" w:sz="4" w:space="0" w:color="auto"/>
              <w:right w:val="single" w:sz="4" w:space="0" w:color="auto"/>
            </w:tcBorders>
          </w:tcPr>
          <w:p w14:paraId="2859C283"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1687E8D8"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7.3.5 Inițierea și implementarea de proiecte pentru identificarea rutelor turistice subacvatice și interconectarea lor la siturile culturale terestre</w:t>
            </w:r>
          </w:p>
        </w:tc>
        <w:tc>
          <w:tcPr>
            <w:tcW w:w="1277"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76FC645B" w14:textId="77777777" w:rsidR="00670FD4" w:rsidRPr="002508D3" w:rsidRDefault="00670FD4" w:rsidP="001925BA">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4BA2F89C" w14:textId="77777777" w:rsidR="00670FD4" w:rsidRPr="002508D3" w:rsidRDefault="00670FD4" w:rsidP="001925BA">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462854C2"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MC și MCID (INCD GeoEcoMar), MApN</w:t>
            </w:r>
            <w:r>
              <w:rPr>
                <w:rFonts w:eastAsia="Times New Roman" w:cs="Times New Roman"/>
                <w:color w:val="000000"/>
                <w:sz w:val="20"/>
                <w:szCs w:val="20"/>
              </w:rPr>
              <w:t>, MEAT</w:t>
            </w:r>
          </w:p>
        </w:tc>
        <w:tc>
          <w:tcPr>
            <w:tcW w:w="1701"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14487963"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Horizon Europe, Programul Regional Sud-Est, PNCDI IV</w:t>
            </w:r>
          </w:p>
        </w:tc>
      </w:tr>
      <w:tr w:rsidR="00670FD4" w14:paraId="00D8BDB0" w14:textId="77777777" w:rsidTr="001925BA">
        <w:trPr>
          <w:trHeight w:val="197"/>
        </w:trPr>
        <w:tc>
          <w:tcPr>
            <w:tcW w:w="1892" w:type="dxa"/>
            <w:vMerge/>
            <w:tcBorders>
              <w:top w:val="single" w:sz="4" w:space="0" w:color="auto"/>
              <w:left w:val="single" w:sz="4" w:space="0" w:color="000000"/>
              <w:right w:val="single" w:sz="4" w:space="0" w:color="auto"/>
            </w:tcBorders>
            <w:shd w:val="clear" w:color="auto" w:fill="auto"/>
            <w:tcMar>
              <w:top w:w="100" w:type="dxa"/>
              <w:left w:w="100" w:type="dxa"/>
              <w:bottom w:w="100" w:type="dxa"/>
              <w:right w:w="100" w:type="dxa"/>
            </w:tcMar>
          </w:tcPr>
          <w:p w14:paraId="3E57963E" w14:textId="77777777" w:rsidR="00670FD4" w:rsidRDefault="00670FD4" w:rsidP="001925BA">
            <w:pPr>
              <w:widowControl w:val="0"/>
              <w:pBdr>
                <w:top w:val="nil"/>
                <w:left w:val="nil"/>
                <w:bottom w:val="nil"/>
                <w:right w:val="nil"/>
                <w:between w:val="nil"/>
              </w:pBdr>
              <w:spacing w:after="0"/>
              <w:ind w:hanging="37"/>
              <w:rPr>
                <w:rFonts w:eastAsia="Times New Roman" w:cs="Times New Roman"/>
                <w:sz w:val="20"/>
                <w:szCs w:val="20"/>
              </w:rPr>
            </w:pPr>
          </w:p>
        </w:tc>
        <w:tc>
          <w:tcPr>
            <w:tcW w:w="2121" w:type="dxa"/>
            <w:vMerge/>
            <w:tcBorders>
              <w:top w:val="single" w:sz="4" w:space="0" w:color="auto"/>
              <w:left w:val="single" w:sz="4" w:space="0" w:color="auto"/>
              <w:bottom w:val="single" w:sz="4" w:space="0" w:color="auto"/>
              <w:right w:val="single" w:sz="4" w:space="0" w:color="auto"/>
            </w:tcBorders>
          </w:tcPr>
          <w:p w14:paraId="412B9DB8"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414E637A"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7.3.6 Inițierea și implementarea de proiecte de restaurare a siturilor și obiectelor subacvatice</w:t>
            </w:r>
          </w:p>
        </w:tc>
        <w:tc>
          <w:tcPr>
            <w:tcW w:w="1277"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74B0BAB" w14:textId="77777777" w:rsidR="00670FD4" w:rsidRPr="002508D3" w:rsidRDefault="00670FD4" w:rsidP="001925BA">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50BA2D9" w14:textId="77777777" w:rsidR="00670FD4" w:rsidRPr="002508D3" w:rsidRDefault="00670FD4" w:rsidP="001925BA">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A731EE4"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MC, MCID (INCD GeoEcoMar)</w:t>
            </w:r>
          </w:p>
        </w:tc>
        <w:tc>
          <w:tcPr>
            <w:tcW w:w="1701"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D751CA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 propriu MC, Horizon Europe, Programul Regional Sud-Est, PNCDI IV</w:t>
            </w:r>
          </w:p>
        </w:tc>
      </w:tr>
      <w:tr w:rsidR="00670FD4" w14:paraId="008E6130" w14:textId="77777777" w:rsidTr="001925BA">
        <w:trPr>
          <w:trHeight w:val="612"/>
        </w:trPr>
        <w:tc>
          <w:tcPr>
            <w:tcW w:w="1892" w:type="dxa"/>
            <w:vMerge w:val="restart"/>
            <w:tcBorders>
              <w:top w:val="single" w:sz="4" w:space="0" w:color="000000"/>
              <w:left w:val="single" w:sz="4" w:space="0" w:color="000000"/>
              <w:right w:val="single" w:sz="4" w:space="0" w:color="auto"/>
            </w:tcBorders>
            <w:shd w:val="clear" w:color="auto" w:fill="auto"/>
            <w:tcMar>
              <w:top w:w="100" w:type="dxa"/>
              <w:left w:w="100" w:type="dxa"/>
              <w:bottom w:w="100" w:type="dxa"/>
              <w:right w:w="100" w:type="dxa"/>
            </w:tcMar>
          </w:tcPr>
          <w:p w14:paraId="15F1B0F4" w14:textId="77777777" w:rsidR="00670FD4" w:rsidRDefault="00670FD4" w:rsidP="001925BA">
            <w:pPr>
              <w:spacing w:after="0" w:line="240" w:lineRule="auto"/>
              <w:ind w:hanging="37"/>
              <w:rPr>
                <w:rFonts w:eastAsia="Times New Roman" w:cs="Times New Roman"/>
                <w:sz w:val="20"/>
                <w:szCs w:val="20"/>
              </w:rPr>
            </w:pPr>
            <w:r>
              <w:rPr>
                <w:rFonts w:eastAsia="Times New Roman" w:cs="Times New Roman"/>
                <w:sz w:val="20"/>
                <w:szCs w:val="20"/>
              </w:rPr>
              <w:t>M7.4 Reabilitarea stocurilor de pești cu valoare comercială, încurajarea și susținerea implementării procedurilor/tehnicilor și tehnologiilor de pescuit sustenabil prin acordarea de stimulente</w:t>
            </w:r>
          </w:p>
        </w:tc>
        <w:tc>
          <w:tcPr>
            <w:tcW w:w="2121" w:type="dxa"/>
            <w:vMerge w:val="restart"/>
            <w:tcBorders>
              <w:top w:val="single" w:sz="4" w:space="0" w:color="auto"/>
              <w:left w:val="single" w:sz="4" w:space="0" w:color="auto"/>
              <w:right w:val="single" w:sz="4" w:space="0" w:color="auto"/>
            </w:tcBorders>
          </w:tcPr>
          <w:p w14:paraId="741E33F7" w14:textId="77777777" w:rsidR="00670FD4" w:rsidRDefault="00670FD4" w:rsidP="001925BA">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 xml:space="preserve">Os4.a Gestionarea durabilă a resurselor zonei de coastă; </w:t>
            </w:r>
          </w:p>
          <w:p w14:paraId="45BC8055" w14:textId="77777777" w:rsidR="00670FD4" w:rsidRDefault="00670FD4" w:rsidP="001925BA">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Os2.a Atingerea stării ecologice bune a ecosistemelor.</w:t>
            </w: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6B9406D5"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7.4.1 Reabilitarea ecologică a zonelor de reproducere și creștere a stadiilor timpurii, pentru refacerea stocurilor și rutelor de migraţie a peştilor și pentru decolmatarea căilor de acces</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8D6FDEF" w14:textId="77777777" w:rsidR="00670FD4" w:rsidRPr="002508D3" w:rsidRDefault="00670FD4" w:rsidP="001925BA">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AD88AAC" w14:textId="77777777" w:rsidR="00670FD4" w:rsidRPr="002508D3" w:rsidRDefault="00670FD4" w:rsidP="001925BA">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04CC1F3"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 (ANPA)</w:t>
            </w:r>
          </w:p>
        </w:tc>
        <w:tc>
          <w:tcPr>
            <w:tcW w:w="170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BB95C78" w14:textId="77777777" w:rsidR="00670FD4" w:rsidRDefault="00670FD4" w:rsidP="001925BA">
            <w:pPr>
              <w:spacing w:after="0" w:line="240" w:lineRule="auto"/>
              <w:ind w:firstLine="0"/>
              <w:rPr>
                <w:rFonts w:eastAsia="Times New Roman" w:cs="Times New Roman"/>
                <w:sz w:val="20"/>
                <w:szCs w:val="20"/>
              </w:rPr>
            </w:pPr>
          </w:p>
          <w:p w14:paraId="711D5596" w14:textId="77777777" w:rsidR="00670FD4" w:rsidRDefault="00670FD4" w:rsidP="001925BA">
            <w:pPr>
              <w:spacing w:after="0" w:line="240" w:lineRule="auto"/>
              <w:ind w:firstLine="0"/>
              <w:rPr>
                <w:rFonts w:eastAsia="Times New Roman" w:cs="Times New Roman"/>
                <w:sz w:val="20"/>
                <w:szCs w:val="20"/>
              </w:rPr>
            </w:pPr>
          </w:p>
          <w:p w14:paraId="0D694E36" w14:textId="77777777" w:rsidR="00670FD4" w:rsidRDefault="00670FD4" w:rsidP="001925BA">
            <w:pPr>
              <w:spacing w:after="0" w:line="240" w:lineRule="auto"/>
              <w:ind w:firstLine="0"/>
              <w:rPr>
                <w:rFonts w:eastAsia="Times New Roman" w:cs="Times New Roman"/>
                <w:sz w:val="20"/>
                <w:szCs w:val="20"/>
              </w:rPr>
            </w:pPr>
          </w:p>
          <w:p w14:paraId="1BEA24B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Programul de Pescuit și Acvacultură, fonduri proprii MADR (ANPA)</w:t>
            </w:r>
          </w:p>
        </w:tc>
      </w:tr>
      <w:tr w:rsidR="00670FD4" w14:paraId="25C2A81A" w14:textId="77777777" w:rsidTr="001925BA">
        <w:trPr>
          <w:trHeight w:val="612"/>
        </w:trPr>
        <w:tc>
          <w:tcPr>
            <w:tcW w:w="1892"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71331B77" w14:textId="77777777" w:rsidR="00670FD4" w:rsidRDefault="00670FD4" w:rsidP="001925BA">
            <w:pPr>
              <w:widowControl w:val="0"/>
              <w:pBdr>
                <w:top w:val="nil"/>
                <w:left w:val="nil"/>
                <w:bottom w:val="nil"/>
                <w:right w:val="nil"/>
                <w:between w:val="nil"/>
              </w:pBdr>
              <w:spacing w:after="0"/>
              <w:ind w:hanging="37"/>
              <w:rPr>
                <w:rFonts w:eastAsia="Times New Roman" w:cs="Times New Roman"/>
                <w:sz w:val="20"/>
                <w:szCs w:val="20"/>
              </w:rPr>
            </w:pPr>
          </w:p>
        </w:tc>
        <w:tc>
          <w:tcPr>
            <w:tcW w:w="2121" w:type="dxa"/>
            <w:vMerge/>
            <w:tcBorders>
              <w:left w:val="single" w:sz="4" w:space="0" w:color="auto"/>
              <w:bottom w:val="single" w:sz="4" w:space="0" w:color="auto"/>
              <w:right w:val="single" w:sz="4" w:space="0" w:color="auto"/>
            </w:tcBorders>
          </w:tcPr>
          <w:p w14:paraId="50B1AACD"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4AF2688B"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7.4.2 Îmbunătățirea/corelarea legislaţiei naţionale în acord cu legislația europeană, privind:</w:t>
            </w:r>
          </w:p>
          <w:p w14:paraId="50A16FD1"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i) folosirea uneltelor de pescuit, precum plasele monofilament, combaterea, cu măsuri reale, a braconajului,</w:t>
            </w:r>
          </w:p>
          <w:p w14:paraId="5C4B7E2A"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ii) consultarea reprezentanţilor din pescării în elaborarea de politici care influenţează domeniul pescaresc,</w:t>
            </w:r>
          </w:p>
          <w:p w14:paraId="5733F7E9"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iii) protejarea intereselor pescarilor autohtoni și acordarea de compensaţii financiare în perioade nefavorabile, îmbunătăţirea condiţiilor de muncă ale pescarilor;</w:t>
            </w:r>
          </w:p>
          <w:p w14:paraId="7FBA79A3"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iv) îmbunătăţirea condiţiilor de muncă ale pescarilor</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FD953CF" w14:textId="77777777" w:rsidR="00670FD4" w:rsidRPr="002508D3" w:rsidRDefault="00670FD4" w:rsidP="001925BA">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Foarte 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F70EDC3" w14:textId="77777777" w:rsidR="00670FD4" w:rsidRPr="002508D3" w:rsidRDefault="00670FD4" w:rsidP="001925BA">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2027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A5E2934"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 (ANPA)</w:t>
            </w:r>
          </w:p>
        </w:tc>
        <w:tc>
          <w:tcPr>
            <w:tcW w:w="170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95FA827" w14:textId="77777777" w:rsidR="00670FD4" w:rsidRDefault="00670FD4" w:rsidP="001925BA">
            <w:pPr>
              <w:widowControl w:val="0"/>
              <w:pBdr>
                <w:top w:val="nil"/>
                <w:left w:val="nil"/>
                <w:bottom w:val="nil"/>
                <w:right w:val="nil"/>
                <w:between w:val="nil"/>
              </w:pBdr>
              <w:spacing w:after="0"/>
              <w:ind w:firstLine="0"/>
              <w:rPr>
                <w:rFonts w:eastAsia="Times New Roman" w:cs="Times New Roman"/>
                <w:color w:val="000000"/>
                <w:sz w:val="20"/>
                <w:szCs w:val="20"/>
              </w:rPr>
            </w:pPr>
          </w:p>
        </w:tc>
      </w:tr>
      <w:tr w:rsidR="00670FD4" w14:paraId="246AE601" w14:textId="77777777" w:rsidTr="001925BA">
        <w:trPr>
          <w:trHeight w:val="520"/>
        </w:trPr>
        <w:tc>
          <w:tcPr>
            <w:tcW w:w="1892" w:type="dxa"/>
            <w:vMerge/>
            <w:tcBorders>
              <w:top w:val="single" w:sz="4" w:space="0" w:color="auto"/>
              <w:left w:val="single" w:sz="4" w:space="0" w:color="000000"/>
              <w:right w:val="single" w:sz="4" w:space="0" w:color="auto"/>
            </w:tcBorders>
            <w:shd w:val="clear" w:color="auto" w:fill="auto"/>
            <w:tcMar>
              <w:top w:w="100" w:type="dxa"/>
              <w:left w:w="100" w:type="dxa"/>
              <w:bottom w:w="100" w:type="dxa"/>
              <w:right w:w="100" w:type="dxa"/>
            </w:tcMar>
          </w:tcPr>
          <w:p w14:paraId="37B7AF4F" w14:textId="77777777" w:rsidR="00670FD4" w:rsidRDefault="00670FD4" w:rsidP="001925BA">
            <w:pPr>
              <w:widowControl w:val="0"/>
              <w:pBdr>
                <w:top w:val="nil"/>
                <w:left w:val="nil"/>
                <w:bottom w:val="nil"/>
                <w:right w:val="nil"/>
                <w:between w:val="nil"/>
              </w:pBdr>
              <w:spacing w:after="0"/>
              <w:ind w:hanging="37"/>
              <w:rPr>
                <w:rFonts w:eastAsia="Times New Roman" w:cs="Times New Roman"/>
                <w:color w:val="000000"/>
                <w:sz w:val="20"/>
                <w:szCs w:val="20"/>
              </w:rPr>
            </w:pPr>
          </w:p>
        </w:tc>
        <w:tc>
          <w:tcPr>
            <w:tcW w:w="2121" w:type="dxa"/>
            <w:vMerge/>
            <w:tcBorders>
              <w:top w:val="single" w:sz="4" w:space="0" w:color="auto"/>
              <w:left w:val="single" w:sz="4" w:space="0" w:color="auto"/>
              <w:right w:val="single" w:sz="4" w:space="0" w:color="auto"/>
            </w:tcBorders>
          </w:tcPr>
          <w:p w14:paraId="1CCD3694"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07B38D2F"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7.4.3 Crearea unui fond de garantare pentru sectorul operaţional de pescuit</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E3BE725" w14:textId="77777777" w:rsidR="00670FD4" w:rsidRPr="002508D3" w:rsidRDefault="00670FD4" w:rsidP="001925BA">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B1F2A38" w14:textId="77777777" w:rsidR="00670FD4" w:rsidRPr="002508D3" w:rsidRDefault="00670FD4" w:rsidP="001925BA">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2027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5A36D86"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 (ANPA)</w:t>
            </w:r>
          </w:p>
        </w:tc>
        <w:tc>
          <w:tcPr>
            <w:tcW w:w="170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9AD9CF3" w14:textId="77777777" w:rsidR="00670FD4" w:rsidRDefault="00670FD4" w:rsidP="001925BA">
            <w:pPr>
              <w:widowControl w:val="0"/>
              <w:pBdr>
                <w:top w:val="nil"/>
                <w:left w:val="nil"/>
                <w:bottom w:val="nil"/>
                <w:right w:val="nil"/>
                <w:between w:val="nil"/>
              </w:pBdr>
              <w:spacing w:after="0"/>
              <w:ind w:firstLine="0"/>
              <w:rPr>
                <w:rFonts w:eastAsia="Times New Roman" w:cs="Times New Roman"/>
                <w:color w:val="000000"/>
                <w:sz w:val="20"/>
                <w:szCs w:val="20"/>
              </w:rPr>
            </w:pPr>
          </w:p>
        </w:tc>
      </w:tr>
      <w:tr w:rsidR="00670FD4" w14:paraId="59F6BFF4" w14:textId="77777777" w:rsidTr="001925BA">
        <w:trPr>
          <w:trHeight w:val="612"/>
        </w:trPr>
        <w:tc>
          <w:tcPr>
            <w:tcW w:w="1892" w:type="dxa"/>
            <w:vMerge/>
            <w:tcBorders>
              <w:top w:val="single" w:sz="4" w:space="0" w:color="000000"/>
              <w:left w:val="single" w:sz="4" w:space="0" w:color="000000"/>
              <w:right w:val="single" w:sz="4" w:space="0" w:color="auto"/>
            </w:tcBorders>
            <w:shd w:val="clear" w:color="auto" w:fill="auto"/>
            <w:tcMar>
              <w:top w:w="100" w:type="dxa"/>
              <w:left w:w="100" w:type="dxa"/>
              <w:bottom w:w="100" w:type="dxa"/>
              <w:right w:w="100" w:type="dxa"/>
            </w:tcMar>
          </w:tcPr>
          <w:p w14:paraId="34067208" w14:textId="77777777" w:rsidR="00670FD4" w:rsidRDefault="00670FD4" w:rsidP="001925BA">
            <w:pPr>
              <w:widowControl w:val="0"/>
              <w:pBdr>
                <w:top w:val="nil"/>
                <w:left w:val="nil"/>
                <w:bottom w:val="nil"/>
                <w:right w:val="nil"/>
                <w:between w:val="nil"/>
              </w:pBdr>
              <w:spacing w:after="0"/>
              <w:ind w:hanging="37"/>
              <w:rPr>
                <w:rFonts w:eastAsia="Times New Roman" w:cs="Times New Roman"/>
                <w:color w:val="000000"/>
                <w:sz w:val="20"/>
                <w:szCs w:val="20"/>
              </w:rPr>
            </w:pPr>
          </w:p>
        </w:tc>
        <w:tc>
          <w:tcPr>
            <w:tcW w:w="2121" w:type="dxa"/>
            <w:vMerge/>
            <w:tcBorders>
              <w:left w:val="single" w:sz="4" w:space="0" w:color="auto"/>
              <w:right w:val="single" w:sz="4" w:space="0" w:color="auto"/>
            </w:tcBorders>
          </w:tcPr>
          <w:p w14:paraId="76516330"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2B5710D0"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7.4.4 Alocarea de terenuri care să servească amenajării de adăposturi pescăreşti în vederea reactivării pescuitului costier la scară redusă</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62CD673" w14:textId="77777777" w:rsidR="00670FD4" w:rsidRPr="002508D3" w:rsidRDefault="00670FD4" w:rsidP="001925BA">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Medie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12BE048" w14:textId="77777777" w:rsidR="00670FD4" w:rsidRPr="002508D3" w:rsidRDefault="00670FD4" w:rsidP="001925BA">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2027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B47F037"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 (ANPA)</w:t>
            </w:r>
          </w:p>
        </w:tc>
        <w:tc>
          <w:tcPr>
            <w:tcW w:w="170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1D74174" w14:textId="77777777" w:rsidR="00670FD4" w:rsidRDefault="00670FD4" w:rsidP="001925BA">
            <w:pPr>
              <w:widowControl w:val="0"/>
              <w:pBdr>
                <w:top w:val="nil"/>
                <w:left w:val="nil"/>
                <w:bottom w:val="nil"/>
                <w:right w:val="nil"/>
                <w:between w:val="nil"/>
              </w:pBdr>
              <w:spacing w:after="0"/>
              <w:ind w:firstLine="0"/>
              <w:rPr>
                <w:rFonts w:eastAsia="Times New Roman" w:cs="Times New Roman"/>
                <w:color w:val="000000"/>
                <w:sz w:val="20"/>
                <w:szCs w:val="20"/>
              </w:rPr>
            </w:pPr>
          </w:p>
        </w:tc>
      </w:tr>
      <w:tr w:rsidR="00670FD4" w14:paraId="546C31CE" w14:textId="77777777" w:rsidTr="001925BA">
        <w:trPr>
          <w:trHeight w:val="612"/>
        </w:trPr>
        <w:tc>
          <w:tcPr>
            <w:tcW w:w="1892"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6A2ED20C" w14:textId="77777777" w:rsidR="00670FD4" w:rsidRDefault="00670FD4" w:rsidP="001925BA">
            <w:pPr>
              <w:widowControl w:val="0"/>
              <w:pBdr>
                <w:top w:val="nil"/>
                <w:left w:val="nil"/>
                <w:bottom w:val="nil"/>
                <w:right w:val="nil"/>
                <w:between w:val="nil"/>
              </w:pBdr>
              <w:spacing w:after="0"/>
              <w:ind w:hanging="37"/>
              <w:rPr>
                <w:rFonts w:eastAsia="Times New Roman" w:cs="Times New Roman"/>
                <w:color w:val="000000"/>
                <w:sz w:val="20"/>
                <w:szCs w:val="20"/>
              </w:rPr>
            </w:pPr>
          </w:p>
        </w:tc>
        <w:tc>
          <w:tcPr>
            <w:tcW w:w="2121" w:type="dxa"/>
            <w:vMerge/>
            <w:tcBorders>
              <w:left w:val="single" w:sz="4" w:space="0" w:color="auto"/>
              <w:bottom w:val="single" w:sz="4" w:space="0" w:color="auto"/>
              <w:right w:val="single" w:sz="4" w:space="0" w:color="auto"/>
            </w:tcBorders>
          </w:tcPr>
          <w:p w14:paraId="213D1178"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3ED3ECC7"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7.4.5 Realizarea de campanii de conștientizare și de instruire a pescarilor și piscicultorilor</w:t>
            </w:r>
          </w:p>
        </w:tc>
        <w:tc>
          <w:tcPr>
            <w:tcW w:w="1277"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632F735F" w14:textId="77777777" w:rsidR="00670FD4" w:rsidRPr="002508D3" w:rsidRDefault="00670FD4" w:rsidP="001925BA">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2E69DEA0" w14:textId="77777777" w:rsidR="00670FD4" w:rsidRPr="002508D3" w:rsidRDefault="00670FD4" w:rsidP="001925BA">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2E8E752C"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 MCID (INCDM Grigore Antipa, INCDDD)</w:t>
            </w:r>
          </w:p>
        </w:tc>
        <w:tc>
          <w:tcPr>
            <w:tcW w:w="1701" w:type="dxa"/>
            <w:vMerge/>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2A31D2AE" w14:textId="77777777" w:rsidR="00670FD4" w:rsidRDefault="00670FD4" w:rsidP="001925BA">
            <w:pPr>
              <w:widowControl w:val="0"/>
              <w:pBdr>
                <w:top w:val="nil"/>
                <w:left w:val="nil"/>
                <w:bottom w:val="nil"/>
                <w:right w:val="nil"/>
                <w:between w:val="nil"/>
              </w:pBdr>
              <w:spacing w:after="0"/>
              <w:ind w:firstLine="0"/>
              <w:rPr>
                <w:rFonts w:eastAsia="Times New Roman" w:cs="Times New Roman"/>
                <w:color w:val="000000"/>
                <w:sz w:val="20"/>
                <w:szCs w:val="20"/>
              </w:rPr>
            </w:pPr>
          </w:p>
        </w:tc>
      </w:tr>
      <w:tr w:rsidR="00670FD4" w14:paraId="61AA85C0" w14:textId="77777777" w:rsidTr="001925BA">
        <w:trPr>
          <w:trHeight w:val="612"/>
        </w:trPr>
        <w:tc>
          <w:tcPr>
            <w:tcW w:w="1892" w:type="dxa"/>
            <w:vMerge/>
            <w:tcBorders>
              <w:top w:val="single" w:sz="4" w:space="0" w:color="auto"/>
              <w:left w:val="single" w:sz="4" w:space="0" w:color="000000"/>
              <w:right w:val="single" w:sz="4" w:space="0" w:color="auto"/>
            </w:tcBorders>
            <w:shd w:val="clear" w:color="auto" w:fill="auto"/>
            <w:tcMar>
              <w:top w:w="100" w:type="dxa"/>
              <w:left w:w="100" w:type="dxa"/>
              <w:bottom w:w="100" w:type="dxa"/>
              <w:right w:w="100" w:type="dxa"/>
            </w:tcMar>
          </w:tcPr>
          <w:p w14:paraId="55BF8872" w14:textId="77777777" w:rsidR="00670FD4" w:rsidRDefault="00670FD4" w:rsidP="001925BA">
            <w:pPr>
              <w:widowControl w:val="0"/>
              <w:pBdr>
                <w:top w:val="nil"/>
                <w:left w:val="nil"/>
                <w:bottom w:val="nil"/>
                <w:right w:val="nil"/>
                <w:between w:val="nil"/>
              </w:pBdr>
              <w:spacing w:after="0"/>
              <w:ind w:hanging="37"/>
              <w:rPr>
                <w:rFonts w:eastAsia="Times New Roman" w:cs="Times New Roman"/>
                <w:color w:val="000000"/>
                <w:sz w:val="20"/>
                <w:szCs w:val="20"/>
              </w:rPr>
            </w:pPr>
          </w:p>
        </w:tc>
        <w:tc>
          <w:tcPr>
            <w:tcW w:w="2121" w:type="dxa"/>
            <w:vMerge/>
            <w:tcBorders>
              <w:top w:val="single" w:sz="4" w:space="0" w:color="auto"/>
              <w:left w:val="single" w:sz="4" w:space="0" w:color="auto"/>
              <w:bottom w:val="single" w:sz="4" w:space="0" w:color="auto"/>
              <w:right w:val="single" w:sz="4" w:space="0" w:color="auto"/>
            </w:tcBorders>
          </w:tcPr>
          <w:p w14:paraId="2FE26ABC"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1C2588AA"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7.4.6 Stimularea activităţii de cercetare în domeniul piscicol</w:t>
            </w:r>
          </w:p>
        </w:tc>
        <w:tc>
          <w:tcPr>
            <w:tcW w:w="1277"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6F8977B" w14:textId="77777777" w:rsidR="00670FD4" w:rsidRPr="002508D3" w:rsidRDefault="00670FD4" w:rsidP="001925BA">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9D82C96" w14:textId="77777777" w:rsidR="00670FD4" w:rsidRPr="002508D3" w:rsidRDefault="00670FD4" w:rsidP="001925BA">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5336DB4"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 MCID (INCDM Grigore Antipa, INCDDD)</w:t>
            </w:r>
          </w:p>
        </w:tc>
        <w:tc>
          <w:tcPr>
            <w:tcW w:w="1701"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1046BDB"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Programul de Pescuit și Acvacultură, PNCDI IV, fonduri proprii MADR (ANPA)</w:t>
            </w:r>
          </w:p>
        </w:tc>
      </w:tr>
      <w:tr w:rsidR="00670FD4" w14:paraId="316CAD87" w14:textId="77777777" w:rsidTr="001925BA">
        <w:trPr>
          <w:trHeight w:val="1024"/>
        </w:trPr>
        <w:tc>
          <w:tcPr>
            <w:tcW w:w="1892" w:type="dxa"/>
            <w:vMerge w:val="restart"/>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65DA04BE" w14:textId="77777777" w:rsidR="00670FD4" w:rsidRDefault="00670FD4" w:rsidP="001925BA">
            <w:pPr>
              <w:spacing w:after="0" w:line="240" w:lineRule="auto"/>
              <w:ind w:hanging="37"/>
              <w:rPr>
                <w:rFonts w:eastAsia="Times New Roman" w:cs="Times New Roman"/>
                <w:sz w:val="20"/>
                <w:szCs w:val="20"/>
              </w:rPr>
            </w:pPr>
            <w:r>
              <w:rPr>
                <w:rFonts w:eastAsia="Times New Roman" w:cs="Times New Roman"/>
                <w:sz w:val="20"/>
                <w:szCs w:val="20"/>
              </w:rPr>
              <w:t>M7.5 Dezvoltarea infrastructurii pescărești și utilizarea de mijloace de pescuit prietenoase cu mediul pentru evitarea deteriorării substratului marin și diminuarea presiunii asupra mediului</w:t>
            </w:r>
          </w:p>
        </w:tc>
        <w:tc>
          <w:tcPr>
            <w:tcW w:w="2121" w:type="dxa"/>
            <w:vMerge w:val="restart"/>
            <w:tcBorders>
              <w:top w:val="single" w:sz="4" w:space="0" w:color="auto"/>
              <w:left w:val="single" w:sz="4" w:space="0" w:color="auto"/>
              <w:bottom w:val="single" w:sz="4" w:space="0" w:color="auto"/>
              <w:right w:val="single" w:sz="4" w:space="0" w:color="auto"/>
            </w:tcBorders>
          </w:tcPr>
          <w:p w14:paraId="77F4DFBC" w14:textId="77777777" w:rsidR="00670FD4" w:rsidRDefault="00670FD4" w:rsidP="001925BA">
            <w:pPr>
              <w:spacing w:after="0" w:line="240" w:lineRule="auto"/>
              <w:ind w:firstLine="48"/>
              <w:rPr>
                <w:rFonts w:eastAsia="Times New Roman" w:cs="Times New Roman"/>
                <w:color w:val="000000"/>
                <w:sz w:val="20"/>
                <w:szCs w:val="20"/>
              </w:rPr>
            </w:pPr>
            <w:r w:rsidRPr="00DD49F4">
              <w:rPr>
                <w:rFonts w:eastAsia="Times New Roman" w:cs="Times New Roman"/>
                <w:color w:val="000000"/>
                <w:sz w:val="20"/>
                <w:szCs w:val="20"/>
              </w:rPr>
              <w:t>Os 4.a Gestionarea durabilă a resurselor zonei de coastă</w:t>
            </w:r>
            <w:r>
              <w:rPr>
                <w:rFonts w:eastAsia="Times New Roman" w:cs="Times New Roman"/>
                <w:color w:val="000000"/>
                <w:sz w:val="20"/>
                <w:szCs w:val="20"/>
              </w:rPr>
              <w:t>.</w:t>
            </w: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08383306"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7.5.1 Elaborarea și implementarea programelor pentru modernizarea ambarcaţiunilor de pescuit, dotarea cu echipamente de navigaţie şi plase de pescuit specializate, diferenţiat pe specii de peşte</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F0A2D3E" w14:textId="77777777" w:rsidR="00670FD4" w:rsidRPr="002508D3" w:rsidRDefault="00670FD4" w:rsidP="001925BA">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47688F9" w14:textId="77777777" w:rsidR="00670FD4" w:rsidRPr="002508D3" w:rsidRDefault="00670FD4" w:rsidP="001925BA">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vMerge w:val="restart"/>
            <w:tcBorders>
              <w:top w:val="single" w:sz="4" w:space="0" w:color="000000"/>
              <w:left w:val="single" w:sz="4" w:space="0" w:color="000000"/>
              <w:right w:val="single" w:sz="4" w:space="0" w:color="000000"/>
            </w:tcBorders>
            <w:shd w:val="clear" w:color="auto" w:fill="auto"/>
            <w:tcMar>
              <w:top w:w="0" w:type="dxa"/>
              <w:left w:w="100" w:type="dxa"/>
              <w:bottom w:w="0" w:type="dxa"/>
              <w:right w:w="100" w:type="dxa"/>
            </w:tcMar>
          </w:tcPr>
          <w:p w14:paraId="0271B691" w14:textId="77777777" w:rsidR="00670FD4" w:rsidRPr="00473248" w:rsidRDefault="00670FD4" w:rsidP="001925BA">
            <w:pPr>
              <w:spacing w:after="0" w:line="240" w:lineRule="auto"/>
              <w:ind w:firstLine="0"/>
              <w:rPr>
                <w:rFonts w:eastAsia="Times New Roman" w:cs="Times New Roman"/>
                <w:color w:val="000000"/>
                <w:sz w:val="20"/>
                <w:szCs w:val="20"/>
              </w:rPr>
            </w:pPr>
          </w:p>
          <w:p w14:paraId="5F7580C3" w14:textId="77777777" w:rsidR="00670FD4" w:rsidRPr="00473248" w:rsidRDefault="00670FD4" w:rsidP="001925BA">
            <w:pPr>
              <w:spacing w:after="0" w:line="240" w:lineRule="auto"/>
              <w:ind w:firstLine="0"/>
              <w:rPr>
                <w:rFonts w:eastAsia="Times New Roman" w:cs="Times New Roman"/>
                <w:color w:val="000000"/>
                <w:sz w:val="20"/>
                <w:szCs w:val="20"/>
              </w:rPr>
            </w:pPr>
          </w:p>
          <w:p w14:paraId="39D99980"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 (ANPA), MCID (INCDM Grigore Antipa, INCDDD)</w:t>
            </w:r>
          </w:p>
        </w:tc>
        <w:tc>
          <w:tcPr>
            <w:tcW w:w="1701" w:type="dxa"/>
            <w:vMerge w:val="restart"/>
            <w:tcBorders>
              <w:top w:val="single" w:sz="4" w:space="0" w:color="000000"/>
              <w:left w:val="single" w:sz="4" w:space="0" w:color="000000"/>
              <w:right w:val="single" w:sz="4" w:space="0" w:color="000000"/>
            </w:tcBorders>
            <w:shd w:val="clear" w:color="auto" w:fill="auto"/>
            <w:tcMar>
              <w:top w:w="0" w:type="dxa"/>
              <w:left w:w="100" w:type="dxa"/>
              <w:bottom w:w="0" w:type="dxa"/>
              <w:right w:w="100" w:type="dxa"/>
            </w:tcMar>
          </w:tcPr>
          <w:p w14:paraId="6BE29A1D" w14:textId="77777777" w:rsidR="00670FD4" w:rsidRDefault="00670FD4" w:rsidP="001925BA">
            <w:pPr>
              <w:spacing w:after="0" w:line="240" w:lineRule="auto"/>
              <w:ind w:firstLine="0"/>
              <w:rPr>
                <w:rFonts w:eastAsia="Times New Roman" w:cs="Times New Roman"/>
                <w:sz w:val="20"/>
                <w:szCs w:val="20"/>
              </w:rPr>
            </w:pPr>
          </w:p>
          <w:p w14:paraId="6F3F49D6" w14:textId="77777777" w:rsidR="00670FD4" w:rsidRDefault="00670FD4" w:rsidP="001925BA">
            <w:pPr>
              <w:spacing w:after="0" w:line="240" w:lineRule="auto"/>
              <w:ind w:firstLine="0"/>
              <w:rPr>
                <w:rFonts w:eastAsia="Times New Roman" w:cs="Times New Roman"/>
                <w:sz w:val="20"/>
                <w:szCs w:val="20"/>
              </w:rPr>
            </w:pPr>
          </w:p>
          <w:p w14:paraId="6A0087F5"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Programul de Pescuit și Acvacultură 2021-2027, fonduri proprii MADR</w:t>
            </w:r>
          </w:p>
        </w:tc>
      </w:tr>
      <w:tr w:rsidR="00670FD4" w14:paraId="4F1FB356" w14:textId="77777777" w:rsidTr="001925BA">
        <w:trPr>
          <w:trHeight w:val="968"/>
        </w:trPr>
        <w:tc>
          <w:tcPr>
            <w:tcW w:w="1892" w:type="dxa"/>
            <w:vMerge/>
            <w:tcBorders>
              <w:top w:val="single" w:sz="4" w:space="0" w:color="auto"/>
              <w:left w:val="single" w:sz="4" w:space="0" w:color="000000"/>
              <w:right w:val="single" w:sz="4" w:space="0" w:color="auto"/>
            </w:tcBorders>
            <w:shd w:val="clear" w:color="auto" w:fill="auto"/>
            <w:tcMar>
              <w:top w:w="100" w:type="dxa"/>
              <w:left w:w="100" w:type="dxa"/>
              <w:bottom w:w="100" w:type="dxa"/>
              <w:right w:w="100" w:type="dxa"/>
            </w:tcMar>
          </w:tcPr>
          <w:p w14:paraId="3149E09F" w14:textId="77777777" w:rsidR="00670FD4" w:rsidRDefault="00670FD4" w:rsidP="001925BA">
            <w:pPr>
              <w:widowControl w:val="0"/>
              <w:pBdr>
                <w:top w:val="nil"/>
                <w:left w:val="nil"/>
                <w:bottom w:val="nil"/>
                <w:right w:val="nil"/>
                <w:between w:val="nil"/>
              </w:pBdr>
              <w:spacing w:after="0"/>
              <w:ind w:hanging="37"/>
              <w:rPr>
                <w:rFonts w:eastAsia="Times New Roman" w:cs="Times New Roman"/>
                <w:sz w:val="20"/>
                <w:szCs w:val="20"/>
              </w:rPr>
            </w:pPr>
          </w:p>
        </w:tc>
        <w:tc>
          <w:tcPr>
            <w:tcW w:w="2121" w:type="dxa"/>
            <w:vMerge/>
            <w:tcBorders>
              <w:top w:val="single" w:sz="4" w:space="0" w:color="auto"/>
              <w:left w:val="single" w:sz="4" w:space="0" w:color="auto"/>
              <w:right w:val="single" w:sz="4" w:space="0" w:color="auto"/>
            </w:tcBorders>
          </w:tcPr>
          <w:p w14:paraId="7A3AFFA9"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446EF6AC"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7.5.2 Elaborarea și implementarea programelor privind modernizarea uneltelor de pescuit, respectiv achiziţia de noi unelte, schimbarea motoarelor ambarcaţiunilor</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FF9FD1F" w14:textId="77777777" w:rsidR="00670FD4" w:rsidRPr="002508D3" w:rsidRDefault="00670FD4" w:rsidP="001925BA">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47089E4" w14:textId="77777777" w:rsidR="00670FD4" w:rsidRPr="002508D3" w:rsidRDefault="00670FD4" w:rsidP="001925BA">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vMerge/>
            <w:tcBorders>
              <w:top w:val="single" w:sz="4" w:space="0" w:color="000000"/>
              <w:left w:val="single" w:sz="4" w:space="0" w:color="000000"/>
              <w:right w:val="single" w:sz="4" w:space="0" w:color="000000"/>
            </w:tcBorders>
            <w:shd w:val="clear" w:color="auto" w:fill="auto"/>
            <w:tcMar>
              <w:top w:w="0" w:type="dxa"/>
              <w:left w:w="100" w:type="dxa"/>
              <w:bottom w:w="0" w:type="dxa"/>
              <w:right w:w="100" w:type="dxa"/>
            </w:tcMar>
          </w:tcPr>
          <w:p w14:paraId="4C66E4F1" w14:textId="77777777" w:rsidR="00670FD4" w:rsidRPr="00473248" w:rsidRDefault="00670FD4" w:rsidP="001925BA">
            <w:pPr>
              <w:widowControl w:val="0"/>
              <w:pBdr>
                <w:top w:val="nil"/>
                <w:left w:val="nil"/>
                <w:bottom w:val="nil"/>
                <w:right w:val="nil"/>
                <w:between w:val="nil"/>
              </w:pBdr>
              <w:spacing w:after="0"/>
              <w:ind w:firstLine="0"/>
              <w:rPr>
                <w:rFonts w:eastAsia="Times New Roman" w:cs="Times New Roman"/>
                <w:color w:val="000000"/>
                <w:sz w:val="20"/>
                <w:szCs w:val="20"/>
              </w:rPr>
            </w:pPr>
          </w:p>
        </w:tc>
        <w:tc>
          <w:tcPr>
            <w:tcW w:w="1701" w:type="dxa"/>
            <w:vMerge/>
            <w:tcBorders>
              <w:top w:val="single" w:sz="4" w:space="0" w:color="000000"/>
              <w:left w:val="single" w:sz="4" w:space="0" w:color="000000"/>
              <w:right w:val="single" w:sz="4" w:space="0" w:color="000000"/>
            </w:tcBorders>
            <w:shd w:val="clear" w:color="auto" w:fill="auto"/>
            <w:tcMar>
              <w:top w:w="0" w:type="dxa"/>
              <w:left w:w="100" w:type="dxa"/>
              <w:bottom w:w="0" w:type="dxa"/>
              <w:right w:w="100" w:type="dxa"/>
            </w:tcMar>
          </w:tcPr>
          <w:p w14:paraId="2269C7B8" w14:textId="77777777" w:rsidR="00670FD4" w:rsidRDefault="00670FD4" w:rsidP="001925BA">
            <w:pPr>
              <w:widowControl w:val="0"/>
              <w:pBdr>
                <w:top w:val="nil"/>
                <w:left w:val="nil"/>
                <w:bottom w:val="nil"/>
                <w:right w:val="nil"/>
                <w:between w:val="nil"/>
              </w:pBdr>
              <w:spacing w:after="0"/>
              <w:ind w:firstLine="0"/>
              <w:rPr>
                <w:rFonts w:eastAsia="Times New Roman" w:cs="Times New Roman"/>
                <w:color w:val="000000"/>
                <w:sz w:val="20"/>
                <w:szCs w:val="20"/>
              </w:rPr>
            </w:pPr>
          </w:p>
        </w:tc>
      </w:tr>
      <w:tr w:rsidR="00670FD4" w14:paraId="3A34DDA5" w14:textId="77777777" w:rsidTr="001925BA">
        <w:trPr>
          <w:trHeight w:val="1264"/>
        </w:trPr>
        <w:tc>
          <w:tcPr>
            <w:tcW w:w="1892" w:type="dxa"/>
            <w:vMerge/>
            <w:tcBorders>
              <w:top w:val="single" w:sz="4" w:space="0" w:color="000000"/>
              <w:left w:val="single" w:sz="4" w:space="0" w:color="000000"/>
              <w:right w:val="single" w:sz="4" w:space="0" w:color="auto"/>
            </w:tcBorders>
            <w:shd w:val="clear" w:color="auto" w:fill="auto"/>
            <w:tcMar>
              <w:top w:w="100" w:type="dxa"/>
              <w:left w:w="100" w:type="dxa"/>
              <w:bottom w:w="100" w:type="dxa"/>
              <w:right w:w="100" w:type="dxa"/>
            </w:tcMar>
          </w:tcPr>
          <w:p w14:paraId="0E2FCDC0" w14:textId="77777777" w:rsidR="00670FD4" w:rsidRDefault="00670FD4" w:rsidP="001925BA">
            <w:pPr>
              <w:widowControl w:val="0"/>
              <w:pBdr>
                <w:top w:val="nil"/>
                <w:left w:val="nil"/>
                <w:bottom w:val="nil"/>
                <w:right w:val="nil"/>
                <w:between w:val="nil"/>
              </w:pBdr>
              <w:spacing w:after="0"/>
              <w:ind w:hanging="37"/>
              <w:rPr>
                <w:rFonts w:eastAsia="Times New Roman" w:cs="Times New Roman"/>
                <w:color w:val="000000"/>
                <w:sz w:val="20"/>
                <w:szCs w:val="20"/>
              </w:rPr>
            </w:pPr>
          </w:p>
        </w:tc>
        <w:tc>
          <w:tcPr>
            <w:tcW w:w="2121" w:type="dxa"/>
            <w:vMerge/>
            <w:tcBorders>
              <w:left w:val="single" w:sz="4" w:space="0" w:color="auto"/>
              <w:bottom w:val="single" w:sz="4" w:space="0" w:color="auto"/>
              <w:right w:val="single" w:sz="4" w:space="0" w:color="auto"/>
            </w:tcBorders>
          </w:tcPr>
          <w:p w14:paraId="5AF4FA9E"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033F5E43"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7.5.3 Îmbunătățirea bazei logistice prin retehnologizare şi modernizarea infrastructurii, achiziționarea de echipamente moderne și soft-uri specializate pentru standardizarea metodelor de pescuit și procesarea datelor de producție</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10FE22B" w14:textId="77777777" w:rsidR="00670FD4" w:rsidRPr="002508D3" w:rsidRDefault="00670FD4" w:rsidP="001925BA">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9645D72" w14:textId="77777777" w:rsidR="00670FD4" w:rsidRPr="002508D3" w:rsidRDefault="00670FD4" w:rsidP="001925BA">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vMerge/>
            <w:tcBorders>
              <w:top w:val="single" w:sz="4" w:space="0" w:color="000000"/>
              <w:left w:val="single" w:sz="4" w:space="0" w:color="000000"/>
              <w:right w:val="single" w:sz="4" w:space="0" w:color="000000"/>
            </w:tcBorders>
            <w:shd w:val="clear" w:color="auto" w:fill="auto"/>
            <w:tcMar>
              <w:top w:w="0" w:type="dxa"/>
              <w:left w:w="100" w:type="dxa"/>
              <w:bottom w:w="0" w:type="dxa"/>
              <w:right w:w="100" w:type="dxa"/>
            </w:tcMar>
          </w:tcPr>
          <w:p w14:paraId="2A61B662" w14:textId="77777777" w:rsidR="00670FD4" w:rsidRPr="00473248" w:rsidRDefault="00670FD4" w:rsidP="001925BA">
            <w:pPr>
              <w:widowControl w:val="0"/>
              <w:pBdr>
                <w:top w:val="nil"/>
                <w:left w:val="nil"/>
                <w:bottom w:val="nil"/>
                <w:right w:val="nil"/>
                <w:between w:val="nil"/>
              </w:pBdr>
              <w:spacing w:after="0"/>
              <w:ind w:firstLine="0"/>
              <w:rPr>
                <w:rFonts w:eastAsia="Times New Roman" w:cs="Times New Roman"/>
                <w:color w:val="000000"/>
                <w:sz w:val="20"/>
                <w:szCs w:val="20"/>
              </w:rPr>
            </w:pPr>
          </w:p>
        </w:tc>
        <w:tc>
          <w:tcPr>
            <w:tcW w:w="1701" w:type="dxa"/>
            <w:vMerge/>
            <w:tcBorders>
              <w:top w:val="single" w:sz="4" w:space="0" w:color="000000"/>
              <w:left w:val="single" w:sz="4" w:space="0" w:color="000000"/>
              <w:right w:val="single" w:sz="4" w:space="0" w:color="000000"/>
            </w:tcBorders>
            <w:shd w:val="clear" w:color="auto" w:fill="auto"/>
            <w:tcMar>
              <w:top w:w="0" w:type="dxa"/>
              <w:left w:w="100" w:type="dxa"/>
              <w:bottom w:w="0" w:type="dxa"/>
              <w:right w:w="100" w:type="dxa"/>
            </w:tcMar>
          </w:tcPr>
          <w:p w14:paraId="019E8A86" w14:textId="77777777" w:rsidR="00670FD4" w:rsidRDefault="00670FD4" w:rsidP="001925BA">
            <w:pPr>
              <w:widowControl w:val="0"/>
              <w:pBdr>
                <w:top w:val="nil"/>
                <w:left w:val="nil"/>
                <w:bottom w:val="nil"/>
                <w:right w:val="nil"/>
                <w:between w:val="nil"/>
              </w:pBdr>
              <w:spacing w:after="0"/>
              <w:ind w:firstLine="0"/>
              <w:rPr>
                <w:rFonts w:eastAsia="Times New Roman" w:cs="Times New Roman"/>
                <w:color w:val="000000"/>
                <w:sz w:val="20"/>
                <w:szCs w:val="20"/>
              </w:rPr>
            </w:pPr>
          </w:p>
        </w:tc>
      </w:tr>
      <w:tr w:rsidR="00670FD4" w14:paraId="12B0600D" w14:textId="77777777" w:rsidTr="001925BA">
        <w:trPr>
          <w:trHeight w:val="210"/>
        </w:trPr>
        <w:tc>
          <w:tcPr>
            <w:tcW w:w="1892" w:type="dxa"/>
            <w:vMerge w:val="restart"/>
            <w:tcBorders>
              <w:top w:val="single" w:sz="4" w:space="0" w:color="000000"/>
              <w:left w:val="single" w:sz="4" w:space="0" w:color="000000"/>
              <w:bottom w:val="nil"/>
              <w:right w:val="single" w:sz="4" w:space="0" w:color="auto"/>
            </w:tcBorders>
            <w:shd w:val="clear" w:color="auto" w:fill="auto"/>
            <w:tcMar>
              <w:top w:w="100" w:type="dxa"/>
              <w:left w:w="100" w:type="dxa"/>
              <w:bottom w:w="100" w:type="dxa"/>
              <w:right w:w="100" w:type="dxa"/>
            </w:tcMar>
          </w:tcPr>
          <w:p w14:paraId="1927C7CE" w14:textId="77777777" w:rsidR="00670FD4" w:rsidRDefault="00670FD4" w:rsidP="001925BA">
            <w:pPr>
              <w:spacing w:after="0" w:line="240" w:lineRule="auto"/>
              <w:ind w:hanging="37"/>
              <w:rPr>
                <w:rFonts w:eastAsia="Times New Roman" w:cs="Times New Roman"/>
                <w:sz w:val="20"/>
                <w:szCs w:val="20"/>
              </w:rPr>
            </w:pPr>
            <w:r>
              <w:rPr>
                <w:rFonts w:eastAsia="Times New Roman" w:cs="Times New Roman"/>
                <w:sz w:val="20"/>
                <w:szCs w:val="20"/>
              </w:rPr>
              <w:lastRenderedPageBreak/>
              <w:t>M7.6 Dezvoltarea acvaculturii costiere (marine, terestre) prietenoase cu mediul</w:t>
            </w:r>
          </w:p>
        </w:tc>
        <w:tc>
          <w:tcPr>
            <w:tcW w:w="2121" w:type="dxa"/>
            <w:vMerge w:val="restart"/>
            <w:tcBorders>
              <w:top w:val="single" w:sz="4" w:space="0" w:color="auto"/>
              <w:left w:val="single" w:sz="4" w:space="0" w:color="auto"/>
              <w:bottom w:val="nil"/>
              <w:right w:val="single" w:sz="4" w:space="0" w:color="auto"/>
            </w:tcBorders>
          </w:tcPr>
          <w:p w14:paraId="2628E601" w14:textId="77777777" w:rsidR="00670FD4" w:rsidRDefault="00670FD4" w:rsidP="001925BA">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 xml:space="preserve">Os4.a Gestionarea durabilă a resurselor zonei de coastă; </w:t>
            </w:r>
          </w:p>
          <w:p w14:paraId="0A0C88BC" w14:textId="77777777" w:rsidR="00670FD4" w:rsidRDefault="00670FD4" w:rsidP="001925BA">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Os4.b Dezvoltarea “verde a zonei costiere</w:t>
            </w: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1DE65C01"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7.6.1 Identificarea și concesionarea zonelor și selectarea speciilor pretabile pentru acvacultură</w:t>
            </w:r>
          </w:p>
        </w:tc>
        <w:tc>
          <w:tcPr>
            <w:tcW w:w="1277"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296465AF" w14:textId="77777777" w:rsidR="00670FD4" w:rsidRPr="002508D3" w:rsidRDefault="00670FD4" w:rsidP="001925BA">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foarte ridicată</w:t>
            </w:r>
          </w:p>
        </w:tc>
        <w:tc>
          <w:tcPr>
            <w:tcW w:w="1418"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0B9DC3D1" w14:textId="77777777" w:rsidR="00670FD4" w:rsidRPr="002508D3" w:rsidRDefault="00670FD4" w:rsidP="001925BA">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2025</w:t>
            </w:r>
          </w:p>
        </w:tc>
        <w:tc>
          <w:tcPr>
            <w:tcW w:w="1419"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3E6DE937"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 (ANPA), MMAP (ARBDD), MCID (INCDM Grigore Antipa, INCDDD, INCD GeoEcoMar)</w:t>
            </w:r>
          </w:p>
        </w:tc>
        <w:tc>
          <w:tcPr>
            <w:tcW w:w="1701"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1998B6F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PAP 2021- 2027, Programul Piață Unică, Programul Regional Sud-Est, PNCDI IV </w:t>
            </w:r>
          </w:p>
        </w:tc>
      </w:tr>
      <w:tr w:rsidR="00670FD4" w14:paraId="6D5CEA21" w14:textId="77777777" w:rsidTr="001925BA">
        <w:trPr>
          <w:trHeight w:val="210"/>
        </w:trPr>
        <w:tc>
          <w:tcPr>
            <w:tcW w:w="1892" w:type="dxa"/>
            <w:vMerge/>
            <w:tcBorders>
              <w:top w:val="single" w:sz="4" w:space="0" w:color="auto"/>
              <w:left w:val="single" w:sz="4" w:space="0" w:color="000000"/>
              <w:bottom w:val="nil"/>
              <w:right w:val="single" w:sz="4" w:space="0" w:color="auto"/>
            </w:tcBorders>
            <w:shd w:val="clear" w:color="auto" w:fill="auto"/>
            <w:tcMar>
              <w:top w:w="100" w:type="dxa"/>
              <w:left w:w="100" w:type="dxa"/>
              <w:bottom w:w="100" w:type="dxa"/>
              <w:right w:w="100" w:type="dxa"/>
            </w:tcMar>
          </w:tcPr>
          <w:p w14:paraId="1361944A" w14:textId="77777777" w:rsidR="00670FD4" w:rsidRDefault="00670FD4" w:rsidP="001925BA">
            <w:pPr>
              <w:widowControl w:val="0"/>
              <w:pBdr>
                <w:top w:val="nil"/>
                <w:left w:val="nil"/>
                <w:bottom w:val="nil"/>
                <w:right w:val="nil"/>
                <w:between w:val="nil"/>
              </w:pBdr>
              <w:spacing w:after="0"/>
              <w:ind w:hanging="37"/>
              <w:rPr>
                <w:rFonts w:eastAsia="Times New Roman" w:cs="Times New Roman"/>
                <w:sz w:val="20"/>
                <w:szCs w:val="20"/>
              </w:rPr>
            </w:pPr>
          </w:p>
        </w:tc>
        <w:tc>
          <w:tcPr>
            <w:tcW w:w="2121" w:type="dxa"/>
            <w:vMerge/>
            <w:tcBorders>
              <w:top w:val="single" w:sz="4" w:space="0" w:color="auto"/>
              <w:left w:val="single" w:sz="4" w:space="0" w:color="auto"/>
              <w:bottom w:val="nil"/>
              <w:right w:val="single" w:sz="4" w:space="0" w:color="auto"/>
            </w:tcBorders>
          </w:tcPr>
          <w:p w14:paraId="21828BE3"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283D555D"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7.6.2 Implementarea standardelor de calitate pentru peştele de consum livrat în stare vie, în special în cazul aplicării unor tehnologii ecologice</w:t>
            </w:r>
          </w:p>
        </w:tc>
        <w:tc>
          <w:tcPr>
            <w:tcW w:w="1277"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40098B7" w14:textId="77777777" w:rsidR="00670FD4" w:rsidRPr="002508D3" w:rsidRDefault="00670FD4" w:rsidP="001925BA">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5EF8CB5" w14:textId="77777777" w:rsidR="00670FD4" w:rsidRPr="002508D3" w:rsidRDefault="00670FD4" w:rsidP="001925BA">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2027</w:t>
            </w:r>
          </w:p>
        </w:tc>
        <w:tc>
          <w:tcPr>
            <w:tcW w:w="1419"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1F5C8A1"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 (ANPA, ANSVA) </w:t>
            </w:r>
          </w:p>
        </w:tc>
        <w:tc>
          <w:tcPr>
            <w:tcW w:w="1701"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D1EB04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PAP 2021- 2027, Programul Piață Unică</w:t>
            </w:r>
          </w:p>
        </w:tc>
      </w:tr>
      <w:tr w:rsidR="00670FD4" w14:paraId="3BD8C846" w14:textId="77777777" w:rsidTr="001925BA">
        <w:trPr>
          <w:trHeight w:val="210"/>
        </w:trPr>
        <w:tc>
          <w:tcPr>
            <w:tcW w:w="1892" w:type="dxa"/>
            <w:vMerge/>
            <w:tcBorders>
              <w:top w:val="single" w:sz="4" w:space="0" w:color="auto"/>
              <w:left w:val="single" w:sz="4" w:space="0" w:color="000000"/>
              <w:bottom w:val="nil"/>
              <w:right w:val="single" w:sz="4" w:space="0" w:color="auto"/>
            </w:tcBorders>
            <w:shd w:val="clear" w:color="auto" w:fill="auto"/>
            <w:tcMar>
              <w:top w:w="100" w:type="dxa"/>
              <w:left w:w="100" w:type="dxa"/>
              <w:bottom w:w="100" w:type="dxa"/>
              <w:right w:w="100" w:type="dxa"/>
            </w:tcMar>
          </w:tcPr>
          <w:p w14:paraId="208EF47E" w14:textId="77777777" w:rsidR="00670FD4" w:rsidRDefault="00670FD4" w:rsidP="001925BA">
            <w:pPr>
              <w:widowControl w:val="0"/>
              <w:pBdr>
                <w:top w:val="nil"/>
                <w:left w:val="nil"/>
                <w:bottom w:val="nil"/>
                <w:right w:val="nil"/>
                <w:between w:val="nil"/>
              </w:pBdr>
              <w:spacing w:after="0"/>
              <w:ind w:hanging="37"/>
              <w:rPr>
                <w:rFonts w:eastAsia="Times New Roman" w:cs="Times New Roman"/>
                <w:sz w:val="20"/>
                <w:szCs w:val="20"/>
              </w:rPr>
            </w:pPr>
          </w:p>
        </w:tc>
        <w:tc>
          <w:tcPr>
            <w:tcW w:w="2121" w:type="dxa"/>
            <w:vMerge/>
            <w:tcBorders>
              <w:top w:val="single" w:sz="4" w:space="0" w:color="auto"/>
              <w:left w:val="single" w:sz="4" w:space="0" w:color="auto"/>
              <w:bottom w:val="nil"/>
              <w:right w:val="single" w:sz="4" w:space="0" w:color="auto"/>
            </w:tcBorders>
          </w:tcPr>
          <w:p w14:paraId="27464D08"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4F05FBC7"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7.6.3 Dezvoltarea/consolidarea infrastructurii specifice, inclusiv crearea și dezvoltarea de puncte de debarcare numai pentru acvacultură</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398F343" w14:textId="77777777" w:rsidR="00670FD4" w:rsidRPr="002508D3" w:rsidRDefault="00670FD4" w:rsidP="001925BA">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DB90F62" w14:textId="77777777" w:rsidR="00670FD4" w:rsidRPr="002508D3" w:rsidRDefault="00670FD4" w:rsidP="001925BA">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F8FE55E"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 (ANPA), MMAP (ARBDD)</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E5EF48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PAP 2021- 2027, Programul Regional Sud-Est, </w:t>
            </w:r>
          </w:p>
        </w:tc>
      </w:tr>
      <w:tr w:rsidR="00670FD4" w14:paraId="6BA2024A" w14:textId="77777777" w:rsidTr="001925BA">
        <w:trPr>
          <w:trHeight w:val="210"/>
        </w:trPr>
        <w:tc>
          <w:tcPr>
            <w:tcW w:w="1892" w:type="dxa"/>
            <w:vMerge/>
            <w:tcBorders>
              <w:top w:val="single" w:sz="4" w:space="0" w:color="auto"/>
              <w:left w:val="single" w:sz="4" w:space="0" w:color="000000"/>
              <w:bottom w:val="nil"/>
              <w:right w:val="single" w:sz="4" w:space="0" w:color="auto"/>
            </w:tcBorders>
            <w:shd w:val="clear" w:color="auto" w:fill="auto"/>
            <w:tcMar>
              <w:top w:w="100" w:type="dxa"/>
              <w:left w:w="100" w:type="dxa"/>
              <w:bottom w:w="100" w:type="dxa"/>
              <w:right w:w="100" w:type="dxa"/>
            </w:tcMar>
          </w:tcPr>
          <w:p w14:paraId="0687F35C" w14:textId="77777777" w:rsidR="00670FD4" w:rsidRDefault="00670FD4" w:rsidP="001925BA">
            <w:pPr>
              <w:widowControl w:val="0"/>
              <w:pBdr>
                <w:top w:val="nil"/>
                <w:left w:val="nil"/>
                <w:bottom w:val="nil"/>
                <w:right w:val="nil"/>
                <w:between w:val="nil"/>
              </w:pBdr>
              <w:spacing w:after="0"/>
              <w:ind w:hanging="37"/>
              <w:rPr>
                <w:rFonts w:eastAsia="Times New Roman" w:cs="Times New Roman"/>
                <w:sz w:val="20"/>
                <w:szCs w:val="20"/>
              </w:rPr>
            </w:pPr>
          </w:p>
        </w:tc>
        <w:tc>
          <w:tcPr>
            <w:tcW w:w="2121" w:type="dxa"/>
            <w:vMerge/>
            <w:tcBorders>
              <w:top w:val="single" w:sz="4" w:space="0" w:color="auto"/>
              <w:left w:val="single" w:sz="4" w:space="0" w:color="auto"/>
              <w:bottom w:val="single" w:sz="4" w:space="0" w:color="auto"/>
              <w:right w:val="single" w:sz="4" w:space="0" w:color="auto"/>
            </w:tcBorders>
          </w:tcPr>
          <w:p w14:paraId="288FC04E"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2DD12670"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7.6.4 Implementarea sistemului de trasabilitate pentru produsele pescuite și cultivate, suport pentru sistemul integrat de monitorizare a traseului complet de la capturare până la consumatorul final</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BBC4FB5" w14:textId="77777777" w:rsidR="00670FD4" w:rsidRPr="002508D3" w:rsidRDefault="00670FD4" w:rsidP="001925BA">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24AB55D" w14:textId="77777777" w:rsidR="00670FD4" w:rsidRPr="002508D3" w:rsidRDefault="00670FD4" w:rsidP="001925BA">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71C65C2"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 (ANPA, ANSVSA)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778AD6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PAP 2021- 2027, Programul Piață Unică</w:t>
            </w:r>
          </w:p>
        </w:tc>
      </w:tr>
      <w:tr w:rsidR="00670FD4" w14:paraId="4D636484" w14:textId="77777777" w:rsidTr="001925BA">
        <w:trPr>
          <w:trHeight w:val="210"/>
        </w:trPr>
        <w:tc>
          <w:tcPr>
            <w:tcW w:w="1892" w:type="dxa"/>
            <w:vMerge/>
            <w:tcBorders>
              <w:top w:val="single" w:sz="4" w:space="0" w:color="auto"/>
              <w:left w:val="single" w:sz="4" w:space="0" w:color="000000"/>
              <w:bottom w:val="nil"/>
              <w:right w:val="single" w:sz="4" w:space="0" w:color="auto"/>
            </w:tcBorders>
            <w:shd w:val="clear" w:color="auto" w:fill="auto"/>
            <w:tcMar>
              <w:top w:w="100" w:type="dxa"/>
              <w:left w:w="100" w:type="dxa"/>
              <w:bottom w:w="100" w:type="dxa"/>
              <w:right w:w="100" w:type="dxa"/>
            </w:tcMar>
          </w:tcPr>
          <w:p w14:paraId="413ECD0A" w14:textId="77777777" w:rsidR="00670FD4" w:rsidRDefault="00670FD4" w:rsidP="001925BA">
            <w:pPr>
              <w:widowControl w:val="0"/>
              <w:pBdr>
                <w:top w:val="nil"/>
                <w:left w:val="nil"/>
                <w:bottom w:val="nil"/>
                <w:right w:val="nil"/>
                <w:between w:val="nil"/>
              </w:pBdr>
              <w:spacing w:after="0"/>
              <w:ind w:hanging="37"/>
              <w:rPr>
                <w:rFonts w:eastAsia="Times New Roman" w:cs="Times New Roman"/>
                <w:sz w:val="20"/>
                <w:szCs w:val="20"/>
              </w:rPr>
            </w:pPr>
          </w:p>
        </w:tc>
        <w:tc>
          <w:tcPr>
            <w:tcW w:w="2121" w:type="dxa"/>
            <w:vMerge/>
            <w:tcBorders>
              <w:top w:val="single" w:sz="4" w:space="0" w:color="auto"/>
              <w:left w:val="single" w:sz="4" w:space="0" w:color="auto"/>
              <w:bottom w:val="nil"/>
              <w:right w:val="single" w:sz="4" w:space="0" w:color="auto"/>
            </w:tcBorders>
          </w:tcPr>
          <w:p w14:paraId="214CD1BA"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1B167EED"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7.6.5 Implementarea unor programe de prevenţie şi tratament în cadrul unor reţele specializate pentru monitorizarea calităţii apei şi bolilor la peşti cu impact cantitativ şi calitativ asupra produsului final</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90FFFF9" w14:textId="77777777" w:rsidR="00670FD4" w:rsidRPr="002508D3" w:rsidRDefault="00670FD4" w:rsidP="001925BA">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5DBBDF1" w14:textId="77777777" w:rsidR="00670FD4" w:rsidRPr="002508D3" w:rsidRDefault="00670FD4" w:rsidP="001925BA">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A1268CB"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 (ANPA), MCID (INCDM Grigore Antipa, INCDDD)</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F4B0DF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PAP 2021- 2027, PNCDI IV</w:t>
            </w:r>
          </w:p>
        </w:tc>
      </w:tr>
      <w:tr w:rsidR="00670FD4" w14:paraId="5D784833" w14:textId="77777777" w:rsidTr="001925BA">
        <w:trPr>
          <w:trHeight w:val="210"/>
        </w:trPr>
        <w:tc>
          <w:tcPr>
            <w:tcW w:w="1892" w:type="dxa"/>
            <w:vMerge/>
            <w:tcBorders>
              <w:top w:val="single" w:sz="4" w:space="0" w:color="auto"/>
              <w:left w:val="single" w:sz="4" w:space="0" w:color="000000"/>
              <w:bottom w:val="nil"/>
              <w:right w:val="single" w:sz="4" w:space="0" w:color="auto"/>
            </w:tcBorders>
            <w:shd w:val="clear" w:color="auto" w:fill="auto"/>
            <w:tcMar>
              <w:top w:w="100" w:type="dxa"/>
              <w:left w:w="100" w:type="dxa"/>
              <w:bottom w:w="100" w:type="dxa"/>
              <w:right w:w="100" w:type="dxa"/>
            </w:tcMar>
          </w:tcPr>
          <w:p w14:paraId="79140719" w14:textId="77777777" w:rsidR="00670FD4" w:rsidRDefault="00670FD4" w:rsidP="001925BA">
            <w:pPr>
              <w:widowControl w:val="0"/>
              <w:pBdr>
                <w:top w:val="nil"/>
                <w:left w:val="nil"/>
                <w:bottom w:val="nil"/>
                <w:right w:val="nil"/>
                <w:between w:val="nil"/>
              </w:pBdr>
              <w:spacing w:after="0"/>
              <w:ind w:hanging="37"/>
              <w:rPr>
                <w:rFonts w:eastAsia="Times New Roman" w:cs="Times New Roman"/>
                <w:sz w:val="20"/>
                <w:szCs w:val="20"/>
              </w:rPr>
            </w:pPr>
          </w:p>
        </w:tc>
        <w:tc>
          <w:tcPr>
            <w:tcW w:w="2121" w:type="dxa"/>
            <w:vMerge/>
            <w:tcBorders>
              <w:top w:val="single" w:sz="4" w:space="0" w:color="auto"/>
              <w:left w:val="single" w:sz="4" w:space="0" w:color="auto"/>
              <w:bottom w:val="single" w:sz="4" w:space="0" w:color="auto"/>
              <w:right w:val="single" w:sz="4" w:space="0" w:color="auto"/>
            </w:tcBorders>
          </w:tcPr>
          <w:p w14:paraId="1061408C"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7DF5F513"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7.6.6 Elaborarea și implementarea de măsuri fiscale care să asigurare producţia în cazul unor calamităţi naturale</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FC7DF46" w14:textId="77777777" w:rsidR="00670FD4" w:rsidRPr="002508D3" w:rsidRDefault="00670FD4" w:rsidP="001925BA">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1CD668F" w14:textId="77777777" w:rsidR="00670FD4" w:rsidRPr="002508D3" w:rsidRDefault="00670FD4" w:rsidP="001925BA">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FE44588"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 (ANPA), MMAP (ARBDD)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34C341E"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color w:val="000000"/>
                <w:sz w:val="20"/>
                <w:szCs w:val="20"/>
              </w:rPr>
              <w:t>PAP 2021- 2027</w:t>
            </w:r>
          </w:p>
        </w:tc>
      </w:tr>
      <w:tr w:rsidR="00670FD4" w14:paraId="7424A4A9" w14:textId="77777777" w:rsidTr="001925BA">
        <w:trPr>
          <w:trHeight w:val="72"/>
        </w:trPr>
        <w:tc>
          <w:tcPr>
            <w:tcW w:w="1892" w:type="dxa"/>
            <w:vMerge w:val="restart"/>
            <w:tcBorders>
              <w:top w:val="nil"/>
              <w:left w:val="single" w:sz="4" w:space="0" w:color="000000"/>
              <w:right w:val="single" w:sz="4" w:space="0" w:color="auto"/>
            </w:tcBorders>
            <w:shd w:val="clear" w:color="auto" w:fill="auto"/>
            <w:tcMar>
              <w:top w:w="100" w:type="dxa"/>
              <w:left w:w="100" w:type="dxa"/>
              <w:bottom w:w="100" w:type="dxa"/>
              <w:right w:w="100" w:type="dxa"/>
            </w:tcMar>
          </w:tcPr>
          <w:p w14:paraId="6A76BC8B" w14:textId="77777777" w:rsidR="00670FD4" w:rsidRDefault="00670FD4" w:rsidP="001925BA">
            <w:pPr>
              <w:spacing w:after="0" w:line="240" w:lineRule="auto"/>
              <w:ind w:hanging="37"/>
              <w:rPr>
                <w:rFonts w:eastAsia="Times New Roman" w:cs="Times New Roman"/>
                <w:sz w:val="20"/>
                <w:szCs w:val="20"/>
              </w:rPr>
            </w:pPr>
            <w:r>
              <w:rPr>
                <w:rFonts w:eastAsia="Times New Roman" w:cs="Times New Roman"/>
                <w:sz w:val="20"/>
                <w:szCs w:val="20"/>
              </w:rPr>
              <w:t>M7.7 Reabilitarea activităților tradiționale și valorificarea resursei stuficole din Delta Dunării</w:t>
            </w:r>
          </w:p>
        </w:tc>
        <w:tc>
          <w:tcPr>
            <w:tcW w:w="2121" w:type="dxa"/>
            <w:vMerge w:val="restart"/>
            <w:tcBorders>
              <w:top w:val="single" w:sz="4" w:space="0" w:color="auto"/>
              <w:left w:val="single" w:sz="4" w:space="0" w:color="auto"/>
              <w:bottom w:val="single" w:sz="4" w:space="0" w:color="auto"/>
              <w:right w:val="single" w:sz="4" w:space="0" w:color="auto"/>
            </w:tcBorders>
          </w:tcPr>
          <w:p w14:paraId="682C0F8A" w14:textId="77777777" w:rsidR="00670FD4" w:rsidRPr="00DD49F4" w:rsidRDefault="00670FD4" w:rsidP="001925BA">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Os4.b Dezvoltarea “verde” a zonei costiere;</w:t>
            </w:r>
          </w:p>
          <w:p w14:paraId="7D5D0250" w14:textId="77777777" w:rsidR="00670FD4" w:rsidRPr="00DD49F4" w:rsidRDefault="00670FD4" w:rsidP="001925BA">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Os2.c Stimularea dezvoltării infrastructurii verzi;</w:t>
            </w:r>
          </w:p>
          <w:p w14:paraId="742EA774" w14:textId="77777777" w:rsidR="00670FD4" w:rsidRDefault="00670FD4" w:rsidP="001925BA">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Os6.b Creșterea gradului de conștientizare cu privire la necesitatea de a păstra și îmbunătăți resursele zonei de coastă.</w:t>
            </w: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3CDAF8AA"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7.7.1 Realizarea de campanii de conștientizare a populației locale și turiștilor cu privire la beneficiile reabilitării activităților tradiționale de valorificare a stufului, de noi oportunități de valorificare a resursei stuficole, alături de beneficiile economice pe care aceste oportunități le implică</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7825E69" w14:textId="77777777" w:rsidR="00670FD4" w:rsidRPr="002508D3" w:rsidRDefault="00670FD4" w:rsidP="001925BA">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Medie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F6CB504" w14:textId="77777777" w:rsidR="00670FD4" w:rsidRPr="002508D3" w:rsidRDefault="00670FD4" w:rsidP="001925BA">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869303F"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MMAP (ARBDD)</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66CB9E6"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 xml:space="preserve">buget propriu MMAP (ARBDD), Program Regional Sud-Est, </w:t>
            </w:r>
          </w:p>
        </w:tc>
      </w:tr>
      <w:tr w:rsidR="00670FD4" w14:paraId="274C8873" w14:textId="77777777" w:rsidTr="001925BA">
        <w:trPr>
          <w:trHeight w:val="72"/>
        </w:trPr>
        <w:tc>
          <w:tcPr>
            <w:tcW w:w="1892"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3CCDEE1E" w14:textId="77777777" w:rsidR="00670FD4" w:rsidRDefault="00670FD4" w:rsidP="001925BA">
            <w:pPr>
              <w:widowControl w:val="0"/>
              <w:pBdr>
                <w:top w:val="nil"/>
                <w:left w:val="nil"/>
                <w:bottom w:val="nil"/>
                <w:right w:val="nil"/>
                <w:between w:val="nil"/>
              </w:pBdr>
              <w:spacing w:after="0"/>
              <w:ind w:hanging="37"/>
              <w:rPr>
                <w:rFonts w:eastAsia="Times New Roman" w:cs="Times New Roman"/>
                <w:color w:val="000000"/>
                <w:sz w:val="20"/>
                <w:szCs w:val="20"/>
              </w:rPr>
            </w:pPr>
          </w:p>
        </w:tc>
        <w:tc>
          <w:tcPr>
            <w:tcW w:w="2121" w:type="dxa"/>
            <w:vMerge/>
            <w:tcBorders>
              <w:left w:val="single" w:sz="4" w:space="0" w:color="auto"/>
              <w:bottom w:val="single" w:sz="4" w:space="0" w:color="auto"/>
              <w:right w:val="single" w:sz="4" w:space="0" w:color="auto"/>
            </w:tcBorders>
          </w:tcPr>
          <w:p w14:paraId="4334BF27"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5996153B"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7.7.2 Inițiere și implementare de proiecte pilot pentru producerea de energie din stuf</w:t>
            </w:r>
          </w:p>
        </w:tc>
        <w:tc>
          <w:tcPr>
            <w:tcW w:w="1277"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6DB95F02" w14:textId="77777777" w:rsidR="00670FD4" w:rsidRPr="002508D3" w:rsidRDefault="00670FD4" w:rsidP="001925BA">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Medie</w:t>
            </w:r>
          </w:p>
        </w:tc>
        <w:tc>
          <w:tcPr>
            <w:tcW w:w="1418"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7B7EC31D" w14:textId="77777777" w:rsidR="00670FD4" w:rsidRPr="002508D3" w:rsidRDefault="00670FD4" w:rsidP="001925BA">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4910253F"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MMAP (ARBDD), MCID (INCD-uri), ME (departamente cercetare din universități)</w:t>
            </w:r>
          </w:p>
        </w:tc>
        <w:tc>
          <w:tcPr>
            <w:tcW w:w="1701"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0B71C984"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Program Regional Sud-Est, PNRR, fonduri proprii MMAP (ARBDD), parteneriate public-privat</w:t>
            </w:r>
          </w:p>
        </w:tc>
      </w:tr>
      <w:tr w:rsidR="00670FD4" w14:paraId="5896660C" w14:textId="77777777" w:rsidTr="001925BA">
        <w:trPr>
          <w:trHeight w:val="72"/>
        </w:trPr>
        <w:tc>
          <w:tcPr>
            <w:tcW w:w="1892" w:type="dxa"/>
            <w:vMerge/>
            <w:tcBorders>
              <w:top w:val="single" w:sz="4" w:space="0" w:color="auto"/>
              <w:left w:val="single" w:sz="4" w:space="0" w:color="000000"/>
              <w:right w:val="single" w:sz="4" w:space="0" w:color="auto"/>
            </w:tcBorders>
            <w:shd w:val="clear" w:color="auto" w:fill="auto"/>
            <w:tcMar>
              <w:top w:w="100" w:type="dxa"/>
              <w:left w:w="100" w:type="dxa"/>
              <w:bottom w:w="100" w:type="dxa"/>
              <w:right w:w="100" w:type="dxa"/>
            </w:tcMar>
          </w:tcPr>
          <w:p w14:paraId="3E1B5FCC" w14:textId="77777777" w:rsidR="00670FD4" w:rsidRDefault="00670FD4" w:rsidP="001925BA">
            <w:pPr>
              <w:widowControl w:val="0"/>
              <w:pBdr>
                <w:top w:val="nil"/>
                <w:left w:val="nil"/>
                <w:bottom w:val="nil"/>
                <w:right w:val="nil"/>
                <w:between w:val="nil"/>
              </w:pBdr>
              <w:spacing w:after="0"/>
              <w:ind w:hanging="37"/>
              <w:rPr>
                <w:rFonts w:eastAsia="Times New Roman" w:cs="Times New Roman"/>
                <w:color w:val="000000"/>
                <w:sz w:val="20"/>
                <w:szCs w:val="20"/>
              </w:rPr>
            </w:pPr>
          </w:p>
        </w:tc>
        <w:tc>
          <w:tcPr>
            <w:tcW w:w="2121" w:type="dxa"/>
            <w:vMerge/>
            <w:tcBorders>
              <w:top w:val="single" w:sz="4" w:space="0" w:color="auto"/>
              <w:left w:val="single" w:sz="4" w:space="0" w:color="auto"/>
              <w:bottom w:val="single" w:sz="4" w:space="0" w:color="auto"/>
              <w:right w:val="single" w:sz="4" w:space="0" w:color="auto"/>
            </w:tcBorders>
          </w:tcPr>
          <w:p w14:paraId="3B36DB8B"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42913372"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7.7.3 Realizarea de cursuri de instruire în tehnici de construcție cu materiale din stuf adresate comunității locale</w:t>
            </w:r>
          </w:p>
        </w:tc>
        <w:tc>
          <w:tcPr>
            <w:tcW w:w="1277"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76F6EFC" w14:textId="77777777" w:rsidR="00670FD4" w:rsidRPr="002508D3" w:rsidRDefault="00670FD4" w:rsidP="001925BA">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90199D4" w14:textId="77777777" w:rsidR="00670FD4" w:rsidRPr="002508D3" w:rsidRDefault="00670FD4" w:rsidP="001925BA">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D774383"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MMAP (ARBDD)</w:t>
            </w:r>
          </w:p>
        </w:tc>
        <w:tc>
          <w:tcPr>
            <w:tcW w:w="1701"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365EF33"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Programul Educație și Ocupare, Parteneriate public-privat</w:t>
            </w:r>
          </w:p>
        </w:tc>
      </w:tr>
      <w:tr w:rsidR="00670FD4" w14:paraId="6913E09C" w14:textId="77777777" w:rsidTr="001925BA">
        <w:trPr>
          <w:trHeight w:val="72"/>
        </w:trPr>
        <w:tc>
          <w:tcPr>
            <w:tcW w:w="1892" w:type="dxa"/>
            <w:vMerge/>
            <w:tcBorders>
              <w:top w:val="single" w:sz="4" w:space="0" w:color="000000"/>
              <w:left w:val="single" w:sz="4" w:space="0" w:color="000000"/>
              <w:right w:val="single" w:sz="4" w:space="0" w:color="auto"/>
            </w:tcBorders>
            <w:shd w:val="clear" w:color="auto" w:fill="auto"/>
            <w:tcMar>
              <w:top w:w="100" w:type="dxa"/>
              <w:left w:w="100" w:type="dxa"/>
              <w:bottom w:w="100" w:type="dxa"/>
              <w:right w:w="100" w:type="dxa"/>
            </w:tcMar>
          </w:tcPr>
          <w:p w14:paraId="1CD5B121" w14:textId="77777777" w:rsidR="00670FD4" w:rsidRDefault="00670FD4" w:rsidP="001925BA">
            <w:pPr>
              <w:widowControl w:val="0"/>
              <w:pBdr>
                <w:top w:val="nil"/>
                <w:left w:val="nil"/>
                <w:bottom w:val="nil"/>
                <w:right w:val="nil"/>
                <w:between w:val="nil"/>
              </w:pBdr>
              <w:spacing w:after="0"/>
              <w:ind w:hanging="37"/>
              <w:rPr>
                <w:rFonts w:eastAsia="Times New Roman" w:cs="Times New Roman"/>
                <w:color w:val="000000"/>
                <w:sz w:val="20"/>
                <w:szCs w:val="20"/>
              </w:rPr>
            </w:pPr>
          </w:p>
        </w:tc>
        <w:tc>
          <w:tcPr>
            <w:tcW w:w="2121" w:type="dxa"/>
            <w:vMerge/>
            <w:tcBorders>
              <w:left w:val="single" w:sz="4" w:space="0" w:color="auto"/>
              <w:bottom w:val="single" w:sz="4" w:space="0" w:color="auto"/>
              <w:right w:val="single" w:sz="4" w:space="0" w:color="auto"/>
            </w:tcBorders>
          </w:tcPr>
          <w:p w14:paraId="4CF8FF80"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076EBA67"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7.7.4 Inițierea și implementarea de proiecte pentru valorificarea stufului ca materiale în construcția de locuințe tradiționale</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DF1C049" w14:textId="77777777" w:rsidR="00670FD4" w:rsidRPr="002508D3" w:rsidRDefault="00670FD4" w:rsidP="001925BA">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E6A7334" w14:textId="77777777" w:rsidR="00670FD4" w:rsidRPr="002508D3" w:rsidRDefault="00670FD4" w:rsidP="001925BA">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4D2850E"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MMAP (ARBDD), MCID (INCD-uri), ME (departamente cercetare din universități)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B474AF8"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Program Regional Sud-Est, PNRR, fonduri proprii MMAP (ARBDD), parteneriate public-privat</w:t>
            </w:r>
          </w:p>
        </w:tc>
      </w:tr>
      <w:tr w:rsidR="00670FD4" w14:paraId="6CE34C16" w14:textId="77777777" w:rsidTr="001925BA">
        <w:trPr>
          <w:trHeight w:val="72"/>
        </w:trPr>
        <w:tc>
          <w:tcPr>
            <w:tcW w:w="1892" w:type="dxa"/>
            <w:vMerge/>
            <w:tcBorders>
              <w:top w:val="single" w:sz="4" w:space="0" w:color="000000"/>
              <w:left w:val="single" w:sz="4" w:space="0" w:color="000000"/>
              <w:right w:val="single" w:sz="4" w:space="0" w:color="auto"/>
            </w:tcBorders>
            <w:shd w:val="clear" w:color="auto" w:fill="auto"/>
            <w:tcMar>
              <w:top w:w="100" w:type="dxa"/>
              <w:left w:w="100" w:type="dxa"/>
              <w:bottom w:w="100" w:type="dxa"/>
              <w:right w:w="100" w:type="dxa"/>
            </w:tcMar>
          </w:tcPr>
          <w:p w14:paraId="3A9CBCAE" w14:textId="77777777" w:rsidR="00670FD4" w:rsidRDefault="00670FD4" w:rsidP="001925BA">
            <w:pPr>
              <w:widowControl w:val="0"/>
              <w:pBdr>
                <w:top w:val="nil"/>
                <w:left w:val="nil"/>
                <w:bottom w:val="nil"/>
                <w:right w:val="nil"/>
                <w:between w:val="nil"/>
              </w:pBdr>
              <w:spacing w:after="0"/>
              <w:ind w:hanging="37"/>
              <w:rPr>
                <w:rFonts w:eastAsia="Times New Roman" w:cs="Times New Roman"/>
                <w:color w:val="000000"/>
                <w:sz w:val="20"/>
                <w:szCs w:val="20"/>
              </w:rPr>
            </w:pPr>
          </w:p>
        </w:tc>
        <w:tc>
          <w:tcPr>
            <w:tcW w:w="2121" w:type="dxa"/>
            <w:vMerge/>
            <w:tcBorders>
              <w:left w:val="single" w:sz="4" w:space="0" w:color="auto"/>
              <w:bottom w:val="single" w:sz="4" w:space="0" w:color="auto"/>
              <w:right w:val="single" w:sz="4" w:space="0" w:color="auto"/>
            </w:tcBorders>
          </w:tcPr>
          <w:p w14:paraId="29FF2A4A"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3D0632DF"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7.7.5 Inițierea și implementarea de proiecte pilot pentru valorificarea resursei stuficole în industria modei și de design, promovarea acestui tip de valorificare prin organizarea de târguri, expoziții, etc.</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1DA749F" w14:textId="77777777" w:rsidR="00670FD4" w:rsidRPr="002508D3" w:rsidRDefault="00670FD4" w:rsidP="001925BA">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Medie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4B8C8E9" w14:textId="77777777" w:rsidR="00670FD4" w:rsidRPr="002508D3" w:rsidRDefault="00670FD4" w:rsidP="001925BA">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000619E"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MMAP (ARBDD), MCID (INCD-uri), ME (departamente cercetare din universități)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9ADD579"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Program Regional Sud-Est, PNRR, fonduri proprii MMAP (ARBDD), parteneriate public-privat</w:t>
            </w:r>
          </w:p>
        </w:tc>
      </w:tr>
      <w:tr w:rsidR="00670FD4" w14:paraId="786BB3D4" w14:textId="77777777" w:rsidTr="001925BA">
        <w:trPr>
          <w:trHeight w:val="72"/>
        </w:trPr>
        <w:tc>
          <w:tcPr>
            <w:tcW w:w="1892" w:type="dxa"/>
            <w:vMerge/>
            <w:tcBorders>
              <w:top w:val="single" w:sz="4" w:space="0" w:color="000000"/>
              <w:left w:val="single" w:sz="4" w:space="0" w:color="000000"/>
              <w:right w:val="single" w:sz="4" w:space="0" w:color="auto"/>
            </w:tcBorders>
            <w:shd w:val="clear" w:color="auto" w:fill="auto"/>
            <w:tcMar>
              <w:top w:w="100" w:type="dxa"/>
              <w:left w:w="100" w:type="dxa"/>
              <w:bottom w:w="100" w:type="dxa"/>
              <w:right w:w="100" w:type="dxa"/>
            </w:tcMar>
          </w:tcPr>
          <w:p w14:paraId="66EACC9E" w14:textId="77777777" w:rsidR="00670FD4" w:rsidRDefault="00670FD4" w:rsidP="001925BA">
            <w:pPr>
              <w:widowControl w:val="0"/>
              <w:pBdr>
                <w:top w:val="nil"/>
                <w:left w:val="nil"/>
                <w:bottom w:val="nil"/>
                <w:right w:val="nil"/>
                <w:between w:val="nil"/>
              </w:pBdr>
              <w:spacing w:after="0"/>
              <w:ind w:hanging="37"/>
              <w:rPr>
                <w:rFonts w:eastAsia="Times New Roman" w:cs="Times New Roman"/>
                <w:color w:val="000000"/>
                <w:sz w:val="20"/>
                <w:szCs w:val="20"/>
              </w:rPr>
            </w:pPr>
          </w:p>
        </w:tc>
        <w:tc>
          <w:tcPr>
            <w:tcW w:w="2121" w:type="dxa"/>
            <w:vMerge/>
            <w:tcBorders>
              <w:left w:val="single" w:sz="4" w:space="0" w:color="auto"/>
              <w:bottom w:val="single" w:sz="4" w:space="0" w:color="auto"/>
              <w:right w:val="single" w:sz="4" w:space="0" w:color="auto"/>
            </w:tcBorders>
          </w:tcPr>
          <w:p w14:paraId="58B8C780"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43CA6E3D"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7.7.6 Implementarea de proiecte pentru restaurarea zonelor de stufăriș afectate de degradare sau distrugere.</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7F3F3D9" w14:textId="77777777" w:rsidR="00670FD4" w:rsidRPr="002508D3" w:rsidRDefault="00670FD4" w:rsidP="001925BA">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4DEB5ED" w14:textId="77777777" w:rsidR="00670FD4" w:rsidRPr="002508D3" w:rsidRDefault="00670FD4" w:rsidP="001925BA">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EF64D18"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MMAP (ARBDD), MCID (INCDDD). ME (UOC)</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9F85F44"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Program Regional Sud-Est, PNRR, fonduri proprii MMAP (ARBDD)</w:t>
            </w:r>
          </w:p>
        </w:tc>
      </w:tr>
      <w:tr w:rsidR="00670FD4" w14:paraId="24771B07" w14:textId="77777777" w:rsidTr="001925BA">
        <w:trPr>
          <w:trHeight w:val="63"/>
        </w:trPr>
        <w:tc>
          <w:tcPr>
            <w:tcW w:w="1892" w:type="dxa"/>
            <w:vMerge w:val="restart"/>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56DEBD15" w14:textId="77777777" w:rsidR="00670FD4" w:rsidRDefault="00670FD4" w:rsidP="001925BA">
            <w:pPr>
              <w:spacing w:after="0" w:line="240" w:lineRule="auto"/>
              <w:ind w:hanging="37"/>
              <w:rPr>
                <w:rFonts w:eastAsia="Times New Roman" w:cs="Times New Roman"/>
                <w:sz w:val="20"/>
                <w:szCs w:val="20"/>
              </w:rPr>
            </w:pPr>
            <w:r>
              <w:rPr>
                <w:rFonts w:eastAsia="Times New Roman" w:cs="Times New Roman"/>
                <w:sz w:val="20"/>
                <w:szCs w:val="20"/>
              </w:rPr>
              <w:t>M7.8 Aplicarea de către producătorii locali a noilor politici agricole</w:t>
            </w:r>
          </w:p>
        </w:tc>
        <w:tc>
          <w:tcPr>
            <w:tcW w:w="2121" w:type="dxa"/>
            <w:vMerge w:val="restart"/>
            <w:tcBorders>
              <w:top w:val="single" w:sz="4" w:space="0" w:color="auto"/>
              <w:left w:val="single" w:sz="4" w:space="0" w:color="auto"/>
              <w:bottom w:val="single" w:sz="4" w:space="0" w:color="auto"/>
              <w:right w:val="single" w:sz="4" w:space="0" w:color="auto"/>
            </w:tcBorders>
          </w:tcPr>
          <w:p w14:paraId="3A08AC37" w14:textId="77777777" w:rsidR="00670FD4" w:rsidRDefault="00670FD4" w:rsidP="001925BA">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 xml:space="preserve">Os4.a Gestionarea durabilă a resurselor zonei de coastă; </w:t>
            </w:r>
          </w:p>
          <w:p w14:paraId="79C38ECC" w14:textId="77777777" w:rsidR="00670FD4" w:rsidRPr="00DD49F4" w:rsidRDefault="00670FD4" w:rsidP="001925BA">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Os4.b Dezvoltarea “verde” a zonei costiere</w:t>
            </w:r>
          </w:p>
          <w:p w14:paraId="5E4A19A0" w14:textId="77777777" w:rsidR="00670FD4" w:rsidRDefault="00670FD4" w:rsidP="001925BA">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Os6.b Creșterea gradului de conștientizare cu privire la necesitatea de a păstra și îmbunătăți resursele zonei de coastă.</w:t>
            </w: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5BC5F028"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7.8.1 Implementarea de soluții moderne, inovative pentru eficientizarea producției agricole (utilizarea teledetecției în colectarea datelor spațiale, utilizarea dronelor pentru supraveghere, evaluare, măsurători sau pentru aplicarea de soluții/substanțe (ex. fertilizanți, pesticide), utilizarea softurilor pentru controlul și gestionarea eficientă a echipamentelor și a materialelor din ferme, etc)</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39B10FC" w14:textId="77777777" w:rsidR="00670FD4" w:rsidRPr="002508D3" w:rsidRDefault="00670FD4" w:rsidP="001925BA">
            <w:pPr>
              <w:pBdr>
                <w:top w:val="nil"/>
                <w:left w:val="nil"/>
                <w:bottom w:val="nil"/>
                <w:right w:val="nil"/>
                <w:between w:val="nil"/>
              </w:pBd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p w14:paraId="7EE7874F" w14:textId="77777777" w:rsidR="00670FD4" w:rsidRPr="002508D3" w:rsidRDefault="00670FD4" w:rsidP="001925BA">
            <w:pPr>
              <w:spacing w:after="0" w:line="240" w:lineRule="auto"/>
              <w:ind w:firstLine="0"/>
              <w:rPr>
                <w:rFonts w:eastAsia="Times New Roman" w:cs="Times New Roman"/>
                <w:color w:val="000000"/>
                <w:sz w:val="20"/>
                <w:szCs w:val="22"/>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33ED3E5" w14:textId="77777777" w:rsidR="00670FD4" w:rsidRPr="002508D3" w:rsidRDefault="00670FD4" w:rsidP="001925BA">
            <w:pPr>
              <w:pBdr>
                <w:top w:val="nil"/>
                <w:left w:val="nil"/>
                <w:bottom w:val="nil"/>
                <w:right w:val="nil"/>
                <w:between w:val="nil"/>
              </w:pBd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p w14:paraId="6C53A4C5" w14:textId="77777777" w:rsidR="00670FD4" w:rsidRPr="002508D3" w:rsidRDefault="00670FD4" w:rsidP="001925BA">
            <w:pPr>
              <w:spacing w:after="0" w:line="240" w:lineRule="auto"/>
              <w:ind w:firstLine="0"/>
              <w:rPr>
                <w:rFonts w:eastAsia="Times New Roman" w:cs="Times New Roman"/>
                <w:color w:val="000000"/>
                <w:sz w:val="20"/>
                <w:szCs w:val="20"/>
              </w:rPr>
            </w:pPr>
            <w:r w:rsidRPr="002508D3">
              <w:rPr>
                <w:rFonts w:eastAsia="Times New Roman" w:cs="Times New Roman"/>
                <w:sz w:val="20"/>
                <w:szCs w:val="20"/>
              </w:rPr>
              <w:br/>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FE51CB0"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 MCID (INCD-uri), ME (universități)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38A8757"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Programul pentru Promovarea Produselor Agricole (AGRIP), Planul strategic al Politicii Agricole Comune (PAC), Programul Regional Sud-Est, Horizon Europe și PNCDI IV. </w:t>
            </w:r>
          </w:p>
        </w:tc>
      </w:tr>
      <w:tr w:rsidR="00670FD4" w14:paraId="1FB25DAD" w14:textId="77777777" w:rsidTr="001925BA">
        <w:trPr>
          <w:trHeight w:val="63"/>
        </w:trPr>
        <w:tc>
          <w:tcPr>
            <w:tcW w:w="1892" w:type="dxa"/>
            <w:vMerge/>
            <w:tcBorders>
              <w:top w:val="single" w:sz="4" w:space="0" w:color="auto"/>
              <w:left w:val="single" w:sz="4" w:space="0" w:color="000000"/>
              <w:right w:val="single" w:sz="4" w:space="0" w:color="auto"/>
            </w:tcBorders>
            <w:shd w:val="clear" w:color="auto" w:fill="auto"/>
            <w:tcMar>
              <w:top w:w="100" w:type="dxa"/>
              <w:left w:w="100" w:type="dxa"/>
              <w:bottom w:w="100" w:type="dxa"/>
              <w:right w:w="100" w:type="dxa"/>
            </w:tcMar>
          </w:tcPr>
          <w:p w14:paraId="0854B04A" w14:textId="77777777" w:rsidR="00670FD4" w:rsidRDefault="00670FD4" w:rsidP="001925BA">
            <w:pPr>
              <w:widowControl w:val="0"/>
              <w:pBdr>
                <w:top w:val="nil"/>
                <w:left w:val="nil"/>
                <w:bottom w:val="nil"/>
                <w:right w:val="nil"/>
                <w:between w:val="nil"/>
              </w:pBdr>
              <w:spacing w:after="0"/>
              <w:ind w:hanging="37"/>
              <w:rPr>
                <w:rFonts w:eastAsia="Times New Roman" w:cs="Times New Roman"/>
                <w:color w:val="000000"/>
                <w:sz w:val="20"/>
                <w:szCs w:val="20"/>
              </w:rPr>
            </w:pPr>
          </w:p>
        </w:tc>
        <w:tc>
          <w:tcPr>
            <w:tcW w:w="2121" w:type="dxa"/>
            <w:vMerge/>
            <w:tcBorders>
              <w:top w:val="single" w:sz="4" w:space="0" w:color="auto"/>
              <w:left w:val="single" w:sz="4" w:space="0" w:color="auto"/>
              <w:right w:val="single" w:sz="4" w:space="0" w:color="auto"/>
            </w:tcBorders>
          </w:tcPr>
          <w:p w14:paraId="33FBCB12"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5DAA3041"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7.8.2 Implementarea unor programe de gestiune computerizată în special pentru fermele mici și mijlocii</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50A08B9" w14:textId="77777777" w:rsidR="00670FD4" w:rsidRPr="002508D3" w:rsidRDefault="00670FD4" w:rsidP="001925BA">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Medie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CFD9C9D" w14:textId="77777777" w:rsidR="00670FD4" w:rsidRPr="002508D3" w:rsidRDefault="00670FD4" w:rsidP="001925BA">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2027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86E1318"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 MCID (INCD-uri), ME (universități)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1DF544F"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AGRIP, Planul strategic al Politicii Agricole Comune (PAC), PNCDI IV.</w:t>
            </w:r>
          </w:p>
        </w:tc>
      </w:tr>
      <w:tr w:rsidR="00670FD4" w14:paraId="72A50E38" w14:textId="77777777" w:rsidTr="001925BA">
        <w:trPr>
          <w:trHeight w:val="1080"/>
        </w:trPr>
        <w:tc>
          <w:tcPr>
            <w:tcW w:w="1892" w:type="dxa"/>
            <w:vMerge/>
            <w:tcBorders>
              <w:top w:val="single" w:sz="4" w:space="0" w:color="000000"/>
              <w:left w:val="single" w:sz="4" w:space="0" w:color="000000"/>
              <w:right w:val="single" w:sz="4" w:space="0" w:color="auto"/>
            </w:tcBorders>
            <w:shd w:val="clear" w:color="auto" w:fill="auto"/>
            <w:tcMar>
              <w:top w:w="100" w:type="dxa"/>
              <w:left w:w="100" w:type="dxa"/>
              <w:bottom w:w="100" w:type="dxa"/>
              <w:right w:w="100" w:type="dxa"/>
            </w:tcMar>
          </w:tcPr>
          <w:p w14:paraId="18C07CCF" w14:textId="77777777" w:rsidR="00670FD4" w:rsidRDefault="00670FD4" w:rsidP="001925BA">
            <w:pPr>
              <w:widowControl w:val="0"/>
              <w:pBdr>
                <w:top w:val="nil"/>
                <w:left w:val="nil"/>
                <w:bottom w:val="nil"/>
                <w:right w:val="nil"/>
                <w:between w:val="nil"/>
              </w:pBdr>
              <w:spacing w:after="0"/>
              <w:ind w:hanging="37"/>
              <w:rPr>
                <w:rFonts w:eastAsia="Times New Roman" w:cs="Times New Roman"/>
                <w:color w:val="000000"/>
                <w:sz w:val="20"/>
                <w:szCs w:val="20"/>
              </w:rPr>
            </w:pPr>
          </w:p>
        </w:tc>
        <w:tc>
          <w:tcPr>
            <w:tcW w:w="2121" w:type="dxa"/>
            <w:vMerge/>
            <w:tcBorders>
              <w:left w:val="single" w:sz="4" w:space="0" w:color="auto"/>
              <w:right w:val="single" w:sz="4" w:space="0" w:color="auto"/>
            </w:tcBorders>
          </w:tcPr>
          <w:p w14:paraId="2B80C533"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061A119E"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7.8.3 Programe de sprijin pentru asocierea comunităților de fermieri din zona costieră pentru creșterea eficienței în desfacerea produselor pe plan local în primul rând</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12296F1" w14:textId="77777777" w:rsidR="00670FD4" w:rsidRPr="002508D3" w:rsidRDefault="00670FD4" w:rsidP="001925BA">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7056C67" w14:textId="77777777" w:rsidR="00670FD4" w:rsidRPr="002508D3" w:rsidRDefault="00670FD4" w:rsidP="001925BA">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2027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61C5E85"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962E982"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Programul pentru Promovarea Produselor Agricole (AGRIP), Programul Piață Unică</w:t>
            </w:r>
          </w:p>
        </w:tc>
      </w:tr>
      <w:tr w:rsidR="00670FD4" w14:paraId="5BA7479F" w14:textId="77777777" w:rsidTr="001925BA">
        <w:trPr>
          <w:trHeight w:val="63"/>
        </w:trPr>
        <w:tc>
          <w:tcPr>
            <w:tcW w:w="1892"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411F6D0F" w14:textId="77777777" w:rsidR="00670FD4" w:rsidRDefault="00670FD4" w:rsidP="001925BA">
            <w:pPr>
              <w:widowControl w:val="0"/>
              <w:pBdr>
                <w:top w:val="nil"/>
                <w:left w:val="nil"/>
                <w:bottom w:val="nil"/>
                <w:right w:val="nil"/>
                <w:between w:val="nil"/>
              </w:pBdr>
              <w:spacing w:after="0"/>
              <w:ind w:hanging="37"/>
              <w:rPr>
                <w:rFonts w:eastAsia="Times New Roman" w:cs="Times New Roman"/>
                <w:color w:val="000000"/>
                <w:sz w:val="20"/>
                <w:szCs w:val="20"/>
              </w:rPr>
            </w:pPr>
          </w:p>
        </w:tc>
        <w:tc>
          <w:tcPr>
            <w:tcW w:w="2121" w:type="dxa"/>
            <w:vMerge/>
            <w:tcBorders>
              <w:left w:val="single" w:sz="4" w:space="0" w:color="auto"/>
              <w:bottom w:val="single" w:sz="4" w:space="0" w:color="auto"/>
              <w:right w:val="single" w:sz="4" w:space="0" w:color="auto"/>
            </w:tcBorders>
          </w:tcPr>
          <w:p w14:paraId="6DA7B5E2"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55F98C59"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7.8.4 Organizarea periodică de întâlniri între fermieri și alți antreprenori (operatori de turism, reprezentanți ai altor comunități de afaceri, reprezentanți ai comunităților locale) prin care să fie promovate ideile, schimburile și care să întărească comunitatea de afaceri din zona costieră, cu beneficii pentru toată zona litorală</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18A05E0" w14:textId="77777777" w:rsidR="00670FD4" w:rsidRPr="002508D3" w:rsidRDefault="00670FD4" w:rsidP="001925BA">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7105086" w14:textId="77777777" w:rsidR="00670FD4" w:rsidRPr="002508D3" w:rsidRDefault="00670FD4" w:rsidP="001925BA">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7EDD89C"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A9B876E"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Programul pentru Promovarea Produselor Agricole (AGRIP), Programul Piață Unică</w:t>
            </w:r>
          </w:p>
        </w:tc>
      </w:tr>
      <w:tr w:rsidR="00670FD4" w14:paraId="56DFEC45" w14:textId="77777777" w:rsidTr="001925BA">
        <w:trPr>
          <w:trHeight w:val="378"/>
        </w:trPr>
        <w:tc>
          <w:tcPr>
            <w:tcW w:w="1892" w:type="dxa"/>
            <w:vMerge w:val="restar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B739599" w14:textId="77777777" w:rsidR="00670FD4" w:rsidRDefault="00670FD4" w:rsidP="001925BA">
            <w:pPr>
              <w:spacing w:after="0" w:line="240" w:lineRule="auto"/>
              <w:ind w:hanging="37"/>
              <w:rPr>
                <w:rFonts w:eastAsia="Times New Roman" w:cs="Times New Roman"/>
                <w:sz w:val="20"/>
                <w:szCs w:val="20"/>
              </w:rPr>
            </w:pPr>
            <w:r>
              <w:rPr>
                <w:rFonts w:eastAsia="Times New Roman" w:cs="Times New Roman"/>
                <w:sz w:val="20"/>
                <w:szCs w:val="20"/>
              </w:rPr>
              <w:t>M7.9 Implementarea proiectelor de transport fluvial verde în Delta Dunării</w:t>
            </w:r>
          </w:p>
        </w:tc>
        <w:tc>
          <w:tcPr>
            <w:tcW w:w="2121" w:type="dxa"/>
            <w:vMerge w:val="restart"/>
            <w:tcBorders>
              <w:top w:val="single" w:sz="4" w:space="0" w:color="auto"/>
              <w:left w:val="single" w:sz="4" w:space="0" w:color="auto"/>
              <w:bottom w:val="single" w:sz="4" w:space="0" w:color="auto"/>
              <w:right w:val="single" w:sz="4" w:space="0" w:color="auto"/>
            </w:tcBorders>
          </w:tcPr>
          <w:p w14:paraId="5C3EEB91" w14:textId="77777777" w:rsidR="00670FD4" w:rsidRPr="00DD49F4" w:rsidRDefault="00670FD4" w:rsidP="001925BA">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Os4.b Dezvoltarea “verde” a zonei costiere;</w:t>
            </w:r>
          </w:p>
          <w:p w14:paraId="74E00379" w14:textId="77777777" w:rsidR="00670FD4" w:rsidRDefault="00670FD4" w:rsidP="001925BA">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Os6.b Creșterea gradului de conștientizare cu privire la necesitatea de a păstra și îmbunătăți resursele zonei de coastă.</w:t>
            </w: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50F22514"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7.9.1 Realizarea de campanii de conștientizare a operatorilor de transport fluvial, a operatorilor turistici, precum și a asociațiilor de pescari privind efectele negative ale transportului fluvial cu combustibili convenționali asupra stării ecosistemului deltaic și a serviciilor furnizate de către acesta comunității locale</w:t>
            </w:r>
          </w:p>
        </w:tc>
        <w:tc>
          <w:tcPr>
            <w:tcW w:w="1277"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74854E4C" w14:textId="77777777" w:rsidR="00670FD4" w:rsidRPr="002508D3" w:rsidRDefault="00670FD4" w:rsidP="001925BA">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3919B83D" w14:textId="77777777" w:rsidR="00670FD4" w:rsidRPr="002508D3" w:rsidRDefault="00670FD4" w:rsidP="001925BA">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vMerge w:val="restart"/>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2ABDD51A" w14:textId="77777777" w:rsidR="00670FD4" w:rsidRPr="00473248" w:rsidRDefault="00670FD4" w:rsidP="001925BA">
            <w:pPr>
              <w:spacing w:after="0" w:line="240" w:lineRule="auto"/>
              <w:ind w:firstLine="0"/>
              <w:rPr>
                <w:rFonts w:eastAsia="Times New Roman" w:cs="Times New Roman"/>
                <w:color w:val="000000"/>
                <w:sz w:val="20"/>
                <w:szCs w:val="20"/>
              </w:rPr>
            </w:pPr>
          </w:p>
          <w:p w14:paraId="4FA51139"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MT, MMAP (ARBDD)</w:t>
            </w:r>
          </w:p>
        </w:tc>
        <w:tc>
          <w:tcPr>
            <w:tcW w:w="1701" w:type="dxa"/>
            <w:vMerge w:val="restart"/>
            <w:tcBorders>
              <w:top w:val="single" w:sz="4" w:space="0" w:color="000000"/>
              <w:left w:val="single" w:sz="4" w:space="0" w:color="000000"/>
              <w:bottom w:val="single" w:sz="4" w:space="0" w:color="auto"/>
              <w:right w:val="single" w:sz="4" w:space="0" w:color="000000"/>
            </w:tcBorders>
            <w:tcMar>
              <w:top w:w="0" w:type="dxa"/>
              <w:left w:w="100" w:type="dxa"/>
              <w:bottom w:w="0" w:type="dxa"/>
              <w:right w:w="100" w:type="dxa"/>
            </w:tcMar>
          </w:tcPr>
          <w:p w14:paraId="0A929C31" w14:textId="77777777" w:rsidR="00670FD4" w:rsidRDefault="00670FD4" w:rsidP="001925BA">
            <w:pPr>
              <w:spacing w:after="0" w:line="240" w:lineRule="auto"/>
              <w:ind w:firstLine="0"/>
              <w:rPr>
                <w:rFonts w:eastAsia="Times New Roman" w:cs="Times New Roman"/>
                <w:sz w:val="20"/>
                <w:szCs w:val="20"/>
              </w:rPr>
            </w:pPr>
          </w:p>
          <w:p w14:paraId="357EA72B"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Programul Regional Sud-Est, PNRR, parteneriate public-privat, fonduri proprii MTI și MMAP</w:t>
            </w:r>
          </w:p>
        </w:tc>
      </w:tr>
      <w:tr w:rsidR="00670FD4" w14:paraId="13D09056" w14:textId="77777777" w:rsidTr="001925BA">
        <w:trPr>
          <w:trHeight w:val="378"/>
        </w:trPr>
        <w:tc>
          <w:tcPr>
            <w:tcW w:w="1892"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777F020" w14:textId="77777777" w:rsidR="00670FD4" w:rsidRDefault="00670FD4" w:rsidP="001925BA">
            <w:pPr>
              <w:widowControl w:val="0"/>
              <w:pBdr>
                <w:top w:val="nil"/>
                <w:left w:val="nil"/>
                <w:bottom w:val="nil"/>
                <w:right w:val="nil"/>
                <w:between w:val="nil"/>
              </w:pBdr>
              <w:spacing w:after="0"/>
              <w:ind w:hanging="37"/>
              <w:rPr>
                <w:rFonts w:eastAsia="Times New Roman" w:cs="Times New Roman"/>
                <w:color w:val="000000"/>
                <w:sz w:val="20"/>
                <w:szCs w:val="20"/>
              </w:rPr>
            </w:pPr>
          </w:p>
        </w:tc>
        <w:tc>
          <w:tcPr>
            <w:tcW w:w="2121" w:type="dxa"/>
            <w:vMerge/>
            <w:tcBorders>
              <w:top w:val="single" w:sz="4" w:space="0" w:color="auto"/>
              <w:left w:val="single" w:sz="4" w:space="0" w:color="auto"/>
              <w:right w:val="single" w:sz="4" w:space="0" w:color="auto"/>
            </w:tcBorders>
          </w:tcPr>
          <w:p w14:paraId="7F43EC63"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6BD0A054"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7.9.2 Inițierea și implementarea unor proiecte pilot pentru testarea unor soluțiii de transport bazat pe surse neconvenționale</w:t>
            </w:r>
          </w:p>
        </w:tc>
        <w:tc>
          <w:tcPr>
            <w:tcW w:w="1277"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DA394DA" w14:textId="77777777" w:rsidR="00670FD4" w:rsidRPr="002508D3" w:rsidRDefault="00670FD4" w:rsidP="001925BA">
            <w:pPr>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7923D0C" w14:textId="77777777" w:rsidR="00670FD4" w:rsidRPr="002508D3" w:rsidRDefault="00670FD4" w:rsidP="001925BA">
            <w:pPr>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vMerge/>
            <w:tcBorders>
              <w:top w:val="single" w:sz="4" w:space="0" w:color="auto"/>
              <w:left w:val="single" w:sz="4" w:space="0" w:color="000000"/>
              <w:right w:val="single" w:sz="4" w:space="0" w:color="000000"/>
            </w:tcBorders>
            <w:shd w:val="clear" w:color="auto" w:fill="auto"/>
            <w:tcMar>
              <w:top w:w="0" w:type="dxa"/>
              <w:left w:w="100" w:type="dxa"/>
              <w:bottom w:w="0" w:type="dxa"/>
              <w:right w:w="100" w:type="dxa"/>
            </w:tcMar>
          </w:tcPr>
          <w:p w14:paraId="503CC4A2" w14:textId="77777777" w:rsidR="00670FD4" w:rsidRPr="00473248" w:rsidRDefault="00670FD4" w:rsidP="001925BA">
            <w:pPr>
              <w:widowControl w:val="0"/>
              <w:pBdr>
                <w:top w:val="nil"/>
                <w:left w:val="nil"/>
                <w:bottom w:val="nil"/>
                <w:right w:val="nil"/>
                <w:between w:val="nil"/>
              </w:pBdr>
              <w:spacing w:after="0"/>
              <w:ind w:firstLine="0"/>
              <w:rPr>
                <w:rFonts w:eastAsia="Times New Roman" w:cs="Times New Roman"/>
                <w:color w:val="000000"/>
                <w:sz w:val="20"/>
                <w:szCs w:val="20"/>
              </w:rPr>
            </w:pPr>
          </w:p>
        </w:tc>
        <w:tc>
          <w:tcPr>
            <w:tcW w:w="1701" w:type="dxa"/>
            <w:vMerge/>
            <w:tcBorders>
              <w:top w:val="single" w:sz="4" w:space="0" w:color="auto"/>
              <w:left w:val="single" w:sz="4" w:space="0" w:color="000000"/>
              <w:bottom w:val="single" w:sz="4" w:space="0" w:color="000000"/>
              <w:right w:val="single" w:sz="4" w:space="0" w:color="000000"/>
            </w:tcBorders>
            <w:tcMar>
              <w:top w:w="0" w:type="dxa"/>
              <w:left w:w="100" w:type="dxa"/>
              <w:bottom w:w="0" w:type="dxa"/>
              <w:right w:w="100" w:type="dxa"/>
            </w:tcMar>
          </w:tcPr>
          <w:p w14:paraId="46505B6F" w14:textId="77777777" w:rsidR="00670FD4" w:rsidRDefault="00670FD4" w:rsidP="001925BA">
            <w:pPr>
              <w:widowControl w:val="0"/>
              <w:pBdr>
                <w:top w:val="nil"/>
                <w:left w:val="nil"/>
                <w:bottom w:val="nil"/>
                <w:right w:val="nil"/>
                <w:between w:val="nil"/>
              </w:pBdr>
              <w:spacing w:after="0"/>
              <w:ind w:firstLine="0"/>
              <w:rPr>
                <w:rFonts w:eastAsia="Times New Roman" w:cs="Times New Roman"/>
                <w:color w:val="000000"/>
              </w:rPr>
            </w:pPr>
          </w:p>
        </w:tc>
      </w:tr>
      <w:tr w:rsidR="00670FD4" w14:paraId="6241A9F6" w14:textId="77777777" w:rsidTr="001925BA">
        <w:trPr>
          <w:trHeight w:val="378"/>
        </w:trPr>
        <w:tc>
          <w:tcPr>
            <w:tcW w:w="1892"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33DF302" w14:textId="77777777" w:rsidR="00670FD4" w:rsidRDefault="00670FD4" w:rsidP="001925BA">
            <w:pPr>
              <w:widowControl w:val="0"/>
              <w:pBdr>
                <w:top w:val="nil"/>
                <w:left w:val="nil"/>
                <w:bottom w:val="nil"/>
                <w:right w:val="nil"/>
                <w:between w:val="nil"/>
              </w:pBdr>
              <w:spacing w:after="0"/>
              <w:ind w:hanging="37"/>
              <w:rPr>
                <w:rFonts w:eastAsia="Times New Roman" w:cs="Times New Roman"/>
                <w:color w:val="000000"/>
              </w:rPr>
            </w:pPr>
          </w:p>
        </w:tc>
        <w:tc>
          <w:tcPr>
            <w:tcW w:w="2121" w:type="dxa"/>
            <w:vMerge/>
            <w:tcBorders>
              <w:left w:val="single" w:sz="4" w:space="0" w:color="auto"/>
              <w:right w:val="single" w:sz="4" w:space="0" w:color="auto"/>
            </w:tcBorders>
          </w:tcPr>
          <w:p w14:paraId="3AA05D4F"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3528616A"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7.9.3 Identificarea unor mecanisme financiare de stimulare a folosirii ambarcațiunilor ce folosesc combustibili neconvenționali (“transportului verde”)</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92DDE72" w14:textId="77777777" w:rsidR="00670FD4" w:rsidRPr="002508D3" w:rsidRDefault="00670FD4" w:rsidP="001925BA">
            <w:pPr>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FBBAB6F" w14:textId="77777777" w:rsidR="00670FD4" w:rsidRPr="002508D3" w:rsidRDefault="00670FD4" w:rsidP="001925BA">
            <w:pPr>
              <w:ind w:firstLine="0"/>
              <w:rPr>
                <w:rFonts w:eastAsia="Times New Roman" w:cs="Times New Roman"/>
                <w:color w:val="000000"/>
                <w:sz w:val="20"/>
                <w:szCs w:val="20"/>
              </w:rPr>
            </w:pPr>
            <w:r w:rsidRPr="002508D3">
              <w:rPr>
                <w:rFonts w:eastAsia="Times New Roman" w:cs="Times New Roman"/>
                <w:color w:val="000000"/>
                <w:sz w:val="20"/>
                <w:szCs w:val="20"/>
              </w:rPr>
              <w:t>2025</w:t>
            </w:r>
          </w:p>
        </w:tc>
        <w:tc>
          <w:tcPr>
            <w:tcW w:w="1419" w:type="dxa"/>
            <w:vMerge/>
            <w:tcBorders>
              <w:top w:val="single" w:sz="4" w:space="0" w:color="000000"/>
              <w:left w:val="single" w:sz="4" w:space="0" w:color="000000"/>
              <w:right w:val="single" w:sz="4" w:space="0" w:color="000000"/>
            </w:tcBorders>
            <w:shd w:val="clear" w:color="auto" w:fill="auto"/>
            <w:tcMar>
              <w:top w:w="0" w:type="dxa"/>
              <w:left w:w="100" w:type="dxa"/>
              <w:bottom w:w="0" w:type="dxa"/>
              <w:right w:w="100" w:type="dxa"/>
            </w:tcMar>
          </w:tcPr>
          <w:p w14:paraId="7DAC8A00" w14:textId="77777777" w:rsidR="00670FD4" w:rsidRPr="00473248" w:rsidRDefault="00670FD4" w:rsidP="001925BA">
            <w:pPr>
              <w:widowControl w:val="0"/>
              <w:pBdr>
                <w:top w:val="nil"/>
                <w:left w:val="nil"/>
                <w:bottom w:val="nil"/>
                <w:right w:val="nil"/>
                <w:between w:val="nil"/>
              </w:pBdr>
              <w:spacing w:after="0"/>
              <w:ind w:firstLine="0"/>
              <w:rPr>
                <w:rFonts w:eastAsia="Times New Roman" w:cs="Times New Roman"/>
                <w:color w:val="000000"/>
                <w:sz w:val="20"/>
                <w:szCs w:val="20"/>
              </w:rPr>
            </w:pPr>
          </w:p>
        </w:tc>
        <w:tc>
          <w:tcPr>
            <w:tcW w:w="1701" w:type="dxa"/>
            <w:vMerge w:val="restart"/>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5F37298B" w14:textId="77777777" w:rsidR="00670FD4" w:rsidRDefault="00670FD4" w:rsidP="001925BA">
            <w:pPr>
              <w:ind w:firstLine="0"/>
              <w:rPr>
                <w:rFonts w:eastAsia="Times New Roman" w:cs="Times New Roman"/>
                <w:color w:val="000000"/>
              </w:rPr>
            </w:pPr>
            <w:r w:rsidRPr="00D235BD">
              <w:rPr>
                <w:rFonts w:eastAsia="Times New Roman" w:cs="Times New Roman"/>
                <w:color w:val="000000"/>
                <w:sz w:val="20"/>
                <w:szCs w:val="20"/>
              </w:rPr>
              <w:t>fonduri proprii MTI și MMAP</w:t>
            </w:r>
          </w:p>
        </w:tc>
      </w:tr>
      <w:tr w:rsidR="00670FD4" w14:paraId="6E161474" w14:textId="77777777" w:rsidTr="001925BA">
        <w:trPr>
          <w:trHeight w:val="378"/>
        </w:trPr>
        <w:tc>
          <w:tcPr>
            <w:tcW w:w="1892"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C2234DC" w14:textId="77777777" w:rsidR="00670FD4" w:rsidRDefault="00670FD4" w:rsidP="001925BA">
            <w:pPr>
              <w:widowControl w:val="0"/>
              <w:pBdr>
                <w:top w:val="nil"/>
                <w:left w:val="nil"/>
                <w:bottom w:val="nil"/>
                <w:right w:val="nil"/>
                <w:between w:val="nil"/>
              </w:pBdr>
              <w:spacing w:after="0"/>
              <w:ind w:hanging="37"/>
              <w:rPr>
                <w:rFonts w:eastAsia="Times New Roman" w:cs="Times New Roman"/>
                <w:color w:val="000000"/>
              </w:rPr>
            </w:pPr>
          </w:p>
        </w:tc>
        <w:tc>
          <w:tcPr>
            <w:tcW w:w="2121" w:type="dxa"/>
            <w:vMerge/>
            <w:tcBorders>
              <w:left w:val="single" w:sz="4" w:space="0" w:color="auto"/>
              <w:bottom w:val="single" w:sz="4" w:space="0" w:color="auto"/>
              <w:right w:val="single" w:sz="4" w:space="0" w:color="auto"/>
            </w:tcBorders>
          </w:tcPr>
          <w:p w14:paraId="1752A461"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5878E984"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 xml:space="preserve">A 7.9.4 Identificarea unor mecanisme financiare de stimulare a operatorilor de transport, turistici și </w:t>
            </w:r>
            <w:r>
              <w:rPr>
                <w:rFonts w:eastAsia="Times New Roman" w:cs="Times New Roman"/>
                <w:color w:val="000000"/>
                <w:sz w:val="20"/>
                <w:szCs w:val="20"/>
              </w:rPr>
              <w:lastRenderedPageBreak/>
              <w:t>pescarilor pentru scoaterea din uz a ambarcațiunilor cu motoare vechi, poluante</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1A34359" w14:textId="77777777" w:rsidR="00670FD4" w:rsidRPr="002508D3" w:rsidRDefault="00670FD4" w:rsidP="001925BA">
            <w:pPr>
              <w:ind w:firstLine="0"/>
              <w:rPr>
                <w:rFonts w:eastAsia="Times New Roman" w:cs="Times New Roman"/>
                <w:color w:val="000000"/>
                <w:sz w:val="20"/>
                <w:szCs w:val="22"/>
              </w:rPr>
            </w:pPr>
            <w:r w:rsidRPr="002508D3">
              <w:rPr>
                <w:rFonts w:eastAsia="Times New Roman" w:cs="Times New Roman"/>
                <w:color w:val="000000"/>
                <w:sz w:val="20"/>
                <w:szCs w:val="22"/>
              </w:rPr>
              <w:lastRenderedPageBreak/>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F5B715E" w14:textId="77777777" w:rsidR="00670FD4" w:rsidRPr="002508D3" w:rsidRDefault="00670FD4" w:rsidP="001925BA">
            <w:pPr>
              <w:ind w:firstLine="0"/>
              <w:rPr>
                <w:rFonts w:eastAsia="Times New Roman" w:cs="Times New Roman"/>
                <w:color w:val="000000"/>
                <w:sz w:val="20"/>
                <w:szCs w:val="20"/>
              </w:rPr>
            </w:pPr>
            <w:r w:rsidRPr="002508D3">
              <w:rPr>
                <w:rFonts w:eastAsia="Times New Roman" w:cs="Times New Roman"/>
                <w:color w:val="000000"/>
                <w:sz w:val="20"/>
                <w:szCs w:val="20"/>
              </w:rPr>
              <w:t>2025</w:t>
            </w:r>
          </w:p>
        </w:tc>
        <w:tc>
          <w:tcPr>
            <w:tcW w:w="1419" w:type="dxa"/>
            <w:vMerge/>
            <w:tcBorders>
              <w:top w:val="single" w:sz="4" w:space="0" w:color="000000"/>
              <w:left w:val="single" w:sz="4" w:space="0" w:color="000000"/>
              <w:right w:val="single" w:sz="4" w:space="0" w:color="000000"/>
            </w:tcBorders>
            <w:shd w:val="clear" w:color="auto" w:fill="auto"/>
            <w:tcMar>
              <w:top w:w="0" w:type="dxa"/>
              <w:left w:w="100" w:type="dxa"/>
              <w:bottom w:w="0" w:type="dxa"/>
              <w:right w:w="100" w:type="dxa"/>
            </w:tcMar>
          </w:tcPr>
          <w:p w14:paraId="5218FA4A" w14:textId="77777777" w:rsidR="00670FD4" w:rsidRPr="00473248" w:rsidRDefault="00670FD4" w:rsidP="001925BA">
            <w:pPr>
              <w:widowControl w:val="0"/>
              <w:pBdr>
                <w:top w:val="nil"/>
                <w:left w:val="nil"/>
                <w:bottom w:val="nil"/>
                <w:right w:val="nil"/>
                <w:between w:val="nil"/>
              </w:pBdr>
              <w:spacing w:after="0"/>
              <w:ind w:firstLine="0"/>
              <w:rPr>
                <w:rFonts w:eastAsia="Times New Roman" w:cs="Times New Roman"/>
                <w:color w:val="000000"/>
                <w:sz w:val="20"/>
                <w:szCs w:val="20"/>
              </w:rPr>
            </w:pPr>
          </w:p>
        </w:tc>
        <w:tc>
          <w:tcPr>
            <w:tcW w:w="1701" w:type="dxa"/>
            <w:vMerge/>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2346CC3D" w14:textId="77777777" w:rsidR="00670FD4" w:rsidRDefault="00670FD4" w:rsidP="001925BA">
            <w:pPr>
              <w:widowControl w:val="0"/>
              <w:pBdr>
                <w:top w:val="nil"/>
                <w:left w:val="nil"/>
                <w:bottom w:val="nil"/>
                <w:right w:val="nil"/>
                <w:between w:val="nil"/>
              </w:pBdr>
              <w:spacing w:after="0"/>
              <w:ind w:firstLine="0"/>
              <w:rPr>
                <w:rFonts w:eastAsia="Times New Roman" w:cs="Times New Roman"/>
                <w:color w:val="000000"/>
              </w:rPr>
            </w:pPr>
          </w:p>
        </w:tc>
      </w:tr>
      <w:tr w:rsidR="00670FD4" w14:paraId="68A66015" w14:textId="77777777" w:rsidTr="001925BA">
        <w:trPr>
          <w:trHeight w:val="468"/>
        </w:trPr>
        <w:tc>
          <w:tcPr>
            <w:tcW w:w="1892" w:type="dxa"/>
            <w:vMerge w:val="restar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01B8D3E" w14:textId="77777777" w:rsidR="00670FD4" w:rsidRDefault="00670FD4" w:rsidP="001925BA">
            <w:pPr>
              <w:spacing w:after="0"/>
              <w:ind w:hanging="37"/>
              <w:rPr>
                <w:rFonts w:eastAsia="Times New Roman" w:cs="Times New Roman"/>
              </w:rPr>
            </w:pPr>
          </w:p>
          <w:p w14:paraId="1C065AF8" w14:textId="77777777" w:rsidR="00670FD4" w:rsidRPr="005E6631" w:rsidRDefault="00670FD4" w:rsidP="001925BA">
            <w:pPr>
              <w:spacing w:after="0"/>
              <w:ind w:hanging="37"/>
              <w:rPr>
                <w:rFonts w:eastAsia="Times New Roman" w:cs="Times New Roman"/>
                <w:sz w:val="20"/>
              </w:rPr>
            </w:pPr>
            <w:r w:rsidRPr="005E6631">
              <w:rPr>
                <w:rFonts w:eastAsia="Times New Roman" w:cs="Times New Roman"/>
                <w:sz w:val="20"/>
              </w:rPr>
              <w:t>M7.10 Dezvoltarea porturilor “verzi” la litoralul românesc al Mării Negre</w:t>
            </w:r>
          </w:p>
          <w:p w14:paraId="3ADC8E99" w14:textId="77777777" w:rsidR="00670FD4" w:rsidRDefault="00670FD4" w:rsidP="001925BA">
            <w:pPr>
              <w:spacing w:after="0"/>
              <w:ind w:hanging="37"/>
              <w:rPr>
                <w:rFonts w:eastAsia="Times New Roman" w:cs="Times New Roman"/>
              </w:rPr>
            </w:pPr>
          </w:p>
        </w:tc>
        <w:tc>
          <w:tcPr>
            <w:tcW w:w="2121" w:type="dxa"/>
            <w:vMerge w:val="restart"/>
            <w:tcBorders>
              <w:top w:val="single" w:sz="4" w:space="0" w:color="auto"/>
              <w:left w:val="single" w:sz="4" w:space="0" w:color="auto"/>
              <w:right w:val="single" w:sz="4" w:space="0" w:color="auto"/>
            </w:tcBorders>
          </w:tcPr>
          <w:p w14:paraId="3A574765" w14:textId="77777777" w:rsidR="00670FD4" w:rsidRPr="00DD49F4" w:rsidRDefault="00670FD4" w:rsidP="001925BA">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Os4.b Dezvoltarea “verde” a zonei costiere</w:t>
            </w:r>
          </w:p>
          <w:p w14:paraId="415AAFEE" w14:textId="77777777" w:rsidR="00670FD4" w:rsidRDefault="00670FD4" w:rsidP="001925BA">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Os2.c Stimularea dezvoltării infrastructurii verzi</w:t>
            </w: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4F1C06D1"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7.10.1 Implementarea unor proiecte pentru realizarea unui design ecologic al porturilor, care include perdele forestiere, ce contribuie la reducerea poluării atmosferice.</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13E531A" w14:textId="77777777" w:rsidR="00670FD4" w:rsidRPr="002508D3" w:rsidRDefault="00670FD4" w:rsidP="001925BA">
            <w:pPr>
              <w:spacing w:after="0"/>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F06B162" w14:textId="77777777" w:rsidR="00670FD4" w:rsidRPr="002508D3" w:rsidRDefault="00670FD4" w:rsidP="001925BA">
            <w:pPr>
              <w:spacing w:after="0"/>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4ECFEB7F"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CN APM, ME (departamente de cercetare ale universităților)</w:t>
            </w:r>
          </w:p>
        </w:tc>
        <w:tc>
          <w:tcPr>
            <w:tcW w:w="1701"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198A45D9" w14:textId="77777777" w:rsidR="00670FD4" w:rsidRPr="00B165F8" w:rsidRDefault="00670FD4" w:rsidP="001925BA">
            <w:pPr>
              <w:spacing w:after="0" w:line="240" w:lineRule="auto"/>
              <w:ind w:firstLine="0"/>
              <w:rPr>
                <w:rFonts w:eastAsia="Times New Roman" w:cs="Times New Roman"/>
                <w:color w:val="000000"/>
                <w:sz w:val="20"/>
              </w:rPr>
            </w:pPr>
            <w:r w:rsidRPr="00B165F8">
              <w:rPr>
                <w:rFonts w:eastAsia="Times New Roman" w:cs="Times New Roman"/>
                <w:color w:val="000000"/>
                <w:sz w:val="20"/>
              </w:rPr>
              <w:t>Buget CN APM, PNRR, Programul (Interreg VI-B) NEXT Bazinul Mării Negre</w:t>
            </w:r>
            <w:r>
              <w:rPr>
                <w:rFonts w:eastAsia="Times New Roman" w:cs="Times New Roman"/>
                <w:color w:val="000000"/>
                <w:sz w:val="20"/>
              </w:rPr>
              <w:t xml:space="preserve"> </w:t>
            </w:r>
            <w:r w:rsidRPr="00B165F8">
              <w:rPr>
                <w:rFonts w:eastAsia="Times New Roman" w:cs="Times New Roman"/>
                <w:color w:val="000000"/>
                <w:sz w:val="20"/>
              </w:rPr>
              <w:t>și Programul INTERREG EUROPE 2021-2027.</w:t>
            </w:r>
          </w:p>
        </w:tc>
      </w:tr>
      <w:tr w:rsidR="00670FD4" w14:paraId="084169A7" w14:textId="77777777" w:rsidTr="001925BA">
        <w:trPr>
          <w:trHeight w:val="741"/>
        </w:trPr>
        <w:tc>
          <w:tcPr>
            <w:tcW w:w="1892"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1C1060E" w14:textId="77777777" w:rsidR="00670FD4" w:rsidRDefault="00670FD4" w:rsidP="001925BA">
            <w:pPr>
              <w:widowControl w:val="0"/>
              <w:pBdr>
                <w:top w:val="nil"/>
                <w:left w:val="nil"/>
                <w:bottom w:val="nil"/>
                <w:right w:val="nil"/>
                <w:between w:val="nil"/>
              </w:pBdr>
              <w:spacing w:after="0"/>
              <w:ind w:hanging="37"/>
              <w:rPr>
                <w:rFonts w:eastAsia="Times New Roman" w:cs="Times New Roman"/>
                <w:color w:val="000000"/>
              </w:rPr>
            </w:pPr>
          </w:p>
        </w:tc>
        <w:tc>
          <w:tcPr>
            <w:tcW w:w="2121" w:type="dxa"/>
            <w:vMerge/>
            <w:tcBorders>
              <w:left w:val="single" w:sz="4" w:space="0" w:color="auto"/>
              <w:bottom w:val="single" w:sz="4" w:space="0" w:color="auto"/>
              <w:right w:val="single" w:sz="4" w:space="0" w:color="auto"/>
            </w:tcBorders>
          </w:tcPr>
          <w:p w14:paraId="75122DA9"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556E9FC8"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7.10.2 Implementarea proiectelor privind utilizarea surselor de energie regenerabilă în operațiunile și activitățile portuare (inclusiv transport).</w:t>
            </w:r>
          </w:p>
        </w:tc>
        <w:tc>
          <w:tcPr>
            <w:tcW w:w="1277"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0FF4B15F" w14:textId="77777777" w:rsidR="00670FD4" w:rsidRPr="002508D3" w:rsidRDefault="00670FD4" w:rsidP="001925BA">
            <w:pPr>
              <w:spacing w:after="0"/>
              <w:ind w:firstLine="0"/>
              <w:rPr>
                <w:rFonts w:eastAsia="Times New Roman" w:cs="Times New Roman"/>
                <w:color w:val="000000"/>
                <w:sz w:val="20"/>
                <w:szCs w:val="22"/>
              </w:rPr>
            </w:pPr>
            <w:r w:rsidRPr="002508D3">
              <w:rPr>
                <w:rFonts w:eastAsia="Times New Roman" w:cs="Times New Roman"/>
                <w:color w:val="000000"/>
                <w:sz w:val="20"/>
                <w:szCs w:val="22"/>
              </w:rPr>
              <w:t>Medie</w:t>
            </w:r>
          </w:p>
        </w:tc>
        <w:tc>
          <w:tcPr>
            <w:tcW w:w="1418"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39454AB3" w14:textId="77777777" w:rsidR="00670FD4" w:rsidRPr="002508D3" w:rsidRDefault="00670FD4" w:rsidP="001925BA">
            <w:pPr>
              <w:spacing w:after="0"/>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auto"/>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324F8FEB"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CN APM, MCID (INCD-uri), ME (departamente de cercetare din universități)</w:t>
            </w:r>
          </w:p>
        </w:tc>
        <w:tc>
          <w:tcPr>
            <w:tcW w:w="1701" w:type="dxa"/>
            <w:tcBorders>
              <w:top w:val="single" w:sz="4" w:space="0" w:color="auto"/>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3150EA83" w14:textId="77777777" w:rsidR="00670FD4" w:rsidRPr="00B165F8" w:rsidRDefault="00670FD4" w:rsidP="001925BA">
            <w:pPr>
              <w:spacing w:after="0" w:line="240" w:lineRule="auto"/>
              <w:ind w:firstLine="0"/>
              <w:rPr>
                <w:rFonts w:eastAsia="Times New Roman" w:cs="Times New Roman"/>
                <w:color w:val="000000"/>
                <w:sz w:val="20"/>
              </w:rPr>
            </w:pPr>
            <w:r w:rsidRPr="00B165F8">
              <w:rPr>
                <w:rFonts w:eastAsia="Times New Roman" w:cs="Times New Roman"/>
                <w:color w:val="000000"/>
                <w:sz w:val="20"/>
              </w:rPr>
              <w:t>Buget CN APM, PNCDI IV, PNRR, Programul INTERREG EUROPE 2021-2027.</w:t>
            </w:r>
          </w:p>
        </w:tc>
      </w:tr>
      <w:tr w:rsidR="00670FD4" w14:paraId="2E807BFB" w14:textId="77777777" w:rsidTr="001925BA">
        <w:trPr>
          <w:trHeight w:val="144"/>
        </w:trPr>
        <w:tc>
          <w:tcPr>
            <w:tcW w:w="1892"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07ED8C6" w14:textId="77777777" w:rsidR="00670FD4" w:rsidRDefault="00670FD4" w:rsidP="001925BA">
            <w:pPr>
              <w:widowControl w:val="0"/>
              <w:pBdr>
                <w:top w:val="nil"/>
                <w:left w:val="nil"/>
                <w:bottom w:val="nil"/>
                <w:right w:val="nil"/>
                <w:between w:val="nil"/>
              </w:pBdr>
              <w:spacing w:after="0"/>
              <w:ind w:hanging="37"/>
              <w:rPr>
                <w:rFonts w:eastAsia="Times New Roman" w:cs="Times New Roman"/>
                <w:color w:val="000000"/>
              </w:rPr>
            </w:pPr>
          </w:p>
        </w:tc>
        <w:tc>
          <w:tcPr>
            <w:tcW w:w="2121" w:type="dxa"/>
            <w:vMerge/>
            <w:tcBorders>
              <w:top w:val="single" w:sz="4" w:space="0" w:color="auto"/>
              <w:left w:val="single" w:sz="4" w:space="0" w:color="auto"/>
              <w:bottom w:val="single" w:sz="4" w:space="0" w:color="auto"/>
              <w:right w:val="single" w:sz="4" w:space="0" w:color="auto"/>
            </w:tcBorders>
          </w:tcPr>
          <w:p w14:paraId="2D4F0B1B"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4C69E938"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7.10.3 Identificarea și aplicarea de soluții moderne pentru tratarea și reciclarea deșeurilor de la nave, precum și a celor rezultate din diverse activități portuare.</w:t>
            </w:r>
          </w:p>
        </w:tc>
        <w:tc>
          <w:tcPr>
            <w:tcW w:w="1277"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624DE17" w14:textId="77777777" w:rsidR="00670FD4" w:rsidRPr="002508D3" w:rsidRDefault="00670FD4" w:rsidP="001925BA">
            <w:pPr>
              <w:spacing w:after="0"/>
              <w:ind w:firstLine="0"/>
              <w:rPr>
                <w:rFonts w:eastAsia="Times New Roman" w:cs="Times New Roman"/>
                <w:color w:val="000000"/>
                <w:sz w:val="20"/>
                <w:szCs w:val="22"/>
              </w:rPr>
            </w:pPr>
            <w:r w:rsidRPr="002508D3">
              <w:rPr>
                <w:rFonts w:eastAsia="Times New Roman" w:cs="Times New Roman"/>
                <w:color w:val="000000"/>
                <w:sz w:val="20"/>
                <w:szCs w:val="22"/>
              </w:rPr>
              <w:t>Medie</w:t>
            </w:r>
          </w:p>
        </w:tc>
        <w:tc>
          <w:tcPr>
            <w:tcW w:w="1418"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F68DC8B" w14:textId="77777777" w:rsidR="00670FD4" w:rsidRPr="002508D3" w:rsidRDefault="00670FD4" w:rsidP="001925BA">
            <w:pPr>
              <w:spacing w:after="0"/>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4E17F37"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CN APM, MMAP, MCID (INCD-uri), ME (universități)</w:t>
            </w:r>
          </w:p>
        </w:tc>
        <w:tc>
          <w:tcPr>
            <w:tcW w:w="1701"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9DA15BB" w14:textId="77777777" w:rsidR="00670FD4" w:rsidRPr="00B165F8" w:rsidRDefault="00670FD4" w:rsidP="001925BA">
            <w:pPr>
              <w:spacing w:after="0" w:line="240" w:lineRule="auto"/>
              <w:ind w:firstLine="0"/>
              <w:rPr>
                <w:rFonts w:eastAsia="Times New Roman" w:cs="Times New Roman"/>
                <w:color w:val="000000"/>
                <w:sz w:val="20"/>
              </w:rPr>
            </w:pPr>
            <w:r w:rsidRPr="00B165F8">
              <w:rPr>
                <w:rFonts w:eastAsia="Times New Roman" w:cs="Times New Roman"/>
                <w:color w:val="000000"/>
                <w:sz w:val="20"/>
              </w:rPr>
              <w:t xml:space="preserve">Buget CN APM, PNCDI IV, </w:t>
            </w:r>
            <w:r>
              <w:rPr>
                <w:rFonts w:eastAsia="Times New Roman" w:cs="Times New Roman"/>
                <w:color w:val="000000"/>
                <w:sz w:val="20"/>
              </w:rPr>
              <w:t xml:space="preserve"> </w:t>
            </w:r>
            <w:r w:rsidRPr="00B165F8">
              <w:rPr>
                <w:rFonts w:eastAsia="Times New Roman" w:cs="Times New Roman"/>
                <w:color w:val="000000"/>
                <w:sz w:val="20"/>
              </w:rPr>
              <w:t>PNRR,</w:t>
            </w:r>
            <w:r w:rsidRPr="00B165F8">
              <w:rPr>
                <w:rFonts w:eastAsia="Times New Roman" w:cs="Times New Roman"/>
                <w:sz w:val="20"/>
              </w:rPr>
              <w:t xml:space="preserve"> </w:t>
            </w:r>
            <w:r w:rsidRPr="00B165F8">
              <w:rPr>
                <w:rFonts w:eastAsia="Times New Roman" w:cs="Times New Roman"/>
                <w:color w:val="000000"/>
                <w:sz w:val="20"/>
              </w:rPr>
              <w:t xml:space="preserve">Programul INTERREG EUROPE 2021-2027. </w:t>
            </w:r>
          </w:p>
        </w:tc>
      </w:tr>
      <w:tr w:rsidR="00670FD4" w14:paraId="59A810D2" w14:textId="77777777" w:rsidTr="001925BA">
        <w:trPr>
          <w:trHeight w:val="1690"/>
        </w:trPr>
        <w:tc>
          <w:tcPr>
            <w:tcW w:w="1892" w:type="dxa"/>
            <w:vMerge w:val="restart"/>
            <w:tcBorders>
              <w:top w:val="single" w:sz="4" w:space="0" w:color="auto"/>
              <w:left w:val="single" w:sz="4" w:space="0" w:color="000000"/>
              <w:right w:val="single" w:sz="4" w:space="0" w:color="auto"/>
            </w:tcBorders>
            <w:shd w:val="clear" w:color="auto" w:fill="auto"/>
            <w:tcMar>
              <w:top w:w="100" w:type="dxa"/>
              <w:left w:w="100" w:type="dxa"/>
              <w:bottom w:w="100" w:type="dxa"/>
              <w:right w:w="100" w:type="dxa"/>
            </w:tcMar>
          </w:tcPr>
          <w:p w14:paraId="122105E2" w14:textId="77777777" w:rsidR="00670FD4" w:rsidRDefault="00670FD4" w:rsidP="001925BA">
            <w:pPr>
              <w:spacing w:after="0" w:line="240" w:lineRule="auto"/>
              <w:ind w:hanging="37"/>
              <w:rPr>
                <w:rFonts w:eastAsia="Times New Roman" w:cs="Times New Roman"/>
                <w:sz w:val="20"/>
                <w:szCs w:val="20"/>
              </w:rPr>
            </w:pPr>
            <w:r>
              <w:rPr>
                <w:rFonts w:eastAsia="Times New Roman" w:cs="Times New Roman"/>
                <w:sz w:val="20"/>
                <w:szCs w:val="20"/>
              </w:rPr>
              <w:t xml:space="preserve">M7.11 Evaluarea potențialului de valorificare a resurselor energetice regenerabile din zonă: energia </w:t>
            </w:r>
            <w:r>
              <w:rPr>
                <w:rFonts w:eastAsia="Times New Roman" w:cs="Times New Roman"/>
                <w:sz w:val="20"/>
                <w:szCs w:val="20"/>
              </w:rPr>
              <w:lastRenderedPageBreak/>
              <w:t>eoliană, “inshore” și „offshore”, energia valurilor, fotovoltaică, etc.</w:t>
            </w:r>
          </w:p>
        </w:tc>
        <w:tc>
          <w:tcPr>
            <w:tcW w:w="2121" w:type="dxa"/>
            <w:vMerge w:val="restart"/>
            <w:tcBorders>
              <w:top w:val="single" w:sz="4" w:space="0" w:color="auto"/>
              <w:left w:val="single" w:sz="4" w:space="0" w:color="auto"/>
              <w:right w:val="single" w:sz="4" w:space="0" w:color="auto"/>
            </w:tcBorders>
          </w:tcPr>
          <w:p w14:paraId="17EB5D56" w14:textId="77777777" w:rsidR="00670FD4" w:rsidRPr="00DD49F4" w:rsidRDefault="00670FD4" w:rsidP="001925BA">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lastRenderedPageBreak/>
              <w:t>Os4.c Valorificarea resurselor energetice regenerabile;</w:t>
            </w:r>
          </w:p>
          <w:p w14:paraId="3B68627E" w14:textId="77777777" w:rsidR="00670FD4" w:rsidRDefault="00670FD4" w:rsidP="001925BA">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lastRenderedPageBreak/>
              <w:t>Os4.b Dezvoltarea “verde” a zonei costiere.</w:t>
            </w: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2E9742BB"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lastRenderedPageBreak/>
              <w:t>A 7.11.1 Elaborarea și implementarea de studii / proiecte pilot privind evaluarea potențialului de valorificare a energiei eoliene, energiei valurilor și fotovoltaice din zona costieră.</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BE7DA4B" w14:textId="77777777" w:rsidR="00670FD4" w:rsidRPr="002508D3" w:rsidRDefault="00670FD4" w:rsidP="001925BA">
            <w:pPr>
              <w:ind w:firstLine="0"/>
              <w:rPr>
                <w:rFonts w:eastAsia="Times New Roman" w:cs="Times New Roman"/>
                <w:color w:val="000000"/>
                <w:sz w:val="20"/>
                <w:szCs w:val="22"/>
              </w:rPr>
            </w:pPr>
            <w:r>
              <w:rPr>
                <w:rFonts w:eastAsia="Times New Roman" w:cs="Times New Roman"/>
                <w:color w:val="000000"/>
                <w:sz w:val="20"/>
                <w:szCs w:val="22"/>
              </w:rPr>
              <w:t xml:space="preserve">Foarte </w:t>
            </w: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8AE71B3" w14:textId="77777777" w:rsidR="00670FD4" w:rsidRPr="002508D3" w:rsidRDefault="00670FD4" w:rsidP="001925BA">
            <w:pPr>
              <w:ind w:firstLine="0"/>
              <w:rPr>
                <w:rFonts w:eastAsia="Times New Roman" w:cs="Times New Roman"/>
                <w:color w:val="000000"/>
                <w:sz w:val="20"/>
                <w:szCs w:val="20"/>
              </w:rPr>
            </w:pPr>
            <w:r w:rsidRPr="002508D3">
              <w:rPr>
                <w:rFonts w:eastAsia="Times New Roman" w:cs="Times New Roman"/>
                <w:color w:val="000000"/>
                <w:sz w:val="20"/>
                <w:szCs w:val="20"/>
              </w:rPr>
              <w:t>20</w:t>
            </w:r>
            <w:r>
              <w:rPr>
                <w:rFonts w:eastAsia="Times New Roman" w:cs="Times New Roman"/>
                <w:color w:val="000000"/>
                <w:sz w:val="20"/>
                <w:szCs w:val="20"/>
              </w:rPr>
              <w:t>25</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74C9CA5" w14:textId="77777777" w:rsidR="00670FD4" w:rsidRPr="00473248" w:rsidRDefault="00670FD4" w:rsidP="001925BA">
            <w:pPr>
              <w:ind w:firstLine="0"/>
              <w:rPr>
                <w:rFonts w:eastAsia="Times New Roman" w:cs="Times New Roman"/>
                <w:color w:val="000000"/>
                <w:sz w:val="20"/>
                <w:szCs w:val="20"/>
              </w:rPr>
            </w:pPr>
            <w:r w:rsidRPr="00473248">
              <w:rPr>
                <w:rFonts w:eastAsia="Times New Roman" w:cs="Times New Roman"/>
                <w:color w:val="000000"/>
                <w:sz w:val="20"/>
                <w:szCs w:val="20"/>
              </w:rPr>
              <w:t>M</w:t>
            </w:r>
            <w:r>
              <w:rPr>
                <w:rFonts w:eastAsia="Times New Roman" w:cs="Times New Roman"/>
                <w:color w:val="000000"/>
                <w:sz w:val="20"/>
                <w:szCs w:val="20"/>
              </w:rPr>
              <w:t>inisterul Energiei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1223DC2" w14:textId="77777777" w:rsidR="00670FD4" w:rsidRDefault="00670FD4" w:rsidP="001925BA">
            <w:pPr>
              <w:spacing w:line="240" w:lineRule="auto"/>
              <w:ind w:firstLine="0"/>
              <w:rPr>
                <w:rFonts w:eastAsia="Times New Roman" w:cs="Times New Roman"/>
                <w:color w:val="000000"/>
              </w:rPr>
            </w:pPr>
            <w:r w:rsidRPr="00135D14">
              <w:rPr>
                <w:rFonts w:eastAsia="Times New Roman" w:cs="Times New Roman"/>
                <w:color w:val="000000"/>
                <w:sz w:val="20"/>
                <w:szCs w:val="20"/>
              </w:rPr>
              <w:t>fonduri proprii Ministerul Energiei</w:t>
            </w:r>
            <w:r>
              <w:rPr>
                <w:rFonts w:eastAsia="Times New Roman" w:cs="Times New Roman"/>
                <w:color w:val="000000"/>
                <w:sz w:val="20"/>
                <w:szCs w:val="20"/>
              </w:rPr>
              <w:t xml:space="preserve">, </w:t>
            </w:r>
            <w:r w:rsidRPr="00494139">
              <w:rPr>
                <w:rFonts w:eastAsia="Times New Roman" w:cs="Times New Roman"/>
                <w:color w:val="000000"/>
                <w:sz w:val="20"/>
                <w:szCs w:val="20"/>
              </w:rPr>
              <w:t>Programul de Dezvoltare Durabilă</w:t>
            </w:r>
          </w:p>
        </w:tc>
      </w:tr>
      <w:tr w:rsidR="00670FD4" w14:paraId="286BF8B3" w14:textId="77777777" w:rsidTr="001925BA">
        <w:trPr>
          <w:trHeight w:val="144"/>
        </w:trPr>
        <w:tc>
          <w:tcPr>
            <w:tcW w:w="1892" w:type="dxa"/>
            <w:vMerge/>
            <w:tcBorders>
              <w:top w:val="single" w:sz="4" w:space="0" w:color="000000"/>
              <w:left w:val="single" w:sz="4" w:space="0" w:color="000000"/>
              <w:right w:val="single" w:sz="4" w:space="0" w:color="auto"/>
            </w:tcBorders>
            <w:shd w:val="clear" w:color="auto" w:fill="auto"/>
            <w:tcMar>
              <w:top w:w="100" w:type="dxa"/>
              <w:left w:w="100" w:type="dxa"/>
              <w:bottom w:w="100" w:type="dxa"/>
              <w:right w:w="100" w:type="dxa"/>
            </w:tcMar>
          </w:tcPr>
          <w:p w14:paraId="1F9A1DDC" w14:textId="77777777" w:rsidR="00670FD4" w:rsidRDefault="00670FD4" w:rsidP="001925BA">
            <w:pPr>
              <w:widowControl w:val="0"/>
              <w:pBdr>
                <w:top w:val="nil"/>
                <w:left w:val="nil"/>
                <w:bottom w:val="nil"/>
                <w:right w:val="nil"/>
                <w:between w:val="nil"/>
              </w:pBdr>
              <w:spacing w:after="0"/>
              <w:ind w:hanging="37"/>
              <w:rPr>
                <w:rFonts w:eastAsia="Times New Roman" w:cs="Times New Roman"/>
                <w:color w:val="000000"/>
              </w:rPr>
            </w:pPr>
          </w:p>
        </w:tc>
        <w:tc>
          <w:tcPr>
            <w:tcW w:w="2121" w:type="dxa"/>
            <w:vMerge/>
            <w:tcBorders>
              <w:left w:val="single" w:sz="4" w:space="0" w:color="auto"/>
              <w:right w:val="single" w:sz="4" w:space="0" w:color="auto"/>
            </w:tcBorders>
          </w:tcPr>
          <w:p w14:paraId="76784507"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7EFD2203"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7.11.2 Realizarea de campanii pentru susţinerea şi promovarea producţiei de energie din surse alternative, regenerabile şi nepoluante</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00ED2B0" w14:textId="77777777" w:rsidR="00670FD4" w:rsidRPr="002508D3" w:rsidRDefault="00670FD4" w:rsidP="001925BA">
            <w:pPr>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3B57EAE" w14:textId="77777777" w:rsidR="00670FD4" w:rsidRPr="002508D3" w:rsidRDefault="00670FD4" w:rsidP="001925BA">
            <w:pPr>
              <w:ind w:firstLine="0"/>
              <w:rPr>
                <w:rFonts w:eastAsia="Times New Roman" w:cs="Times New Roman"/>
                <w:color w:val="000000"/>
                <w:sz w:val="20"/>
                <w:szCs w:val="20"/>
              </w:rPr>
            </w:pPr>
            <w:r w:rsidRPr="002508D3">
              <w:rPr>
                <w:rFonts w:eastAsia="Times New Roman" w:cs="Times New Roman"/>
                <w:color w:val="000000"/>
                <w:sz w:val="20"/>
                <w:szCs w:val="20"/>
              </w:rPr>
              <w:t>20</w:t>
            </w:r>
            <w:r>
              <w:rPr>
                <w:rFonts w:eastAsia="Times New Roman" w:cs="Times New Roman"/>
                <w:color w:val="000000"/>
                <w:sz w:val="20"/>
                <w:szCs w:val="20"/>
              </w:rPr>
              <w:t>27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4C9C3C2" w14:textId="77777777" w:rsidR="00670FD4" w:rsidRPr="00473248"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Ministerul Energiei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B67CE8F"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 xml:space="preserve">fonduri proprii </w:t>
            </w:r>
            <w:r w:rsidRPr="00135D14">
              <w:rPr>
                <w:rFonts w:eastAsia="Times New Roman" w:cs="Times New Roman"/>
                <w:color w:val="000000"/>
                <w:sz w:val="20"/>
                <w:szCs w:val="20"/>
              </w:rPr>
              <w:t>Ministerul Energiei</w:t>
            </w:r>
            <w:r>
              <w:rPr>
                <w:rFonts w:eastAsia="Times New Roman" w:cs="Times New Roman"/>
                <w:color w:val="000000"/>
                <w:sz w:val="20"/>
                <w:szCs w:val="20"/>
              </w:rPr>
              <w:t>, parteneriate public-privat</w:t>
            </w:r>
          </w:p>
        </w:tc>
      </w:tr>
      <w:tr w:rsidR="00670FD4" w14:paraId="48C59A9D" w14:textId="77777777" w:rsidTr="001925BA">
        <w:trPr>
          <w:trHeight w:val="144"/>
        </w:trPr>
        <w:tc>
          <w:tcPr>
            <w:tcW w:w="1892"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5130C012" w14:textId="77777777" w:rsidR="00670FD4" w:rsidRDefault="00670FD4" w:rsidP="001925BA">
            <w:pPr>
              <w:widowControl w:val="0"/>
              <w:pBdr>
                <w:top w:val="nil"/>
                <w:left w:val="nil"/>
                <w:bottom w:val="nil"/>
                <w:right w:val="nil"/>
                <w:between w:val="nil"/>
              </w:pBdr>
              <w:spacing w:after="0"/>
              <w:ind w:hanging="37"/>
              <w:rPr>
                <w:rFonts w:eastAsia="Times New Roman" w:cs="Times New Roman"/>
                <w:color w:val="000000"/>
                <w:sz w:val="20"/>
                <w:szCs w:val="20"/>
              </w:rPr>
            </w:pPr>
          </w:p>
        </w:tc>
        <w:tc>
          <w:tcPr>
            <w:tcW w:w="2121" w:type="dxa"/>
            <w:vMerge/>
            <w:tcBorders>
              <w:left w:val="single" w:sz="4" w:space="0" w:color="auto"/>
              <w:bottom w:val="single" w:sz="4" w:space="0" w:color="auto"/>
              <w:right w:val="single" w:sz="4" w:space="0" w:color="auto"/>
            </w:tcBorders>
          </w:tcPr>
          <w:p w14:paraId="56455299"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3C7E8C2D"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7.11.3 Sprijinirea instituțiilor și infrastructurilor de cercetare-dezvoltare de interes național și European pentru studierea resurselor energetice regenerabile</w:t>
            </w:r>
          </w:p>
        </w:tc>
        <w:tc>
          <w:tcPr>
            <w:tcW w:w="1277"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5DD476F5" w14:textId="77777777" w:rsidR="00670FD4" w:rsidRPr="002508D3" w:rsidRDefault="00670FD4" w:rsidP="001925BA">
            <w:pPr>
              <w:ind w:firstLine="0"/>
              <w:rPr>
                <w:rFonts w:eastAsia="Times New Roman" w:cs="Times New Roman"/>
                <w:color w:val="000000"/>
                <w:sz w:val="20"/>
                <w:szCs w:val="22"/>
              </w:rPr>
            </w:pPr>
            <w:r>
              <w:rPr>
                <w:rFonts w:eastAsia="Times New Roman" w:cs="Times New Roman"/>
                <w:color w:val="000000"/>
                <w:sz w:val="20"/>
                <w:szCs w:val="22"/>
              </w:rPr>
              <w:t>Ridicat</w:t>
            </w:r>
            <w:r w:rsidRPr="00BB6311">
              <w:rPr>
                <w:rFonts w:eastAsia="Times New Roman" w:cs="Times New Roman"/>
                <w:color w:val="000000"/>
                <w:sz w:val="20"/>
                <w:szCs w:val="22"/>
              </w:rPr>
              <w:t>ă</w:t>
            </w:r>
          </w:p>
        </w:tc>
        <w:tc>
          <w:tcPr>
            <w:tcW w:w="1418"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3AE48253" w14:textId="77777777" w:rsidR="00670FD4" w:rsidRPr="002508D3" w:rsidRDefault="00670FD4" w:rsidP="001925BA">
            <w:pPr>
              <w:ind w:firstLine="0"/>
              <w:rPr>
                <w:rFonts w:eastAsia="Times New Roman" w:cs="Times New Roman"/>
                <w:color w:val="000000"/>
                <w:sz w:val="20"/>
                <w:szCs w:val="20"/>
              </w:rPr>
            </w:pPr>
            <w:r w:rsidRPr="002508D3">
              <w:rPr>
                <w:rFonts w:eastAsia="Times New Roman" w:cs="Times New Roman"/>
                <w:color w:val="000000"/>
                <w:sz w:val="20"/>
                <w:szCs w:val="20"/>
              </w:rPr>
              <w:t>20</w:t>
            </w:r>
            <w:r>
              <w:rPr>
                <w:rFonts w:eastAsia="Times New Roman" w:cs="Times New Roman"/>
                <w:color w:val="000000"/>
                <w:sz w:val="20"/>
                <w:szCs w:val="20"/>
              </w:rPr>
              <w:t>27</w:t>
            </w:r>
          </w:p>
        </w:tc>
        <w:tc>
          <w:tcPr>
            <w:tcW w:w="1419"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6B688483"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w:t>
            </w:r>
            <w:r>
              <w:rPr>
                <w:rFonts w:eastAsia="Times New Roman" w:cs="Times New Roman"/>
                <w:color w:val="000000"/>
                <w:sz w:val="20"/>
                <w:szCs w:val="20"/>
              </w:rPr>
              <w:t>inisterul Energiei</w:t>
            </w:r>
            <w:r w:rsidRPr="00473248">
              <w:rPr>
                <w:rFonts w:eastAsia="Times New Roman" w:cs="Times New Roman"/>
                <w:color w:val="000000"/>
                <w:sz w:val="20"/>
                <w:szCs w:val="20"/>
              </w:rPr>
              <w:t>, MCID (INCD-uri), ME (departamente de cercetare din universități)</w:t>
            </w:r>
          </w:p>
        </w:tc>
        <w:tc>
          <w:tcPr>
            <w:tcW w:w="1701"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23B0980B"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fonduri proprii Ministerul Energiei, parteneriate public-privat, PNRR, Programul INTERREG EUROPE 2021-2027, REPowerEU, Horizon Europe </w:t>
            </w:r>
          </w:p>
        </w:tc>
      </w:tr>
      <w:tr w:rsidR="00670FD4" w14:paraId="3B62BCCE" w14:textId="77777777" w:rsidTr="001925BA">
        <w:trPr>
          <w:trHeight w:val="1266"/>
        </w:trPr>
        <w:tc>
          <w:tcPr>
            <w:tcW w:w="1892" w:type="dxa"/>
            <w:vMerge w:val="restart"/>
            <w:tcBorders>
              <w:top w:val="single" w:sz="4" w:space="0" w:color="auto"/>
              <w:left w:val="single" w:sz="4" w:space="0" w:color="000000"/>
              <w:right w:val="single" w:sz="4" w:space="0" w:color="auto"/>
            </w:tcBorders>
            <w:shd w:val="clear" w:color="auto" w:fill="auto"/>
            <w:tcMar>
              <w:top w:w="100" w:type="dxa"/>
              <w:left w:w="100" w:type="dxa"/>
              <w:bottom w:w="100" w:type="dxa"/>
              <w:right w:w="100" w:type="dxa"/>
            </w:tcMar>
          </w:tcPr>
          <w:p w14:paraId="5FC950D9" w14:textId="77777777" w:rsidR="00670FD4" w:rsidRDefault="00670FD4" w:rsidP="001925BA">
            <w:pPr>
              <w:spacing w:after="0" w:line="240" w:lineRule="auto"/>
              <w:ind w:hanging="37"/>
              <w:rPr>
                <w:rFonts w:eastAsia="Times New Roman" w:cs="Times New Roman"/>
                <w:sz w:val="20"/>
                <w:szCs w:val="20"/>
              </w:rPr>
            </w:pPr>
            <w:r>
              <w:rPr>
                <w:rFonts w:eastAsia="Times New Roman" w:cs="Times New Roman"/>
                <w:sz w:val="20"/>
                <w:szCs w:val="20"/>
              </w:rPr>
              <w:t>M7.12 Susținerea și dezvoltarea de noi instrumente pentru transferul cunoștințelor din cercetare spre business în sectoarele Economiei Albastre</w:t>
            </w:r>
          </w:p>
        </w:tc>
        <w:tc>
          <w:tcPr>
            <w:tcW w:w="2121" w:type="dxa"/>
            <w:vMerge w:val="restart"/>
            <w:tcBorders>
              <w:top w:val="single" w:sz="4" w:space="0" w:color="auto"/>
              <w:left w:val="single" w:sz="4" w:space="0" w:color="auto"/>
              <w:right w:val="single" w:sz="4" w:space="0" w:color="auto"/>
            </w:tcBorders>
          </w:tcPr>
          <w:p w14:paraId="492F908A" w14:textId="77777777" w:rsidR="00670FD4" w:rsidRDefault="00670FD4" w:rsidP="001925BA">
            <w:pPr>
              <w:spacing w:after="0" w:line="240" w:lineRule="auto"/>
              <w:ind w:firstLine="48"/>
              <w:rPr>
                <w:rFonts w:eastAsia="Times New Roman" w:cs="Times New Roman"/>
                <w:color w:val="000000"/>
                <w:sz w:val="20"/>
                <w:szCs w:val="20"/>
              </w:rPr>
            </w:pPr>
            <w:r w:rsidRPr="00DD49F4">
              <w:rPr>
                <w:rFonts w:eastAsia="Times New Roman" w:cs="Times New Roman"/>
                <w:color w:val="000000"/>
                <w:sz w:val="20"/>
                <w:szCs w:val="20"/>
              </w:rPr>
              <w:t>Os4.d. Atragerea investițiilor în biotehnologii pentru recuperarea, remedierea, îmbunătățirea sănătății umane și a mediului, în acord cu strategiile europene de promovare a Economiei Albastre și de atingere a obiectivelor Pactului Verde European și a Strategiei de la Ferma direct în Farfurie</w:t>
            </w:r>
          </w:p>
        </w:tc>
        <w:tc>
          <w:tcPr>
            <w:tcW w:w="4254"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40C8D3B4"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7.12.1 Intensificarea finanțării cercetării-inovării, în special prin implementarea platformelor de parteneriate între autorități locale, mediu de afaceri, universități și institute de cercetare, precum și a unor HUB-uri/platforme naṭionale de inovare orientate pe Blue Economy</w:t>
            </w:r>
          </w:p>
        </w:tc>
        <w:tc>
          <w:tcPr>
            <w:tcW w:w="1277"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36E647F" w14:textId="77777777" w:rsidR="00670FD4" w:rsidRPr="002508D3" w:rsidRDefault="00670FD4" w:rsidP="001925BA">
            <w:pPr>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D12609C" w14:textId="77777777" w:rsidR="00670FD4" w:rsidRPr="002508D3" w:rsidRDefault="00670FD4" w:rsidP="001925BA">
            <w:pPr>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vMerge w:val="restart"/>
            <w:tcBorders>
              <w:top w:val="single" w:sz="4" w:space="0" w:color="auto"/>
              <w:left w:val="single" w:sz="4" w:space="0" w:color="000000"/>
              <w:right w:val="single" w:sz="4" w:space="0" w:color="000000"/>
            </w:tcBorders>
            <w:shd w:val="clear" w:color="auto" w:fill="auto"/>
            <w:tcMar>
              <w:top w:w="0" w:type="dxa"/>
              <w:left w:w="100" w:type="dxa"/>
              <w:bottom w:w="0" w:type="dxa"/>
              <w:right w:w="100" w:type="dxa"/>
            </w:tcMar>
          </w:tcPr>
          <w:p w14:paraId="75111FE7" w14:textId="77777777" w:rsidR="00670FD4" w:rsidRPr="00473248" w:rsidRDefault="00670FD4" w:rsidP="001925BA">
            <w:pPr>
              <w:spacing w:after="0" w:line="240" w:lineRule="auto"/>
              <w:ind w:firstLine="0"/>
              <w:rPr>
                <w:rFonts w:eastAsia="Times New Roman" w:cs="Times New Roman"/>
                <w:color w:val="000000"/>
                <w:sz w:val="20"/>
                <w:szCs w:val="20"/>
              </w:rPr>
            </w:pPr>
            <w:r w:rsidRPr="00473248">
              <w:rPr>
                <w:rFonts w:eastAsia="Times New Roman" w:cs="Times New Roman"/>
                <w:sz w:val="20"/>
                <w:szCs w:val="20"/>
              </w:rPr>
              <w:t>MCID, Academia Română, ME (universități)</w:t>
            </w:r>
          </w:p>
        </w:tc>
        <w:tc>
          <w:tcPr>
            <w:tcW w:w="1701" w:type="dxa"/>
            <w:vMerge w:val="restart"/>
            <w:tcBorders>
              <w:top w:val="single" w:sz="4" w:space="0" w:color="auto"/>
              <w:left w:val="single" w:sz="4" w:space="0" w:color="000000"/>
              <w:right w:val="single" w:sz="4" w:space="0" w:color="000000"/>
            </w:tcBorders>
            <w:shd w:val="clear" w:color="auto" w:fill="auto"/>
            <w:tcMar>
              <w:top w:w="0" w:type="dxa"/>
              <w:left w:w="100" w:type="dxa"/>
              <w:bottom w:w="0" w:type="dxa"/>
              <w:right w:w="100" w:type="dxa"/>
            </w:tcMar>
          </w:tcPr>
          <w:p w14:paraId="2D01DC07"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sz w:val="20"/>
                <w:szCs w:val="20"/>
              </w:rPr>
              <w:t>PNCDI IV</w:t>
            </w:r>
          </w:p>
        </w:tc>
      </w:tr>
      <w:tr w:rsidR="00670FD4" w14:paraId="458F8E7C" w14:textId="77777777" w:rsidTr="001925BA">
        <w:trPr>
          <w:trHeight w:val="504"/>
        </w:trPr>
        <w:tc>
          <w:tcPr>
            <w:tcW w:w="1892" w:type="dxa"/>
            <w:vMerge/>
            <w:tcBorders>
              <w:top w:val="single" w:sz="4" w:space="0" w:color="000000"/>
              <w:left w:val="single" w:sz="4" w:space="0" w:color="000000"/>
              <w:bottom w:val="single" w:sz="4" w:space="0" w:color="000000"/>
              <w:right w:val="single" w:sz="4" w:space="0" w:color="auto"/>
            </w:tcBorders>
            <w:shd w:val="clear" w:color="auto" w:fill="auto"/>
            <w:tcMar>
              <w:top w:w="100" w:type="dxa"/>
              <w:left w:w="100" w:type="dxa"/>
              <w:bottom w:w="100" w:type="dxa"/>
              <w:right w:w="100" w:type="dxa"/>
            </w:tcMar>
          </w:tcPr>
          <w:p w14:paraId="55F1F085" w14:textId="77777777" w:rsidR="00670FD4" w:rsidRDefault="00670FD4" w:rsidP="001925BA">
            <w:pPr>
              <w:widowControl w:val="0"/>
              <w:pBdr>
                <w:top w:val="nil"/>
                <w:left w:val="nil"/>
                <w:bottom w:val="nil"/>
                <w:right w:val="nil"/>
                <w:between w:val="nil"/>
              </w:pBdr>
              <w:spacing w:after="0"/>
              <w:ind w:hanging="37"/>
              <w:rPr>
                <w:rFonts w:eastAsia="Times New Roman" w:cs="Times New Roman"/>
                <w:color w:val="000000"/>
                <w:sz w:val="20"/>
                <w:szCs w:val="20"/>
              </w:rPr>
            </w:pPr>
          </w:p>
        </w:tc>
        <w:tc>
          <w:tcPr>
            <w:tcW w:w="2121" w:type="dxa"/>
            <w:vMerge/>
            <w:tcBorders>
              <w:left w:val="single" w:sz="4" w:space="0" w:color="auto"/>
              <w:bottom w:val="single" w:sz="4" w:space="0" w:color="auto"/>
              <w:right w:val="single" w:sz="4" w:space="0" w:color="auto"/>
            </w:tcBorders>
          </w:tcPr>
          <w:p w14:paraId="3DA4F54F" w14:textId="77777777" w:rsidR="00670FD4" w:rsidRDefault="00670FD4" w:rsidP="001925BA">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7C63AD1D"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7.12.2 Dezvoltarea mecanismelor de valorificare rezultatelor cercetării prin transfer tehnologic</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6F53470" w14:textId="77777777" w:rsidR="00670FD4" w:rsidRPr="002508D3" w:rsidRDefault="00670FD4" w:rsidP="001925BA">
            <w:pPr>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7E96CC0" w14:textId="77777777" w:rsidR="00670FD4" w:rsidRPr="002508D3" w:rsidRDefault="00670FD4" w:rsidP="001925BA">
            <w:pPr>
              <w:ind w:firstLine="0"/>
              <w:rPr>
                <w:rFonts w:eastAsia="Times New Roman" w:cs="Times New Roman"/>
                <w:color w:val="000000"/>
                <w:sz w:val="20"/>
                <w:szCs w:val="20"/>
              </w:rPr>
            </w:pPr>
            <w:r w:rsidRPr="002508D3">
              <w:rPr>
                <w:rFonts w:eastAsia="Times New Roman" w:cs="Times New Roman"/>
                <w:color w:val="000000"/>
                <w:sz w:val="20"/>
                <w:szCs w:val="20"/>
              </w:rPr>
              <w:t>2027</w:t>
            </w:r>
          </w:p>
        </w:tc>
        <w:tc>
          <w:tcPr>
            <w:tcW w:w="141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0FDE734" w14:textId="77777777" w:rsidR="00670FD4" w:rsidRPr="00473248" w:rsidRDefault="00670FD4" w:rsidP="001925BA">
            <w:pPr>
              <w:widowControl w:val="0"/>
              <w:pBdr>
                <w:top w:val="nil"/>
                <w:left w:val="nil"/>
                <w:bottom w:val="nil"/>
                <w:right w:val="nil"/>
                <w:between w:val="nil"/>
              </w:pBdr>
              <w:spacing w:after="0"/>
              <w:ind w:firstLine="0"/>
              <w:rPr>
                <w:rFonts w:eastAsia="Times New Roman" w:cs="Times New Roman"/>
                <w:color w:val="000000"/>
                <w:sz w:val="20"/>
                <w:szCs w:val="20"/>
              </w:rPr>
            </w:pPr>
          </w:p>
        </w:tc>
        <w:tc>
          <w:tcPr>
            <w:tcW w:w="170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79B8D7C" w14:textId="77777777" w:rsidR="00670FD4" w:rsidRDefault="00670FD4" w:rsidP="001925BA">
            <w:pPr>
              <w:widowControl w:val="0"/>
              <w:pBdr>
                <w:top w:val="nil"/>
                <w:left w:val="nil"/>
                <w:bottom w:val="nil"/>
                <w:right w:val="nil"/>
                <w:between w:val="nil"/>
              </w:pBdr>
              <w:spacing w:after="0"/>
              <w:ind w:firstLine="0"/>
              <w:rPr>
                <w:rFonts w:eastAsia="Times New Roman" w:cs="Times New Roman"/>
                <w:color w:val="000000"/>
              </w:rPr>
            </w:pPr>
          </w:p>
        </w:tc>
      </w:tr>
      <w:tr w:rsidR="00670FD4" w14:paraId="5C2CBF98" w14:textId="77777777" w:rsidTr="001925BA">
        <w:trPr>
          <w:trHeight w:val="420"/>
        </w:trPr>
        <w:tc>
          <w:tcPr>
            <w:tcW w:w="1892" w:type="dxa"/>
            <w:vMerge w:val="restart"/>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2F5A0CFB" w14:textId="77777777" w:rsidR="00670FD4" w:rsidRDefault="00670FD4" w:rsidP="001925BA">
            <w:pPr>
              <w:ind w:hanging="37"/>
              <w:rPr>
                <w:rFonts w:eastAsia="Times New Roman" w:cs="Times New Roman"/>
              </w:rPr>
            </w:pPr>
            <w:r>
              <w:rPr>
                <w:rFonts w:eastAsia="Times New Roman" w:cs="Times New Roman"/>
                <w:sz w:val="20"/>
                <w:szCs w:val="20"/>
              </w:rPr>
              <w:t>M7.13 Consolidarea infrastructurii antreprenoriale locale</w:t>
            </w:r>
          </w:p>
        </w:tc>
        <w:tc>
          <w:tcPr>
            <w:tcW w:w="2121" w:type="dxa"/>
            <w:vMerge w:val="restart"/>
            <w:tcBorders>
              <w:top w:val="single" w:sz="4" w:space="0" w:color="auto"/>
              <w:left w:val="single" w:sz="4" w:space="0" w:color="auto"/>
              <w:bottom w:val="single" w:sz="4" w:space="0" w:color="auto"/>
              <w:right w:val="single" w:sz="4" w:space="0" w:color="auto"/>
            </w:tcBorders>
          </w:tcPr>
          <w:p w14:paraId="2CB0BC2C" w14:textId="77777777" w:rsidR="00670FD4" w:rsidRPr="00DD49F4" w:rsidRDefault="00670FD4" w:rsidP="001925BA">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Os4.b Dezvoltarea “verde” a zonei costiere;</w:t>
            </w:r>
          </w:p>
          <w:p w14:paraId="132FA64D" w14:textId="77777777" w:rsidR="00670FD4" w:rsidRPr="00DD49F4" w:rsidRDefault="00670FD4" w:rsidP="001925BA">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 xml:space="preserve"> Os2.c Stimularea dezvoltării infrastructurii verzi;</w:t>
            </w:r>
          </w:p>
          <w:p w14:paraId="260B81EF" w14:textId="77777777" w:rsidR="00670FD4" w:rsidRDefault="00670FD4" w:rsidP="001925BA">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Os6.b Creșterea gradului de conștientizare cu privire la necesitatea de a păstra și îmbunătăți resursele zonei de coastă.</w:t>
            </w:r>
          </w:p>
        </w:tc>
        <w:tc>
          <w:tcPr>
            <w:tcW w:w="4254" w:type="dxa"/>
            <w:tcBorders>
              <w:top w:val="single" w:sz="4" w:space="0" w:color="000000"/>
              <w:left w:val="single" w:sz="4" w:space="0" w:color="auto"/>
              <w:bottom w:val="single" w:sz="4" w:space="0" w:color="auto"/>
              <w:right w:val="single" w:sz="4" w:space="0" w:color="000000"/>
            </w:tcBorders>
            <w:tcMar>
              <w:top w:w="0" w:type="dxa"/>
              <w:left w:w="100" w:type="dxa"/>
              <w:bottom w:w="0" w:type="dxa"/>
              <w:right w:w="100" w:type="dxa"/>
            </w:tcMar>
          </w:tcPr>
          <w:p w14:paraId="22847CE0"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7.13.1 Organizarea de cursuri pentru specializarea trainerilor</w:t>
            </w:r>
          </w:p>
        </w:tc>
        <w:tc>
          <w:tcPr>
            <w:tcW w:w="1277" w:type="dxa"/>
            <w:tcBorders>
              <w:top w:val="single" w:sz="4" w:space="0" w:color="000000"/>
              <w:left w:val="single" w:sz="4" w:space="0" w:color="000000"/>
              <w:bottom w:val="single" w:sz="4" w:space="0" w:color="auto"/>
              <w:right w:val="single" w:sz="4" w:space="0" w:color="000000"/>
            </w:tcBorders>
            <w:tcMar>
              <w:top w:w="0" w:type="dxa"/>
              <w:left w:w="100" w:type="dxa"/>
              <w:bottom w:w="0" w:type="dxa"/>
              <w:right w:w="100" w:type="dxa"/>
            </w:tcMar>
          </w:tcPr>
          <w:p w14:paraId="4FB7690D" w14:textId="77777777" w:rsidR="00670FD4" w:rsidRPr="002508D3" w:rsidRDefault="00670FD4" w:rsidP="001925BA">
            <w:pPr>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auto"/>
              <w:right w:val="single" w:sz="4" w:space="0" w:color="000000"/>
            </w:tcBorders>
            <w:tcMar>
              <w:top w:w="0" w:type="dxa"/>
              <w:left w:w="100" w:type="dxa"/>
              <w:bottom w:w="0" w:type="dxa"/>
              <w:right w:w="100" w:type="dxa"/>
            </w:tcMar>
          </w:tcPr>
          <w:p w14:paraId="4A460318" w14:textId="77777777" w:rsidR="00670FD4" w:rsidRPr="002508D3" w:rsidRDefault="00670FD4" w:rsidP="001925BA">
            <w:pPr>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vMerge w:val="restart"/>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7AF194B8" w14:textId="77777777" w:rsidR="00670FD4" w:rsidRPr="00473248" w:rsidRDefault="00670FD4" w:rsidP="001925BA">
            <w:pPr>
              <w:spacing w:after="240"/>
              <w:ind w:firstLine="0"/>
              <w:rPr>
                <w:rFonts w:eastAsia="Times New Roman" w:cs="Times New Roman"/>
                <w:sz w:val="20"/>
                <w:szCs w:val="20"/>
              </w:rPr>
            </w:pPr>
          </w:p>
          <w:p w14:paraId="20E3515B" w14:textId="77777777" w:rsidR="00670FD4" w:rsidRPr="00473248" w:rsidRDefault="00670FD4" w:rsidP="001925BA">
            <w:pPr>
              <w:spacing w:after="240"/>
              <w:ind w:firstLine="0"/>
              <w:rPr>
                <w:rFonts w:eastAsia="Times New Roman" w:cs="Times New Roman"/>
                <w:sz w:val="20"/>
                <w:szCs w:val="20"/>
              </w:rPr>
            </w:pPr>
          </w:p>
          <w:p w14:paraId="4BB4C2EF" w14:textId="77777777" w:rsidR="00670FD4" w:rsidRPr="00473248" w:rsidRDefault="00670FD4" w:rsidP="001925BA">
            <w:pPr>
              <w:ind w:firstLine="0"/>
              <w:rPr>
                <w:rFonts w:eastAsia="Times New Roman" w:cs="Times New Roman"/>
                <w:color w:val="000000"/>
                <w:sz w:val="20"/>
                <w:szCs w:val="20"/>
              </w:rPr>
            </w:pPr>
          </w:p>
          <w:p w14:paraId="70A73179" w14:textId="77777777" w:rsidR="00670FD4" w:rsidRPr="00473248" w:rsidRDefault="00670FD4" w:rsidP="001925BA">
            <w:pPr>
              <w:ind w:firstLine="0"/>
              <w:rPr>
                <w:rFonts w:eastAsia="Times New Roman" w:cs="Times New Roman"/>
                <w:color w:val="000000"/>
                <w:sz w:val="20"/>
                <w:szCs w:val="20"/>
              </w:rPr>
            </w:pPr>
            <w:r w:rsidRPr="00473248">
              <w:rPr>
                <w:rFonts w:eastAsia="Times New Roman" w:cs="Times New Roman"/>
                <w:color w:val="000000"/>
                <w:sz w:val="20"/>
                <w:szCs w:val="20"/>
              </w:rPr>
              <w:t>MEAT</w:t>
            </w:r>
          </w:p>
        </w:tc>
        <w:tc>
          <w:tcPr>
            <w:tcW w:w="1701" w:type="dxa"/>
            <w:vMerge w:val="restart"/>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5921E950" w14:textId="77777777" w:rsidR="00670FD4" w:rsidRDefault="00670FD4" w:rsidP="001925BA">
            <w:pPr>
              <w:ind w:firstLine="0"/>
              <w:rPr>
                <w:rFonts w:eastAsia="Times New Roman" w:cs="Times New Roman"/>
                <w:color w:val="000000"/>
              </w:rPr>
            </w:pPr>
          </w:p>
          <w:p w14:paraId="050093BC" w14:textId="77777777" w:rsidR="00670FD4" w:rsidRDefault="00670FD4" w:rsidP="001925BA">
            <w:pPr>
              <w:ind w:firstLine="0"/>
              <w:rPr>
                <w:rFonts w:eastAsia="Times New Roman" w:cs="Times New Roman"/>
                <w:color w:val="000000"/>
              </w:rPr>
            </w:pPr>
          </w:p>
          <w:p w14:paraId="02303578" w14:textId="77777777" w:rsidR="00670FD4" w:rsidRPr="00B165F8" w:rsidRDefault="00670FD4" w:rsidP="001925BA">
            <w:pPr>
              <w:ind w:firstLine="0"/>
              <w:rPr>
                <w:rFonts w:eastAsia="Times New Roman" w:cs="Times New Roman"/>
                <w:color w:val="000000"/>
                <w:sz w:val="20"/>
              </w:rPr>
            </w:pPr>
          </w:p>
          <w:p w14:paraId="0E7FE97B" w14:textId="77777777" w:rsidR="00670FD4" w:rsidRPr="00135D14" w:rsidRDefault="00670FD4" w:rsidP="001925BA">
            <w:pPr>
              <w:spacing w:line="240" w:lineRule="auto"/>
              <w:ind w:firstLine="0"/>
              <w:rPr>
                <w:rFonts w:eastAsia="Times New Roman" w:cs="Times New Roman"/>
                <w:color w:val="000000"/>
                <w:sz w:val="20"/>
                <w:szCs w:val="20"/>
              </w:rPr>
            </w:pPr>
            <w:r w:rsidRPr="00135D14">
              <w:rPr>
                <w:rFonts w:eastAsia="Times New Roman" w:cs="Times New Roman"/>
                <w:color w:val="000000"/>
                <w:sz w:val="20"/>
                <w:szCs w:val="20"/>
              </w:rPr>
              <w:t>Programul Educație și Formare, programul InvestEu, programul INTERREG EUROPE 2021-2027, buget propriu MEAT</w:t>
            </w:r>
          </w:p>
        </w:tc>
      </w:tr>
      <w:tr w:rsidR="00670FD4" w14:paraId="56FF30EB" w14:textId="77777777" w:rsidTr="001925BA">
        <w:trPr>
          <w:trHeight w:val="420"/>
        </w:trPr>
        <w:tc>
          <w:tcPr>
            <w:tcW w:w="1892" w:type="dxa"/>
            <w:vMerge/>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3BBF05A2" w14:textId="77777777" w:rsidR="00670FD4" w:rsidRDefault="00670FD4" w:rsidP="001925BA">
            <w:pPr>
              <w:widowControl w:val="0"/>
              <w:pBdr>
                <w:top w:val="nil"/>
                <w:left w:val="nil"/>
                <w:bottom w:val="nil"/>
                <w:right w:val="nil"/>
                <w:between w:val="nil"/>
              </w:pBdr>
              <w:spacing w:after="0"/>
              <w:rPr>
                <w:rFonts w:eastAsia="Times New Roman" w:cs="Times New Roman"/>
                <w:color w:val="000000"/>
              </w:rPr>
            </w:pPr>
          </w:p>
        </w:tc>
        <w:tc>
          <w:tcPr>
            <w:tcW w:w="2121" w:type="dxa"/>
            <w:vMerge/>
            <w:tcBorders>
              <w:top w:val="single" w:sz="4" w:space="0" w:color="auto"/>
              <w:left w:val="single" w:sz="4" w:space="0" w:color="auto"/>
              <w:bottom w:val="single" w:sz="4" w:space="0" w:color="auto"/>
              <w:right w:val="single" w:sz="4" w:space="0" w:color="auto"/>
            </w:tcBorders>
          </w:tcPr>
          <w:p w14:paraId="2A47E268" w14:textId="77777777" w:rsidR="00670FD4" w:rsidRDefault="00670FD4" w:rsidP="001925BA">
            <w:pPr>
              <w:pBdr>
                <w:top w:val="nil"/>
                <w:left w:val="nil"/>
                <w:bottom w:val="nil"/>
                <w:right w:val="nil"/>
                <w:between w:val="nil"/>
              </w:pBdr>
              <w:spacing w:after="0" w:line="240" w:lineRule="auto"/>
              <w:rPr>
                <w:rFonts w:eastAsia="Times New Roman" w:cs="Times New Roman"/>
                <w:color w:val="000000"/>
                <w:sz w:val="20"/>
                <w:szCs w:val="20"/>
              </w:rPr>
            </w:pPr>
          </w:p>
        </w:tc>
        <w:tc>
          <w:tcPr>
            <w:tcW w:w="4254" w:type="dxa"/>
            <w:tcBorders>
              <w:top w:val="single" w:sz="4" w:space="0" w:color="auto"/>
              <w:left w:val="single" w:sz="4" w:space="0" w:color="auto"/>
              <w:bottom w:val="single" w:sz="4" w:space="0" w:color="auto"/>
              <w:right w:val="single" w:sz="4" w:space="0" w:color="000000"/>
            </w:tcBorders>
            <w:tcMar>
              <w:top w:w="0" w:type="dxa"/>
              <w:left w:w="100" w:type="dxa"/>
              <w:bottom w:w="0" w:type="dxa"/>
              <w:right w:w="100" w:type="dxa"/>
            </w:tcMar>
          </w:tcPr>
          <w:p w14:paraId="22C57F5B" w14:textId="77777777" w:rsidR="00670FD4" w:rsidRDefault="00670FD4" w:rsidP="001925BA">
            <w:pPr>
              <w:pBdr>
                <w:top w:val="nil"/>
                <w:left w:val="nil"/>
                <w:bottom w:val="nil"/>
                <w:right w:val="nil"/>
                <w:between w:val="nil"/>
              </w:pBd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7.13.2 Implementarea programelor de asistență /suport pentru antreprenori și ceilalți actori implicați în dezvoltarea verde a zonei costiere prin:</w:t>
            </w:r>
          </w:p>
          <w:p w14:paraId="0DB39C28" w14:textId="77777777" w:rsidR="00670FD4" w:rsidRDefault="00670FD4" w:rsidP="001925BA">
            <w:pPr>
              <w:pBdr>
                <w:top w:val="nil"/>
                <w:left w:val="nil"/>
                <w:bottom w:val="nil"/>
                <w:right w:val="nil"/>
                <w:between w:val="nil"/>
              </w:pBdr>
              <w:spacing w:after="0" w:line="240" w:lineRule="auto"/>
              <w:ind w:left="270" w:firstLine="0"/>
              <w:rPr>
                <w:rFonts w:eastAsia="Times New Roman" w:cs="Times New Roman"/>
                <w:color w:val="000000"/>
                <w:sz w:val="20"/>
                <w:szCs w:val="20"/>
              </w:rPr>
            </w:pPr>
            <w:r>
              <w:rPr>
                <w:rFonts w:eastAsia="Times New Roman" w:cs="Times New Roman"/>
                <w:color w:val="000000"/>
                <w:sz w:val="20"/>
                <w:szCs w:val="20"/>
              </w:rPr>
              <w:t>i) furnizarea informațiilor necesare asupra condițiilor și posibilităților pentru dezvoltarea ideilor/planurilor de business, oportunitățile existente și potențiale de asistență financiară, precum și condițiile pentru obținerea asistenței în timpul pregătirii și implementării proiectelor;</w:t>
            </w:r>
          </w:p>
          <w:p w14:paraId="3E7A52B1" w14:textId="77777777" w:rsidR="00670FD4" w:rsidRDefault="00670FD4" w:rsidP="001925BA">
            <w:pPr>
              <w:pBdr>
                <w:top w:val="nil"/>
                <w:left w:val="nil"/>
                <w:bottom w:val="nil"/>
                <w:right w:val="nil"/>
                <w:between w:val="nil"/>
              </w:pBdr>
              <w:spacing w:after="0" w:line="240" w:lineRule="auto"/>
              <w:ind w:left="270" w:firstLine="0"/>
              <w:rPr>
                <w:rFonts w:eastAsia="Times New Roman" w:cs="Times New Roman"/>
                <w:color w:val="000000"/>
                <w:sz w:val="20"/>
                <w:szCs w:val="20"/>
              </w:rPr>
            </w:pPr>
            <w:r>
              <w:rPr>
                <w:rFonts w:eastAsia="Times New Roman" w:cs="Times New Roman"/>
                <w:color w:val="000000"/>
                <w:sz w:val="20"/>
                <w:szCs w:val="20"/>
              </w:rPr>
              <w:t>ii) îmbunătățirea cunoștințelor și abilităților de concepere, pregătire și management a proiectelor prin realizarea unor ghiduri, organizarea de cursuri de pregătire, workshop-uri sau alte programe de pregătire pentru folosirea abordărilor inovative, noilor cunoștințe și abilități;</w:t>
            </w:r>
          </w:p>
          <w:p w14:paraId="75C337EC" w14:textId="77777777" w:rsidR="00670FD4" w:rsidRDefault="00670FD4" w:rsidP="001925BA">
            <w:pPr>
              <w:pBdr>
                <w:top w:val="nil"/>
                <w:left w:val="nil"/>
                <w:bottom w:val="nil"/>
                <w:right w:val="nil"/>
                <w:between w:val="nil"/>
              </w:pBdr>
              <w:spacing w:after="0" w:line="240" w:lineRule="auto"/>
              <w:ind w:left="270" w:firstLine="0"/>
              <w:rPr>
                <w:rFonts w:eastAsia="Times New Roman" w:cs="Times New Roman"/>
                <w:color w:val="000000"/>
                <w:sz w:val="20"/>
                <w:szCs w:val="20"/>
              </w:rPr>
            </w:pPr>
            <w:r>
              <w:rPr>
                <w:rFonts w:eastAsia="Times New Roman" w:cs="Times New Roman"/>
                <w:color w:val="000000"/>
                <w:sz w:val="20"/>
                <w:szCs w:val="20"/>
              </w:rPr>
              <w:t>iii) pregătirea și implementarea programelor de schimb de cunoștințe și experiență la nivel regional, precum și european / internațional;</w:t>
            </w:r>
          </w:p>
          <w:p w14:paraId="5D4560F4"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iv) furnizarea de asistență tehnică directă în implementarea proiectelor.</w:t>
            </w:r>
          </w:p>
        </w:tc>
        <w:tc>
          <w:tcPr>
            <w:tcW w:w="1277" w:type="dxa"/>
            <w:tcBorders>
              <w:top w:val="single" w:sz="4" w:space="0" w:color="auto"/>
              <w:left w:val="single" w:sz="4" w:space="0" w:color="000000"/>
              <w:bottom w:val="single" w:sz="4" w:space="0" w:color="000000"/>
              <w:right w:val="single" w:sz="4" w:space="0" w:color="000000"/>
            </w:tcBorders>
            <w:tcMar>
              <w:top w:w="0" w:type="dxa"/>
              <w:left w:w="100" w:type="dxa"/>
              <w:bottom w:w="0" w:type="dxa"/>
              <w:right w:w="100" w:type="dxa"/>
            </w:tcMar>
          </w:tcPr>
          <w:p w14:paraId="49A5532C" w14:textId="77777777" w:rsidR="00670FD4" w:rsidRPr="002508D3" w:rsidRDefault="00670FD4" w:rsidP="001925BA">
            <w:pPr>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auto"/>
              <w:left w:val="single" w:sz="4" w:space="0" w:color="000000"/>
              <w:bottom w:val="single" w:sz="4" w:space="0" w:color="000000"/>
              <w:right w:val="single" w:sz="4" w:space="0" w:color="000000"/>
            </w:tcBorders>
            <w:tcMar>
              <w:top w:w="0" w:type="dxa"/>
              <w:left w:w="100" w:type="dxa"/>
              <w:bottom w:w="0" w:type="dxa"/>
              <w:right w:w="100" w:type="dxa"/>
            </w:tcMar>
          </w:tcPr>
          <w:p w14:paraId="6674935A" w14:textId="77777777" w:rsidR="00670FD4" w:rsidRPr="002508D3" w:rsidRDefault="00670FD4" w:rsidP="001925BA">
            <w:pPr>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vMerge/>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145D1C4" w14:textId="77777777" w:rsidR="00670FD4" w:rsidRDefault="00670FD4" w:rsidP="001925BA">
            <w:pPr>
              <w:widowControl w:val="0"/>
              <w:pBdr>
                <w:top w:val="nil"/>
                <w:left w:val="nil"/>
                <w:bottom w:val="nil"/>
                <w:right w:val="nil"/>
                <w:between w:val="nil"/>
              </w:pBdr>
              <w:spacing w:after="0"/>
              <w:rPr>
                <w:rFonts w:eastAsia="Times New Roman" w:cs="Times New Roman"/>
                <w:color w:val="000000"/>
              </w:rPr>
            </w:pPr>
          </w:p>
        </w:tc>
        <w:tc>
          <w:tcPr>
            <w:tcW w:w="1701" w:type="dxa"/>
            <w:vMerge/>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E8D1F87" w14:textId="77777777" w:rsidR="00670FD4" w:rsidRDefault="00670FD4" w:rsidP="001925BA">
            <w:pPr>
              <w:widowControl w:val="0"/>
              <w:pBdr>
                <w:top w:val="nil"/>
                <w:left w:val="nil"/>
                <w:bottom w:val="nil"/>
                <w:right w:val="nil"/>
                <w:between w:val="nil"/>
              </w:pBdr>
              <w:spacing w:after="0"/>
              <w:rPr>
                <w:rFonts w:eastAsia="Times New Roman" w:cs="Times New Roman"/>
                <w:color w:val="000000"/>
              </w:rPr>
            </w:pPr>
          </w:p>
        </w:tc>
      </w:tr>
      <w:tr w:rsidR="00670FD4" w14:paraId="05A9D290" w14:textId="77777777" w:rsidTr="001925BA">
        <w:trPr>
          <w:trHeight w:val="420"/>
        </w:trPr>
        <w:tc>
          <w:tcPr>
            <w:tcW w:w="1892"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17048E07" w14:textId="77777777" w:rsidR="00670FD4" w:rsidRDefault="00670FD4" w:rsidP="001925BA">
            <w:pPr>
              <w:widowControl w:val="0"/>
              <w:pBdr>
                <w:top w:val="nil"/>
                <w:left w:val="nil"/>
                <w:bottom w:val="nil"/>
                <w:right w:val="nil"/>
                <w:between w:val="nil"/>
              </w:pBdr>
              <w:spacing w:after="0"/>
              <w:rPr>
                <w:rFonts w:eastAsia="Times New Roman" w:cs="Times New Roman"/>
                <w:color w:val="000000"/>
              </w:rPr>
            </w:pPr>
          </w:p>
        </w:tc>
        <w:tc>
          <w:tcPr>
            <w:tcW w:w="2121" w:type="dxa"/>
            <w:vMerge/>
            <w:tcBorders>
              <w:top w:val="single" w:sz="4" w:space="0" w:color="auto"/>
              <w:left w:val="single" w:sz="4" w:space="0" w:color="auto"/>
              <w:bottom w:val="single" w:sz="4" w:space="0" w:color="auto"/>
              <w:right w:val="single" w:sz="4" w:space="0" w:color="auto"/>
            </w:tcBorders>
          </w:tcPr>
          <w:p w14:paraId="24C9502D" w14:textId="77777777" w:rsidR="00670FD4" w:rsidRDefault="00670FD4" w:rsidP="001925BA">
            <w:pPr>
              <w:spacing w:after="0" w:line="240" w:lineRule="auto"/>
              <w:rPr>
                <w:rFonts w:eastAsia="Times New Roman" w:cs="Times New Roman"/>
                <w:color w:val="000000"/>
                <w:sz w:val="20"/>
                <w:szCs w:val="20"/>
              </w:rPr>
            </w:pPr>
          </w:p>
        </w:tc>
        <w:tc>
          <w:tcPr>
            <w:tcW w:w="4254" w:type="dxa"/>
            <w:tcBorders>
              <w:top w:val="single" w:sz="4" w:space="0" w:color="auto"/>
              <w:left w:val="single" w:sz="4" w:space="0" w:color="auto"/>
              <w:bottom w:val="single" w:sz="4" w:space="0" w:color="auto"/>
              <w:right w:val="single" w:sz="4" w:space="0" w:color="000000"/>
            </w:tcBorders>
            <w:tcMar>
              <w:top w:w="0" w:type="dxa"/>
              <w:left w:w="100" w:type="dxa"/>
              <w:bottom w:w="0" w:type="dxa"/>
              <w:right w:w="100" w:type="dxa"/>
            </w:tcMar>
          </w:tcPr>
          <w:p w14:paraId="5A159993" w14:textId="77777777" w:rsidR="00670FD4" w:rsidRDefault="00670FD4" w:rsidP="001925BA">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7.13.3 Implementarea de programe pentru pregătirea și monitorizarea (prin programe europene suport) implementării proiectelor</w:t>
            </w:r>
          </w:p>
        </w:tc>
        <w:tc>
          <w:tcPr>
            <w:tcW w:w="1277" w:type="dxa"/>
            <w:tcBorders>
              <w:top w:val="single" w:sz="4" w:space="0" w:color="000000"/>
              <w:left w:val="single" w:sz="4" w:space="0" w:color="000000"/>
              <w:bottom w:val="single" w:sz="4" w:space="0" w:color="auto"/>
              <w:right w:val="single" w:sz="4" w:space="0" w:color="000000"/>
            </w:tcBorders>
            <w:tcMar>
              <w:top w:w="0" w:type="dxa"/>
              <w:left w:w="100" w:type="dxa"/>
              <w:bottom w:w="0" w:type="dxa"/>
              <w:right w:w="100" w:type="dxa"/>
            </w:tcMar>
          </w:tcPr>
          <w:p w14:paraId="09B18455" w14:textId="77777777" w:rsidR="00670FD4" w:rsidRPr="002508D3" w:rsidRDefault="00670FD4" w:rsidP="001925BA">
            <w:pPr>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auto"/>
              <w:right w:val="single" w:sz="4" w:space="0" w:color="000000"/>
            </w:tcBorders>
            <w:tcMar>
              <w:top w:w="0" w:type="dxa"/>
              <w:left w:w="100" w:type="dxa"/>
              <w:bottom w:w="0" w:type="dxa"/>
              <w:right w:w="100" w:type="dxa"/>
            </w:tcMar>
          </w:tcPr>
          <w:p w14:paraId="7A2E61E1" w14:textId="77777777" w:rsidR="00670FD4" w:rsidRPr="002508D3" w:rsidRDefault="00670FD4" w:rsidP="001925BA">
            <w:pPr>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vMerge/>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606DECFF" w14:textId="77777777" w:rsidR="00670FD4" w:rsidRDefault="00670FD4" w:rsidP="001925BA">
            <w:pPr>
              <w:widowControl w:val="0"/>
              <w:pBdr>
                <w:top w:val="nil"/>
                <w:left w:val="nil"/>
                <w:bottom w:val="nil"/>
                <w:right w:val="nil"/>
                <w:between w:val="nil"/>
              </w:pBdr>
              <w:spacing w:after="0"/>
              <w:rPr>
                <w:rFonts w:eastAsia="Times New Roman" w:cs="Times New Roman"/>
                <w:color w:val="000000"/>
              </w:rPr>
            </w:pPr>
          </w:p>
        </w:tc>
        <w:tc>
          <w:tcPr>
            <w:tcW w:w="1701" w:type="dxa"/>
            <w:vMerge/>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7429E101" w14:textId="77777777" w:rsidR="00670FD4" w:rsidRDefault="00670FD4" w:rsidP="001925BA">
            <w:pPr>
              <w:widowControl w:val="0"/>
              <w:pBdr>
                <w:top w:val="nil"/>
                <w:left w:val="nil"/>
                <w:bottom w:val="nil"/>
                <w:right w:val="nil"/>
                <w:between w:val="nil"/>
              </w:pBdr>
              <w:spacing w:after="0"/>
              <w:rPr>
                <w:rFonts w:eastAsia="Times New Roman" w:cs="Times New Roman"/>
                <w:color w:val="000000"/>
              </w:rPr>
            </w:pPr>
          </w:p>
        </w:tc>
      </w:tr>
    </w:tbl>
    <w:p w14:paraId="5EFF80B4" w14:textId="77777777" w:rsidR="00670FD4" w:rsidRDefault="00670FD4" w:rsidP="00670FD4">
      <w:pPr>
        <w:tabs>
          <w:tab w:val="left" w:pos="1620"/>
        </w:tabs>
        <w:spacing w:line="257" w:lineRule="auto"/>
        <w:ind w:firstLine="0"/>
        <w:rPr>
          <w:rFonts w:eastAsia="Times New Roman" w:cs="Times New Roman"/>
        </w:rPr>
      </w:pPr>
    </w:p>
    <w:p w14:paraId="0AF9618B" w14:textId="77777777" w:rsidR="00670FD4" w:rsidRDefault="00670FD4" w:rsidP="00670FD4">
      <w:pPr>
        <w:spacing w:before="0"/>
        <w:ind w:firstLine="567"/>
        <w:rPr>
          <w:rFonts w:eastAsia="Times New Roman" w:cs="Times New Roman"/>
          <w:b/>
          <w:i/>
        </w:rPr>
      </w:pPr>
      <w:r>
        <w:rPr>
          <w:rFonts w:eastAsia="Times New Roman" w:cs="Times New Roman"/>
        </w:rPr>
        <w:tab/>
        <w:t xml:space="preserve">Activitățile ce se vor realiza în vederea implementării Programului de </w:t>
      </w:r>
      <w:r w:rsidRPr="00DF369E">
        <w:rPr>
          <w:rFonts w:eastAsia="Times New Roman" w:cs="Times New Roman"/>
          <w:b/>
          <w:i/>
        </w:rPr>
        <w:t xml:space="preserve">Măsuri vizând planificarea spațială în zona costieră </w:t>
      </w:r>
      <w:r>
        <w:rPr>
          <w:rFonts w:eastAsia="Times New Roman" w:cs="Times New Roman"/>
        </w:rPr>
        <w:t>sunt prezentate în Tabelul de mai jos, unde sunt indicate termenele de implementare, organizațiile responsabile pentru realizarea activităților, și implicit implementarea măsurilor, precum și posibilele surse de finanțare.</w:t>
      </w:r>
    </w:p>
    <w:tbl>
      <w:tblPr>
        <w:tblW w:w="14095" w:type="dxa"/>
        <w:tblInd w:w="-70" w:type="dxa"/>
        <w:tblBorders>
          <w:top w:val="nil"/>
          <w:left w:val="nil"/>
          <w:bottom w:val="nil"/>
          <w:right w:val="nil"/>
          <w:insideH w:val="nil"/>
          <w:insideV w:val="nil"/>
        </w:tblBorders>
        <w:tblLayout w:type="fixed"/>
        <w:tblLook w:val="0600" w:firstRow="0" w:lastRow="0" w:firstColumn="0" w:lastColumn="0" w:noHBand="1" w:noVBand="1"/>
      </w:tblPr>
      <w:tblGrid>
        <w:gridCol w:w="1892"/>
        <w:gridCol w:w="2133"/>
        <w:gridCol w:w="4254"/>
        <w:gridCol w:w="1277"/>
        <w:gridCol w:w="1418"/>
        <w:gridCol w:w="1419"/>
        <w:gridCol w:w="1702"/>
      </w:tblGrid>
      <w:tr w:rsidR="00670FD4" w14:paraId="74E457EA" w14:textId="77777777" w:rsidTr="001925BA">
        <w:trPr>
          <w:trHeight w:val="570"/>
        </w:trPr>
        <w:tc>
          <w:tcPr>
            <w:tcW w:w="1892" w:type="dxa"/>
            <w:tcBorders>
              <w:top w:val="single" w:sz="5" w:space="0" w:color="000000"/>
              <w:left w:val="single" w:sz="5" w:space="0" w:color="000000"/>
              <w:bottom w:val="single" w:sz="5" w:space="0" w:color="000000"/>
              <w:right w:val="single" w:sz="4" w:space="0" w:color="auto"/>
            </w:tcBorders>
            <w:tcMar>
              <w:top w:w="0" w:type="dxa"/>
              <w:left w:w="100" w:type="dxa"/>
              <w:bottom w:w="0" w:type="dxa"/>
              <w:right w:w="100" w:type="dxa"/>
            </w:tcMar>
          </w:tcPr>
          <w:p w14:paraId="1C1FD76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Măsură</w:t>
            </w:r>
          </w:p>
        </w:tc>
        <w:tc>
          <w:tcPr>
            <w:tcW w:w="2133" w:type="dxa"/>
            <w:tcBorders>
              <w:top w:val="single" w:sz="4" w:space="0" w:color="auto"/>
              <w:left w:val="single" w:sz="4" w:space="0" w:color="auto"/>
              <w:bottom w:val="single" w:sz="4" w:space="0" w:color="auto"/>
              <w:right w:val="single" w:sz="4" w:space="0" w:color="auto"/>
            </w:tcBorders>
          </w:tcPr>
          <w:p w14:paraId="0C97765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Obiective vizate</w:t>
            </w:r>
          </w:p>
        </w:tc>
        <w:tc>
          <w:tcPr>
            <w:tcW w:w="4254" w:type="dxa"/>
            <w:tcBorders>
              <w:top w:val="single" w:sz="5" w:space="0" w:color="000000"/>
              <w:left w:val="single" w:sz="4" w:space="0" w:color="auto"/>
              <w:bottom w:val="single" w:sz="5" w:space="0" w:color="000000"/>
              <w:right w:val="single" w:sz="5" w:space="0" w:color="000000"/>
            </w:tcBorders>
            <w:tcMar>
              <w:top w:w="0" w:type="dxa"/>
              <w:left w:w="100" w:type="dxa"/>
              <w:bottom w:w="0" w:type="dxa"/>
              <w:right w:w="100" w:type="dxa"/>
            </w:tcMar>
          </w:tcPr>
          <w:p w14:paraId="29A2CA7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Activitate</w:t>
            </w:r>
          </w:p>
        </w:tc>
        <w:tc>
          <w:tcPr>
            <w:tcW w:w="1277"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653EAE5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Prioritate</w:t>
            </w:r>
          </w:p>
        </w:tc>
        <w:tc>
          <w:tcPr>
            <w:tcW w:w="1418"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30B341C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Termen de implementare</w:t>
            </w:r>
          </w:p>
        </w:tc>
        <w:tc>
          <w:tcPr>
            <w:tcW w:w="1419"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67EE768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Instituții responsabile</w:t>
            </w:r>
          </w:p>
        </w:tc>
        <w:tc>
          <w:tcPr>
            <w:tcW w:w="1702"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42453A8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Finanțare</w:t>
            </w:r>
          </w:p>
        </w:tc>
      </w:tr>
      <w:tr w:rsidR="00670FD4" w14:paraId="26566549" w14:textId="77777777" w:rsidTr="001925BA">
        <w:trPr>
          <w:trHeight w:val="806"/>
        </w:trPr>
        <w:tc>
          <w:tcPr>
            <w:tcW w:w="1892" w:type="dxa"/>
            <w:vMerge w:val="restart"/>
            <w:tcBorders>
              <w:top w:val="nil"/>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770D8F4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lastRenderedPageBreak/>
              <w:t xml:space="preserve">M8.1 </w:t>
            </w:r>
            <w:r>
              <w:rPr>
                <w:rFonts w:eastAsia="Times New Roman" w:cs="Times New Roman"/>
                <w:color w:val="000000"/>
                <w:sz w:val="20"/>
                <w:szCs w:val="20"/>
              </w:rPr>
              <w:t>Crearea unui cadru coerent, integrat și sinergic de planificare spațială specific pentru teritoriul transfrontalier și regional</w:t>
            </w:r>
          </w:p>
        </w:tc>
        <w:tc>
          <w:tcPr>
            <w:tcW w:w="2133" w:type="dxa"/>
            <w:vMerge w:val="restart"/>
            <w:tcBorders>
              <w:top w:val="single" w:sz="4" w:space="0" w:color="auto"/>
              <w:left w:val="single" w:sz="4" w:space="0" w:color="auto"/>
              <w:right w:val="single" w:sz="4" w:space="0" w:color="auto"/>
            </w:tcBorders>
          </w:tcPr>
          <w:p w14:paraId="5E3ED748" w14:textId="77777777" w:rsidR="00670FD4" w:rsidRPr="00DB179E" w:rsidRDefault="00670FD4" w:rsidP="001925BA">
            <w:pPr>
              <w:spacing w:line="240" w:lineRule="auto"/>
              <w:ind w:firstLine="0"/>
              <w:rPr>
                <w:rFonts w:eastAsia="Times New Roman" w:cs="Times New Roman"/>
                <w:sz w:val="20"/>
                <w:szCs w:val="20"/>
              </w:rPr>
            </w:pPr>
            <w:r w:rsidRPr="00DB179E">
              <w:rPr>
                <w:rFonts w:eastAsia="Times New Roman" w:cs="Times New Roman"/>
                <w:sz w:val="20"/>
                <w:szCs w:val="20"/>
              </w:rPr>
              <w:t>Os3.a Punerea în practică a planurilor de amenajare spațială a zonei costiere în coordonare cu planurile statelor vecine;</w:t>
            </w:r>
          </w:p>
          <w:p w14:paraId="2BD5D76C" w14:textId="77777777" w:rsidR="00670FD4" w:rsidRDefault="00670FD4" w:rsidP="001925BA">
            <w:pPr>
              <w:spacing w:line="240" w:lineRule="auto"/>
              <w:ind w:firstLine="0"/>
              <w:rPr>
                <w:rFonts w:eastAsia="Times New Roman" w:cs="Times New Roman"/>
                <w:sz w:val="20"/>
                <w:szCs w:val="20"/>
              </w:rPr>
            </w:pPr>
            <w:r w:rsidRPr="00DB179E">
              <w:rPr>
                <w:rFonts w:eastAsia="Times New Roman" w:cs="Times New Roman"/>
                <w:sz w:val="20"/>
                <w:szCs w:val="20"/>
              </w:rPr>
              <w:t xml:space="preserve"> Os3.c Planificare și dezvoltare spațială integrată și durabilă a zonelor metropolitane, periurbane și rurale din zona costieră.</w:t>
            </w:r>
          </w:p>
        </w:tc>
        <w:tc>
          <w:tcPr>
            <w:tcW w:w="4254"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45B6242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8.1.1 Elaborarea / actualizarea metodologiei de elaborare a planurilor de amenajare a teritoriului zonal transfrontalier și interjudețean</w:t>
            </w:r>
          </w:p>
        </w:tc>
        <w:tc>
          <w:tcPr>
            <w:tcW w:w="127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7959E7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1EC50A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2027</w:t>
            </w:r>
          </w:p>
        </w:tc>
        <w:tc>
          <w:tcPr>
            <w:tcW w:w="1419"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1E01853"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MDLPA</w:t>
            </w:r>
          </w:p>
        </w:tc>
        <w:tc>
          <w:tcPr>
            <w:tcW w:w="1702"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D11FE5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 propriu MDLPA, INTERREG EUROPE 2021-2027, ESPON 2030 și Interreg Interact IV 2021-2027</w:t>
            </w:r>
          </w:p>
        </w:tc>
      </w:tr>
      <w:tr w:rsidR="00670FD4" w14:paraId="37870416" w14:textId="77777777" w:rsidTr="001925BA">
        <w:trPr>
          <w:trHeight w:val="1110"/>
        </w:trPr>
        <w:tc>
          <w:tcPr>
            <w:tcW w:w="1892" w:type="dxa"/>
            <w:vMerge/>
            <w:tcBorders>
              <w:top w:val="nil"/>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5B785EA9"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2133" w:type="dxa"/>
            <w:vMerge/>
            <w:tcBorders>
              <w:left w:val="single" w:sz="4" w:space="0" w:color="auto"/>
              <w:bottom w:val="single" w:sz="4" w:space="0" w:color="auto"/>
              <w:right w:val="single" w:sz="4" w:space="0" w:color="auto"/>
            </w:tcBorders>
          </w:tcPr>
          <w:p w14:paraId="33D45BA0" w14:textId="77777777" w:rsidR="00670FD4" w:rsidRDefault="00670FD4" w:rsidP="001925BA">
            <w:pPr>
              <w:spacing w:after="0" w:line="240" w:lineRule="auto"/>
              <w:ind w:firstLine="0"/>
              <w:rPr>
                <w:rFonts w:eastAsia="Times New Roman" w:cs="Times New Roman"/>
                <w:sz w:val="20"/>
                <w:szCs w:val="20"/>
              </w:rPr>
            </w:pPr>
          </w:p>
        </w:tc>
        <w:tc>
          <w:tcPr>
            <w:tcW w:w="4254" w:type="dxa"/>
            <w:tcBorders>
              <w:top w:val="nil"/>
              <w:left w:val="single" w:sz="4" w:space="0" w:color="auto"/>
              <w:bottom w:val="single" w:sz="4" w:space="0" w:color="000000"/>
              <w:right w:val="single" w:sz="5" w:space="0" w:color="000000"/>
            </w:tcBorders>
            <w:shd w:val="clear" w:color="auto" w:fill="auto"/>
            <w:tcMar>
              <w:top w:w="0" w:type="dxa"/>
              <w:left w:w="100" w:type="dxa"/>
              <w:bottom w:w="0" w:type="dxa"/>
              <w:right w:w="100" w:type="dxa"/>
            </w:tcMar>
          </w:tcPr>
          <w:p w14:paraId="74CBE7FB"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 xml:space="preserve">A 8.1.2 </w:t>
            </w:r>
            <w:r>
              <w:rPr>
                <w:rFonts w:eastAsia="Times New Roman" w:cs="Times New Roman"/>
                <w:sz w:val="20"/>
                <w:szCs w:val="20"/>
              </w:rPr>
              <w:tab/>
              <w:t>Inițierea și elaborarea de strategii și planuri de dezvoltare spațială în zonele transfrontaliere și în zona costieră a Mării Negre</w:t>
            </w:r>
          </w:p>
          <w:p w14:paraId="4D8F86B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 xml:space="preserve"> </w:t>
            </w:r>
          </w:p>
        </w:tc>
        <w:tc>
          <w:tcPr>
            <w:tcW w:w="1277" w:type="dxa"/>
            <w:tcBorders>
              <w:top w:val="nil"/>
              <w:left w:val="nil"/>
              <w:bottom w:val="single" w:sz="4" w:space="0" w:color="000000"/>
              <w:right w:val="single" w:sz="5" w:space="0" w:color="000000"/>
            </w:tcBorders>
            <w:shd w:val="clear" w:color="auto" w:fill="auto"/>
            <w:tcMar>
              <w:top w:w="0" w:type="dxa"/>
              <w:left w:w="100" w:type="dxa"/>
              <w:bottom w:w="0" w:type="dxa"/>
              <w:right w:w="100" w:type="dxa"/>
            </w:tcMar>
          </w:tcPr>
          <w:p w14:paraId="1630D28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nil"/>
              <w:left w:val="nil"/>
              <w:bottom w:val="single" w:sz="4" w:space="0" w:color="000000"/>
              <w:right w:val="single" w:sz="5" w:space="0" w:color="000000"/>
            </w:tcBorders>
            <w:shd w:val="clear" w:color="auto" w:fill="auto"/>
            <w:tcMar>
              <w:top w:w="0" w:type="dxa"/>
              <w:left w:w="100" w:type="dxa"/>
              <w:bottom w:w="0" w:type="dxa"/>
              <w:right w:w="100" w:type="dxa"/>
            </w:tcMar>
          </w:tcPr>
          <w:p w14:paraId="6A0A7FE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nil"/>
              <w:left w:val="nil"/>
              <w:bottom w:val="single" w:sz="4" w:space="0" w:color="000000"/>
              <w:right w:val="single" w:sz="5" w:space="0" w:color="000000"/>
            </w:tcBorders>
            <w:shd w:val="clear" w:color="auto" w:fill="auto"/>
            <w:tcMar>
              <w:top w:w="0" w:type="dxa"/>
              <w:left w:w="100" w:type="dxa"/>
              <w:bottom w:w="0" w:type="dxa"/>
              <w:right w:w="100" w:type="dxa"/>
            </w:tcMar>
          </w:tcPr>
          <w:p w14:paraId="2FD8C2F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MDLPA, autorități locale, MAE</w:t>
            </w:r>
          </w:p>
        </w:tc>
        <w:tc>
          <w:tcPr>
            <w:tcW w:w="1702" w:type="dxa"/>
            <w:tcBorders>
              <w:top w:val="nil"/>
              <w:left w:val="nil"/>
              <w:bottom w:val="single" w:sz="4" w:space="0" w:color="000000"/>
              <w:right w:val="single" w:sz="5" w:space="0" w:color="000000"/>
            </w:tcBorders>
            <w:shd w:val="clear" w:color="auto" w:fill="auto"/>
            <w:tcMar>
              <w:top w:w="0" w:type="dxa"/>
              <w:left w:w="100" w:type="dxa"/>
              <w:bottom w:w="0" w:type="dxa"/>
              <w:right w:w="100" w:type="dxa"/>
            </w:tcMar>
          </w:tcPr>
          <w:p w14:paraId="29BC4A9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 propriu MDLPA, INTERREG EUROPE 2021-2027, ESPON 2030 și Interreg Interact IV 2021-2027</w:t>
            </w:r>
          </w:p>
        </w:tc>
      </w:tr>
      <w:tr w:rsidR="00670FD4" w14:paraId="5D7BEDA3" w14:textId="77777777" w:rsidTr="001925BA">
        <w:trPr>
          <w:trHeight w:val="460"/>
        </w:trPr>
        <w:tc>
          <w:tcPr>
            <w:tcW w:w="1892" w:type="dxa"/>
            <w:vMerge w:val="restart"/>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51B4896C" w14:textId="77777777" w:rsidR="00670FD4" w:rsidRDefault="00670FD4" w:rsidP="001925BA">
            <w:pPr>
              <w:spacing w:after="0" w:line="240" w:lineRule="auto"/>
              <w:ind w:firstLine="0"/>
              <w:rPr>
                <w:rFonts w:eastAsia="Times New Roman" w:cs="Times New Roman"/>
                <w:sz w:val="20"/>
                <w:szCs w:val="20"/>
              </w:rPr>
            </w:pPr>
          </w:p>
          <w:p w14:paraId="1608CE60" w14:textId="77777777" w:rsidR="00670FD4" w:rsidRDefault="00670FD4" w:rsidP="001925BA">
            <w:pPr>
              <w:spacing w:after="0" w:line="240" w:lineRule="auto"/>
              <w:ind w:firstLine="0"/>
              <w:rPr>
                <w:rFonts w:eastAsia="Times New Roman" w:cs="Times New Roman"/>
                <w:sz w:val="20"/>
                <w:szCs w:val="20"/>
              </w:rPr>
            </w:pPr>
          </w:p>
          <w:p w14:paraId="6AE2000E" w14:textId="77777777" w:rsidR="00670FD4" w:rsidRDefault="00670FD4" w:rsidP="001925BA">
            <w:pPr>
              <w:spacing w:after="0" w:line="240" w:lineRule="auto"/>
              <w:ind w:firstLine="0"/>
              <w:rPr>
                <w:rFonts w:eastAsia="Times New Roman" w:cs="Times New Roman"/>
                <w:sz w:val="20"/>
                <w:szCs w:val="20"/>
              </w:rPr>
            </w:pPr>
          </w:p>
          <w:p w14:paraId="7B29085A" w14:textId="77777777" w:rsidR="00670FD4" w:rsidRDefault="00670FD4" w:rsidP="001925BA">
            <w:pPr>
              <w:spacing w:after="0" w:line="240" w:lineRule="auto"/>
              <w:ind w:firstLine="0"/>
              <w:rPr>
                <w:rFonts w:eastAsia="Times New Roman" w:cs="Times New Roman"/>
                <w:sz w:val="20"/>
                <w:szCs w:val="20"/>
              </w:rPr>
            </w:pPr>
          </w:p>
          <w:p w14:paraId="70325ADB"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M8.2 Crearea unui cadru coerent și integrat de planificare spațială la nivel zonal și local</w:t>
            </w:r>
          </w:p>
        </w:tc>
        <w:tc>
          <w:tcPr>
            <w:tcW w:w="2133" w:type="dxa"/>
            <w:vMerge w:val="restart"/>
            <w:tcBorders>
              <w:top w:val="single" w:sz="4" w:space="0" w:color="auto"/>
              <w:left w:val="single" w:sz="4" w:space="0" w:color="auto"/>
              <w:bottom w:val="single" w:sz="4" w:space="0" w:color="auto"/>
              <w:right w:val="single" w:sz="4" w:space="0" w:color="auto"/>
            </w:tcBorders>
          </w:tcPr>
          <w:p w14:paraId="56D46EA1" w14:textId="77777777" w:rsidR="00670FD4" w:rsidRDefault="00670FD4" w:rsidP="001925BA">
            <w:pPr>
              <w:spacing w:after="0" w:line="240" w:lineRule="auto"/>
              <w:ind w:firstLine="0"/>
              <w:rPr>
                <w:rFonts w:eastAsia="Times New Roman" w:cs="Times New Roman"/>
                <w:sz w:val="20"/>
                <w:szCs w:val="20"/>
              </w:rPr>
            </w:pPr>
            <w:r w:rsidRPr="00DB179E">
              <w:rPr>
                <w:rFonts w:eastAsia="Times New Roman" w:cs="Times New Roman"/>
                <w:sz w:val="20"/>
                <w:szCs w:val="20"/>
              </w:rPr>
              <w:t>Os3.c Planificare și dezvoltare spațială integrată și durabilă a zonelor metropolitane, periurbane și rurale din zona costieră</w:t>
            </w: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2EA5060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8.2.1 Elaborarea și aprobarea unui regulament-cadru de urbanism pentru zona costieră</w:t>
            </w:r>
          </w:p>
        </w:tc>
        <w:tc>
          <w:tcPr>
            <w:tcW w:w="1277"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0BE632B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8"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1933371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2027</w:t>
            </w:r>
          </w:p>
        </w:tc>
        <w:tc>
          <w:tcPr>
            <w:tcW w:w="1419"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5CD6680B"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MDLPA</w:t>
            </w:r>
          </w:p>
        </w:tc>
        <w:tc>
          <w:tcPr>
            <w:tcW w:w="1702"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2862484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 propriu MDLPA</w:t>
            </w:r>
          </w:p>
        </w:tc>
      </w:tr>
      <w:tr w:rsidR="00670FD4" w14:paraId="4567C8E9" w14:textId="77777777" w:rsidTr="001925BA">
        <w:trPr>
          <w:trHeight w:val="806"/>
        </w:trPr>
        <w:tc>
          <w:tcPr>
            <w:tcW w:w="1892" w:type="dxa"/>
            <w:vMerge/>
            <w:tcBorders>
              <w:top w:val="single" w:sz="4" w:space="0" w:color="auto"/>
              <w:left w:val="single" w:sz="4" w:space="0" w:color="000000"/>
              <w:right w:val="single" w:sz="4" w:space="0" w:color="auto"/>
            </w:tcBorders>
            <w:shd w:val="clear" w:color="auto" w:fill="auto"/>
            <w:tcMar>
              <w:top w:w="100" w:type="dxa"/>
              <w:left w:w="100" w:type="dxa"/>
              <w:bottom w:w="100" w:type="dxa"/>
              <w:right w:w="100" w:type="dxa"/>
            </w:tcMar>
          </w:tcPr>
          <w:p w14:paraId="76586D3D"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2133" w:type="dxa"/>
            <w:vMerge/>
            <w:tcBorders>
              <w:top w:val="single" w:sz="4" w:space="0" w:color="auto"/>
              <w:left w:val="single" w:sz="4" w:space="0" w:color="auto"/>
              <w:right w:val="single" w:sz="4" w:space="0" w:color="auto"/>
            </w:tcBorders>
          </w:tcPr>
          <w:p w14:paraId="3963B3FF" w14:textId="77777777" w:rsidR="00670FD4" w:rsidRDefault="00670FD4" w:rsidP="001925BA">
            <w:pPr>
              <w:spacing w:after="0" w:line="240" w:lineRule="auto"/>
              <w:ind w:firstLine="0"/>
              <w:rPr>
                <w:rFonts w:eastAsia="Times New Roman" w:cs="Times New Roman"/>
                <w:sz w:val="20"/>
                <w:szCs w:val="20"/>
              </w:rPr>
            </w:pPr>
          </w:p>
        </w:tc>
        <w:tc>
          <w:tcPr>
            <w:tcW w:w="4254"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40FD1AC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8.2.2 Elaborarea / actualizarea metodologiei de elaborare a planurilor de amenajare a teritoriului zonal metropolitan / intercomunitar.</w:t>
            </w:r>
          </w:p>
        </w:tc>
        <w:tc>
          <w:tcPr>
            <w:tcW w:w="1277"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8F8EF4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8"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10140DB"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2027</w:t>
            </w:r>
          </w:p>
        </w:tc>
        <w:tc>
          <w:tcPr>
            <w:tcW w:w="1419"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821C9E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MDLPA</w:t>
            </w:r>
          </w:p>
        </w:tc>
        <w:tc>
          <w:tcPr>
            <w:tcW w:w="1702"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34B938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 propriu MDLPA</w:t>
            </w:r>
          </w:p>
        </w:tc>
      </w:tr>
      <w:tr w:rsidR="00670FD4" w14:paraId="2C9535AC" w14:textId="77777777" w:rsidTr="001925BA">
        <w:trPr>
          <w:trHeight w:val="1110"/>
        </w:trPr>
        <w:tc>
          <w:tcPr>
            <w:tcW w:w="1892" w:type="dxa"/>
            <w:vMerge/>
            <w:tcBorders>
              <w:top w:val="single" w:sz="4" w:space="0" w:color="000000"/>
              <w:left w:val="single" w:sz="4" w:space="0" w:color="000000"/>
              <w:right w:val="single" w:sz="4" w:space="0" w:color="auto"/>
            </w:tcBorders>
            <w:shd w:val="clear" w:color="auto" w:fill="auto"/>
            <w:tcMar>
              <w:top w:w="100" w:type="dxa"/>
              <w:left w:w="100" w:type="dxa"/>
              <w:bottom w:w="100" w:type="dxa"/>
              <w:right w:w="100" w:type="dxa"/>
            </w:tcMar>
          </w:tcPr>
          <w:p w14:paraId="399359D4"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2133" w:type="dxa"/>
            <w:vMerge/>
            <w:tcBorders>
              <w:left w:val="single" w:sz="4" w:space="0" w:color="auto"/>
              <w:right w:val="single" w:sz="4" w:space="0" w:color="auto"/>
            </w:tcBorders>
          </w:tcPr>
          <w:p w14:paraId="64E9E2EB" w14:textId="77777777" w:rsidR="00670FD4" w:rsidRDefault="00670FD4" w:rsidP="001925BA">
            <w:pPr>
              <w:spacing w:after="0" w:line="240" w:lineRule="auto"/>
              <w:ind w:firstLine="0"/>
              <w:rPr>
                <w:rFonts w:eastAsia="Times New Roman" w:cs="Times New Roman"/>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7BB3477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8.2.3 Inițierea și elaborarea de documentații de planificare spațială pentru zonele metropolitane, periurbane și rurale din zona costieră (planuri zonale metropolitane, periurbane, intercomunale, planuri urbanistice generale pentru municipii, orașe și comune)</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7C93789"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D64492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B563FF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MDLPA, autorități locale</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6E0E3EF"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 propriu MDLPA, bugete locale</w:t>
            </w:r>
          </w:p>
        </w:tc>
      </w:tr>
      <w:tr w:rsidR="00670FD4" w14:paraId="146C55E9" w14:textId="77777777" w:rsidTr="001925BA">
        <w:trPr>
          <w:trHeight w:val="1110"/>
        </w:trPr>
        <w:tc>
          <w:tcPr>
            <w:tcW w:w="1892"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7338C60C" w14:textId="77777777" w:rsidR="00670FD4" w:rsidRDefault="00670FD4" w:rsidP="001925BA">
            <w:pPr>
              <w:widowControl w:val="0"/>
              <w:pBdr>
                <w:top w:val="nil"/>
                <w:left w:val="nil"/>
                <w:bottom w:val="nil"/>
                <w:right w:val="nil"/>
                <w:between w:val="nil"/>
              </w:pBdr>
              <w:spacing w:after="0"/>
              <w:ind w:firstLine="0"/>
              <w:rPr>
                <w:rFonts w:eastAsia="Times New Roman" w:cs="Times New Roman"/>
                <w:sz w:val="20"/>
                <w:szCs w:val="20"/>
              </w:rPr>
            </w:pPr>
          </w:p>
        </w:tc>
        <w:tc>
          <w:tcPr>
            <w:tcW w:w="2133" w:type="dxa"/>
            <w:vMerge/>
            <w:tcBorders>
              <w:left w:val="single" w:sz="4" w:space="0" w:color="auto"/>
              <w:bottom w:val="single" w:sz="4" w:space="0" w:color="auto"/>
              <w:right w:val="single" w:sz="4" w:space="0" w:color="auto"/>
            </w:tcBorders>
          </w:tcPr>
          <w:p w14:paraId="6412ADE6" w14:textId="77777777" w:rsidR="00670FD4" w:rsidRDefault="00670FD4" w:rsidP="001925BA">
            <w:pPr>
              <w:spacing w:after="0" w:line="240" w:lineRule="auto"/>
              <w:ind w:firstLine="0"/>
              <w:rPr>
                <w:rFonts w:eastAsia="Times New Roman" w:cs="Times New Roman"/>
                <w:sz w:val="20"/>
                <w:szCs w:val="20"/>
              </w:rPr>
            </w:pP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3BA62DFE"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8.2.4 Inițierea și elaborarea de planuri urbanistice zonale în zone cu caracter prioritar / zone sensibile pentru unitățile teritoriale de reglementare (UTR) adiacente liniei țărmului</w:t>
            </w:r>
          </w:p>
        </w:tc>
        <w:tc>
          <w:tcPr>
            <w:tcW w:w="1277"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713F302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202741EE"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1D19016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MDLPA, autorități locale</w:t>
            </w:r>
          </w:p>
        </w:tc>
        <w:tc>
          <w:tcPr>
            <w:tcW w:w="1702"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6356CFB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 propriu MDLPA, bugete locale</w:t>
            </w:r>
          </w:p>
        </w:tc>
      </w:tr>
      <w:tr w:rsidR="00670FD4" w14:paraId="2B8F3865" w14:textId="77777777" w:rsidTr="001925BA">
        <w:trPr>
          <w:trHeight w:val="599"/>
        </w:trPr>
        <w:tc>
          <w:tcPr>
            <w:tcW w:w="1892" w:type="dxa"/>
            <w:vMerge w:val="restar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B2893B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lastRenderedPageBreak/>
              <w:t>M8.3 Crearea unui mecanism eficient de implementare, monitorizare și verificare a instrumentelor de planificare spațială în zona costieră</w:t>
            </w:r>
          </w:p>
        </w:tc>
        <w:tc>
          <w:tcPr>
            <w:tcW w:w="2133" w:type="dxa"/>
            <w:vMerge w:val="restart"/>
            <w:tcBorders>
              <w:top w:val="single" w:sz="4" w:space="0" w:color="auto"/>
              <w:left w:val="single" w:sz="4" w:space="0" w:color="auto"/>
              <w:bottom w:val="single" w:sz="4" w:space="0" w:color="auto"/>
              <w:right w:val="single" w:sz="4" w:space="0" w:color="auto"/>
            </w:tcBorders>
          </w:tcPr>
          <w:p w14:paraId="7EB8165E" w14:textId="77777777" w:rsidR="00670FD4" w:rsidRPr="00DB179E" w:rsidRDefault="00670FD4" w:rsidP="001925BA">
            <w:pPr>
              <w:spacing w:line="240" w:lineRule="auto"/>
              <w:ind w:firstLine="0"/>
              <w:rPr>
                <w:rFonts w:eastAsia="Times New Roman" w:cs="Times New Roman"/>
                <w:sz w:val="20"/>
                <w:szCs w:val="20"/>
              </w:rPr>
            </w:pPr>
            <w:r w:rsidRPr="00DB179E">
              <w:rPr>
                <w:rFonts w:eastAsia="Times New Roman" w:cs="Times New Roman"/>
                <w:sz w:val="20"/>
                <w:szCs w:val="20"/>
              </w:rPr>
              <w:t>Os3.b. Stabilirea unui sistem performant de supraveghere a eficienței implementării planificării spațiale prin realizarea Geamănului Digital (Digital Twin) a litoralului românesc;</w:t>
            </w:r>
          </w:p>
          <w:p w14:paraId="773EFF25" w14:textId="77777777" w:rsidR="00670FD4" w:rsidRPr="00DB179E" w:rsidRDefault="00670FD4" w:rsidP="001925BA">
            <w:pPr>
              <w:spacing w:line="240" w:lineRule="auto"/>
              <w:ind w:firstLine="0"/>
              <w:rPr>
                <w:rFonts w:eastAsia="Times New Roman" w:cs="Times New Roman"/>
                <w:sz w:val="20"/>
                <w:szCs w:val="20"/>
              </w:rPr>
            </w:pPr>
            <w:r w:rsidRPr="00DB179E">
              <w:rPr>
                <w:rFonts w:eastAsia="Times New Roman" w:cs="Times New Roman"/>
                <w:sz w:val="20"/>
                <w:szCs w:val="20"/>
              </w:rPr>
              <w:t xml:space="preserve"> Os3.c Planificare și dezvoltare spațială integrată și durabilă a zonelor metropolitane, periurbane și rurale din zona costieră,;</w:t>
            </w:r>
          </w:p>
          <w:p w14:paraId="46CF16F7" w14:textId="77777777" w:rsidR="00670FD4" w:rsidRPr="00DB179E" w:rsidRDefault="00670FD4" w:rsidP="001925BA">
            <w:pPr>
              <w:spacing w:line="240" w:lineRule="auto"/>
              <w:ind w:firstLine="0"/>
              <w:rPr>
                <w:rFonts w:eastAsia="Times New Roman" w:cs="Times New Roman"/>
                <w:sz w:val="20"/>
                <w:szCs w:val="20"/>
              </w:rPr>
            </w:pPr>
            <w:r w:rsidRPr="00DB179E">
              <w:rPr>
                <w:rFonts w:eastAsia="Times New Roman" w:cs="Times New Roman"/>
                <w:sz w:val="20"/>
                <w:szCs w:val="20"/>
              </w:rPr>
              <w:t>Os6.a Crearea unui proces real participativ în gestionarea integrată a zonei costiere;</w:t>
            </w:r>
          </w:p>
          <w:p w14:paraId="11B0EA8F" w14:textId="77777777" w:rsidR="00670FD4" w:rsidRDefault="00670FD4" w:rsidP="001925BA">
            <w:pPr>
              <w:spacing w:line="240" w:lineRule="auto"/>
              <w:ind w:firstLine="0"/>
              <w:rPr>
                <w:rFonts w:eastAsia="Times New Roman" w:cs="Times New Roman"/>
                <w:sz w:val="20"/>
                <w:szCs w:val="20"/>
              </w:rPr>
            </w:pPr>
            <w:r w:rsidRPr="00DB179E">
              <w:rPr>
                <w:rFonts w:eastAsia="Times New Roman" w:cs="Times New Roman"/>
                <w:sz w:val="20"/>
                <w:szCs w:val="20"/>
              </w:rPr>
              <w:t>Os6.b Creșterea gradului de conștientizare cu privire la necesitatea de a păstra și îmbunătăți resursele zonei de coastă.</w:t>
            </w:r>
          </w:p>
        </w:tc>
        <w:tc>
          <w:tcPr>
            <w:tcW w:w="4254"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4B2327D8"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8.3.1 Revizuirea procedurilor de avizare / aprobare a documentațiilor de amenajarea teritoriului și urbanism)</w:t>
            </w:r>
          </w:p>
        </w:tc>
        <w:tc>
          <w:tcPr>
            <w:tcW w:w="1277"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1EBC76A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8"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3F203E0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2027</w:t>
            </w:r>
          </w:p>
        </w:tc>
        <w:tc>
          <w:tcPr>
            <w:tcW w:w="1419"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52F790B1"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 xml:space="preserve"> MDLPA, autorități locale </w:t>
            </w:r>
          </w:p>
        </w:tc>
        <w:tc>
          <w:tcPr>
            <w:tcW w:w="1702"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7E76B874"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 propriu MDLPA, bugete locale</w:t>
            </w:r>
          </w:p>
        </w:tc>
      </w:tr>
      <w:tr w:rsidR="00670FD4" w14:paraId="6E910BF2" w14:textId="77777777" w:rsidTr="001925BA">
        <w:trPr>
          <w:trHeight w:val="854"/>
        </w:trPr>
        <w:tc>
          <w:tcPr>
            <w:tcW w:w="1892"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0735714" w14:textId="77777777" w:rsidR="00670FD4" w:rsidRDefault="00670FD4" w:rsidP="001925BA">
            <w:pPr>
              <w:widowControl w:val="0"/>
              <w:pBdr>
                <w:top w:val="nil"/>
                <w:left w:val="nil"/>
                <w:bottom w:val="nil"/>
                <w:right w:val="nil"/>
                <w:between w:val="nil"/>
              </w:pBdr>
              <w:spacing w:after="0"/>
              <w:rPr>
                <w:rFonts w:eastAsia="Times New Roman" w:cs="Times New Roman"/>
                <w:sz w:val="20"/>
                <w:szCs w:val="20"/>
              </w:rPr>
            </w:pPr>
          </w:p>
        </w:tc>
        <w:tc>
          <w:tcPr>
            <w:tcW w:w="2133" w:type="dxa"/>
            <w:vMerge/>
            <w:tcBorders>
              <w:top w:val="single" w:sz="4" w:space="0" w:color="auto"/>
              <w:left w:val="single" w:sz="4" w:space="0" w:color="auto"/>
              <w:bottom w:val="single" w:sz="4" w:space="0" w:color="auto"/>
              <w:right w:val="single" w:sz="4" w:space="0" w:color="auto"/>
            </w:tcBorders>
          </w:tcPr>
          <w:p w14:paraId="53E072AE" w14:textId="77777777" w:rsidR="00670FD4" w:rsidRDefault="00670FD4" w:rsidP="001925BA">
            <w:pPr>
              <w:spacing w:after="0" w:line="240" w:lineRule="auto"/>
              <w:rPr>
                <w:rFonts w:eastAsia="Times New Roman" w:cs="Times New Roman"/>
                <w:sz w:val="20"/>
                <w:szCs w:val="20"/>
              </w:rPr>
            </w:pPr>
          </w:p>
        </w:tc>
        <w:tc>
          <w:tcPr>
            <w:tcW w:w="4254"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649C63F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8.3.2 Crearea unui sistem de informare și comunicare eficient între administrațiile locale din zona costieră în domeniul planificării spațiale</w:t>
            </w:r>
          </w:p>
        </w:tc>
        <w:tc>
          <w:tcPr>
            <w:tcW w:w="1277"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5EB2C926"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0BDBA44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2027</w:t>
            </w:r>
          </w:p>
        </w:tc>
        <w:tc>
          <w:tcPr>
            <w:tcW w:w="1419"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0439F9BC"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 xml:space="preserve">MDLPA, MMAP, autorități locale </w:t>
            </w:r>
          </w:p>
        </w:tc>
        <w:tc>
          <w:tcPr>
            <w:tcW w:w="1702"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3F2E4EC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Bugete proprii MDLPA, MMAP</w:t>
            </w:r>
          </w:p>
        </w:tc>
      </w:tr>
      <w:tr w:rsidR="00670FD4" w14:paraId="1F7A237B" w14:textId="77777777" w:rsidTr="001925BA">
        <w:trPr>
          <w:trHeight w:val="688"/>
        </w:trPr>
        <w:tc>
          <w:tcPr>
            <w:tcW w:w="1892"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D843315" w14:textId="77777777" w:rsidR="00670FD4" w:rsidRDefault="00670FD4" w:rsidP="001925BA">
            <w:pPr>
              <w:widowControl w:val="0"/>
              <w:pBdr>
                <w:top w:val="nil"/>
                <w:left w:val="nil"/>
                <w:bottom w:val="nil"/>
                <w:right w:val="nil"/>
                <w:between w:val="nil"/>
              </w:pBdr>
              <w:spacing w:after="0"/>
              <w:rPr>
                <w:rFonts w:eastAsia="Times New Roman" w:cs="Times New Roman"/>
                <w:sz w:val="20"/>
                <w:szCs w:val="20"/>
              </w:rPr>
            </w:pPr>
          </w:p>
        </w:tc>
        <w:tc>
          <w:tcPr>
            <w:tcW w:w="2133" w:type="dxa"/>
            <w:vMerge/>
            <w:tcBorders>
              <w:top w:val="single" w:sz="4" w:space="0" w:color="auto"/>
              <w:left w:val="single" w:sz="4" w:space="0" w:color="auto"/>
              <w:bottom w:val="single" w:sz="4" w:space="0" w:color="auto"/>
              <w:right w:val="single" w:sz="4" w:space="0" w:color="auto"/>
            </w:tcBorders>
          </w:tcPr>
          <w:p w14:paraId="63A88352" w14:textId="77777777" w:rsidR="00670FD4" w:rsidRDefault="00670FD4" w:rsidP="001925BA">
            <w:pPr>
              <w:spacing w:after="0" w:line="240" w:lineRule="auto"/>
              <w:rPr>
                <w:rFonts w:eastAsia="Times New Roman" w:cs="Times New Roman"/>
                <w:sz w:val="20"/>
                <w:szCs w:val="20"/>
              </w:rPr>
            </w:pPr>
          </w:p>
        </w:tc>
        <w:tc>
          <w:tcPr>
            <w:tcW w:w="4254"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52C2C0B2"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A 8.3.3 Crearea unei platforme cu acces public, de comunicare și dezbatere privind starea și evoluția zonei costiere</w:t>
            </w:r>
          </w:p>
        </w:tc>
        <w:tc>
          <w:tcPr>
            <w:tcW w:w="1277"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146759B0"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5BE8736D"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2027</w:t>
            </w:r>
          </w:p>
        </w:tc>
        <w:tc>
          <w:tcPr>
            <w:tcW w:w="1419"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7FA1092A"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MMAP</w:t>
            </w:r>
          </w:p>
        </w:tc>
        <w:tc>
          <w:tcPr>
            <w:tcW w:w="1702"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5FE99807" w14:textId="77777777" w:rsidR="00670FD4" w:rsidRDefault="00670FD4" w:rsidP="001925BA">
            <w:pPr>
              <w:spacing w:after="0" w:line="240" w:lineRule="auto"/>
              <w:ind w:firstLine="0"/>
              <w:rPr>
                <w:rFonts w:eastAsia="Times New Roman" w:cs="Times New Roman"/>
                <w:sz w:val="20"/>
                <w:szCs w:val="20"/>
              </w:rPr>
            </w:pPr>
            <w:r>
              <w:rPr>
                <w:rFonts w:eastAsia="Times New Roman" w:cs="Times New Roman"/>
                <w:sz w:val="20"/>
                <w:szCs w:val="20"/>
              </w:rPr>
              <w:t>Buget propriu MMAP</w:t>
            </w:r>
          </w:p>
        </w:tc>
      </w:tr>
    </w:tbl>
    <w:p w14:paraId="2BAFDE7B" w14:textId="77777777" w:rsidR="00670FD4" w:rsidRDefault="00670FD4" w:rsidP="00670FD4">
      <w:pPr>
        <w:tabs>
          <w:tab w:val="left" w:pos="1620"/>
        </w:tabs>
        <w:rPr>
          <w:rFonts w:eastAsia="Times New Roman" w:cs="Times New Roman"/>
        </w:rPr>
        <w:sectPr w:rsidR="00670FD4" w:rsidSect="00670FD4">
          <w:headerReference w:type="even" r:id="rId72"/>
          <w:headerReference w:type="default" r:id="rId73"/>
          <w:headerReference w:type="first" r:id="rId74"/>
          <w:pgSz w:w="16838" w:h="11906" w:orient="landscape"/>
          <w:pgMar w:top="1440" w:right="1440" w:bottom="1440" w:left="1440" w:header="0" w:footer="0" w:gutter="0"/>
          <w:cols w:space="708"/>
        </w:sectPr>
      </w:pPr>
    </w:p>
    <w:p w14:paraId="14F6E263" w14:textId="77777777" w:rsidR="00670FD4" w:rsidRDefault="00670FD4" w:rsidP="00670FD4">
      <w:pPr>
        <w:pStyle w:val="Heading2"/>
      </w:pPr>
      <w:bookmarkStart w:id="152" w:name="_Toc150501477"/>
      <w:bookmarkStart w:id="153" w:name="_Toc171084864"/>
      <w:r>
        <w:lastRenderedPageBreak/>
        <w:t>2.9. Consolidarea/întărirea capacității instituționale</w:t>
      </w:r>
      <w:bookmarkEnd w:id="152"/>
      <w:bookmarkEnd w:id="153"/>
    </w:p>
    <w:p w14:paraId="5E57B14D" w14:textId="77777777" w:rsidR="00670FD4" w:rsidRDefault="00670FD4" w:rsidP="00670FD4">
      <w:pPr>
        <w:spacing w:before="0"/>
        <w:rPr>
          <w:rFonts w:eastAsia="Times New Roman" w:cs="Times New Roman"/>
        </w:rPr>
      </w:pPr>
      <w:r>
        <w:rPr>
          <w:rFonts w:eastAsia="Times New Roman" w:cs="Times New Roman"/>
        </w:rPr>
        <w:t xml:space="preserve">Armonizarea abordărilor cu privire la problemele zonei costiere la nivelurile superioare de guvernare și în sectoarele cheie este esențială. Planul de Management Integrat al zonei costiere trebuie să stabilească forma practică și domeniul de aplicare a structurilor instituționale necesare pentru a realiza armonizarea și coordonarea eficientă, în special pentru a ieși din percepția că MIZC este în primul rând o activitate de mediu și pentru a integra pe deplin schimbările climatice, dezvoltarea socială și economică, sectorul marin, interacțiunea uscat-mare și altele. </w:t>
      </w:r>
    </w:p>
    <w:p w14:paraId="6539BFCC" w14:textId="77777777" w:rsidR="00670FD4" w:rsidRDefault="00670FD4" w:rsidP="00670FD4">
      <w:pPr>
        <w:spacing w:before="0"/>
        <w:rPr>
          <w:rFonts w:eastAsia="Times New Roman" w:cs="Times New Roman"/>
        </w:rPr>
      </w:pPr>
      <w:r>
        <w:rPr>
          <w:rFonts w:eastAsia="Times New Roman" w:cs="Times New Roman"/>
        </w:rPr>
        <w:t>În plus față de armonizarea problemelor din zona costieră la nivelurile superioare de guvernare, MICZ necesită un parteneriat mai larg și o asumare a societății civile, între toate nivelurile de guvernare. Prin urmare, Planul de Management Integrat al zonei costiere stabilește cadrul adecvat pentru acest angajament mai larg prin structuri participative, consolidarea capacităților și creșterea gradului de cunoaștere și conștientizare.</w:t>
      </w:r>
    </w:p>
    <w:p w14:paraId="737FD35E" w14:textId="77777777" w:rsidR="00670FD4" w:rsidRDefault="00670FD4" w:rsidP="00670FD4">
      <w:pPr>
        <w:spacing w:before="0"/>
        <w:ind w:firstLine="540"/>
        <w:rPr>
          <w:rFonts w:eastAsia="Times New Roman" w:cs="Times New Roman"/>
        </w:rPr>
      </w:pPr>
      <w:r>
        <w:rPr>
          <w:rFonts w:eastAsia="Times New Roman" w:cs="Times New Roman"/>
        </w:rPr>
        <w:t xml:space="preserve">Principalii actori în procesul MIZC sunt, bineînțeles, instituțiile guvernamentale. Cu toate acestea, diferitele instituții guvernamentale - la diferite niveluri de administrație - prestează servicii și derulează programe pe baza unor mandate și legi diferite, care conțin adesea scopuri, obiective și politici diferite. </w:t>
      </w:r>
    </w:p>
    <w:p w14:paraId="09DCAA53" w14:textId="77777777" w:rsidR="00670FD4" w:rsidRDefault="00670FD4" w:rsidP="00670FD4">
      <w:pPr>
        <w:spacing w:before="0"/>
        <w:ind w:firstLine="540"/>
        <w:rPr>
          <w:rFonts w:eastAsia="Times New Roman" w:cs="Times New Roman"/>
        </w:rPr>
      </w:pPr>
      <w:r>
        <w:rPr>
          <w:rFonts w:eastAsia="Times New Roman" w:cs="Times New Roman"/>
        </w:rPr>
        <w:t>Cel puțin trei factori tind să complice cooperarea instituțională:</w:t>
      </w:r>
    </w:p>
    <w:p w14:paraId="717ED84A" w14:textId="77777777" w:rsidR="00670FD4" w:rsidRDefault="00670FD4" w:rsidP="00670FD4">
      <w:pPr>
        <w:spacing w:before="0"/>
        <w:rPr>
          <w:rFonts w:eastAsia="Times New Roman" w:cs="Times New Roman"/>
        </w:rPr>
      </w:pPr>
      <w:r>
        <w:rPr>
          <w:rFonts w:eastAsia="Times New Roman" w:cs="Times New Roman"/>
        </w:rPr>
        <w:t>•</w:t>
      </w:r>
      <w:r>
        <w:rPr>
          <w:rFonts w:eastAsia="Times New Roman" w:cs="Times New Roman"/>
        </w:rPr>
        <w:tab/>
        <w:t>instituțiile guvernamentale din diferite sectoare vor avea probabil orientări și obiective diferite și, prin urmare, interese diferite;</w:t>
      </w:r>
    </w:p>
    <w:p w14:paraId="2A3C7A2F" w14:textId="77777777" w:rsidR="00670FD4" w:rsidRDefault="00670FD4" w:rsidP="00670FD4">
      <w:pPr>
        <w:spacing w:before="0"/>
        <w:rPr>
          <w:rFonts w:eastAsia="Times New Roman" w:cs="Times New Roman"/>
        </w:rPr>
      </w:pPr>
      <w:r>
        <w:rPr>
          <w:rFonts w:eastAsia="Times New Roman" w:cs="Times New Roman"/>
        </w:rPr>
        <w:t>•</w:t>
      </w:r>
      <w:r>
        <w:rPr>
          <w:rFonts w:eastAsia="Times New Roman" w:cs="Times New Roman"/>
        </w:rPr>
        <w:tab/>
        <w:t>diferitele niveluri de guvernare vor avea probabil priorități diferite;</w:t>
      </w:r>
    </w:p>
    <w:p w14:paraId="6D2814BE" w14:textId="77777777" w:rsidR="00670FD4" w:rsidRDefault="00670FD4" w:rsidP="00670FD4">
      <w:pPr>
        <w:spacing w:before="0"/>
        <w:rPr>
          <w:rFonts w:eastAsia="Times New Roman" w:cs="Times New Roman"/>
        </w:rPr>
      </w:pPr>
      <w:r>
        <w:rPr>
          <w:rFonts w:eastAsia="Times New Roman" w:cs="Times New Roman"/>
        </w:rPr>
        <w:t>•</w:t>
      </w:r>
      <w:r>
        <w:rPr>
          <w:rFonts w:eastAsia="Times New Roman" w:cs="Times New Roman"/>
        </w:rPr>
        <w:tab/>
        <w:t>diferitele instituții guvernamentale de la diferite niveluri administrative sunt ghidate de mandate (sarcini, responsabilități și competențe) diferite.</w:t>
      </w:r>
    </w:p>
    <w:p w14:paraId="35B0BBA7" w14:textId="77777777" w:rsidR="00670FD4" w:rsidRDefault="00670FD4" w:rsidP="00670FD4">
      <w:pPr>
        <w:spacing w:before="0"/>
        <w:rPr>
          <w:rFonts w:eastAsia="Times New Roman" w:cs="Times New Roman"/>
        </w:rPr>
      </w:pPr>
      <w:r>
        <w:rPr>
          <w:rFonts w:eastAsia="Times New Roman" w:cs="Times New Roman"/>
        </w:rPr>
        <w:t xml:space="preserve">Una dintre principalele provocări ale MIZC este de a crea modalități de a se asigura că acțiunile agențiilor guvernamentale decidente, care implică și alte părți interesate, sunt armonizate între ele și sunt în concordanță cu scopurile și obiectivele convenite. Prin urmare, provocarea este de a dezvolta un mecanism instituțional care să poată coordona numeroasele structuri și organizații implicate în problemele zonei costiere, să fie capabil să ghideze procesele costiere și să orienteze evoluțiile în direcțiile stabilite pentru a atinge obiectivele dorite, prevăzute în strategia națională MIZC. În plus, colaborarea poate fi impusă prin acte legislative, însă coordonarea și colaborarea intersectorială reală, eficientă, în procesul de gestionare a zonei costiere pot fi realizate doar pe baza: </w:t>
      </w:r>
    </w:p>
    <w:p w14:paraId="581BCE9B" w14:textId="77777777" w:rsidR="00670FD4" w:rsidRDefault="00670FD4" w:rsidP="00670FD4">
      <w:pPr>
        <w:spacing w:before="0"/>
        <w:rPr>
          <w:rFonts w:eastAsia="Times New Roman" w:cs="Times New Roman"/>
        </w:rPr>
      </w:pPr>
      <w:r>
        <w:rPr>
          <w:rFonts w:eastAsia="Times New Roman" w:cs="Times New Roman"/>
        </w:rPr>
        <w:t>-</w:t>
      </w:r>
      <w:r>
        <w:rPr>
          <w:rFonts w:eastAsia="Times New Roman" w:cs="Times New Roman"/>
        </w:rPr>
        <w:tab/>
        <w:t>disponibilității și consensualității părților interesate de a colabora eficient;</w:t>
      </w:r>
    </w:p>
    <w:p w14:paraId="3DD20173" w14:textId="77777777" w:rsidR="00670FD4" w:rsidRDefault="00670FD4" w:rsidP="00670FD4">
      <w:pPr>
        <w:spacing w:before="0"/>
        <w:rPr>
          <w:rFonts w:eastAsia="Times New Roman" w:cs="Times New Roman"/>
        </w:rPr>
      </w:pPr>
      <w:r>
        <w:rPr>
          <w:rFonts w:eastAsia="Times New Roman" w:cs="Times New Roman"/>
        </w:rPr>
        <w:t>-</w:t>
      </w:r>
      <w:r>
        <w:rPr>
          <w:rFonts w:eastAsia="Times New Roman" w:cs="Times New Roman"/>
        </w:rPr>
        <w:tab/>
        <w:t>capacității organismelor de coordonare de a ghida și conduce procesul și a agențiilor sectoriale de a integra planificarea și acțiunile;</w:t>
      </w:r>
    </w:p>
    <w:p w14:paraId="3C8E7D42" w14:textId="77777777" w:rsidR="00670FD4" w:rsidRDefault="00670FD4" w:rsidP="00670FD4">
      <w:pPr>
        <w:spacing w:before="0"/>
        <w:rPr>
          <w:rFonts w:eastAsia="Times New Roman" w:cs="Times New Roman"/>
        </w:rPr>
      </w:pPr>
      <w:r>
        <w:rPr>
          <w:rFonts w:eastAsia="Times New Roman" w:cs="Times New Roman"/>
        </w:rPr>
        <w:t>-</w:t>
      </w:r>
      <w:r>
        <w:rPr>
          <w:rFonts w:eastAsia="Times New Roman" w:cs="Times New Roman"/>
        </w:rPr>
        <w:tab/>
        <w:t>fezabilității tehnice a opțiunilor alternative și capacității financiare de a lua măsuri corective.</w:t>
      </w:r>
    </w:p>
    <w:p w14:paraId="416816B5" w14:textId="77777777" w:rsidR="00670FD4" w:rsidRDefault="00670FD4" w:rsidP="00670FD4">
      <w:pPr>
        <w:spacing w:before="0"/>
        <w:ind w:firstLine="540"/>
        <w:rPr>
          <w:rFonts w:eastAsia="Times New Roman" w:cs="Times New Roman"/>
        </w:rPr>
      </w:pPr>
      <w:r>
        <w:rPr>
          <w:rFonts w:eastAsia="Times New Roman" w:cs="Times New Roman"/>
        </w:rPr>
        <w:lastRenderedPageBreak/>
        <w:t>Gestionarea integrată a zonei costiere trebuie să se bazeze pe principiile unei bune guvernanțe. Conform Agendei Teritoriale 2020, Cap. IV – Transpunerea coeziunii teritoriale a UE în realitate, „sunt necesare formule de guvernanță pe mai multe niveluri pentru a gestiona diferitele teritorii funcționale şi pentru a asigura contribuția echilibrată şi coordonată a actorilor locali, regionali, naționali şi europeni, cu respectarea principiului subsidiarității. Aceasta reclamă o coordonare verticală şi orizontală între organele de decizie de la diferite niveluri şi politici sectoriale menite să asigure coerența şi sinergia.”</w:t>
      </w:r>
    </w:p>
    <w:p w14:paraId="513BED67" w14:textId="77777777" w:rsidR="00670FD4" w:rsidRDefault="00670FD4" w:rsidP="00670FD4">
      <w:pPr>
        <w:spacing w:before="0"/>
        <w:rPr>
          <w:rFonts w:eastAsia="Times New Roman" w:cs="Times New Roman"/>
        </w:rPr>
      </w:pPr>
      <w:r>
        <w:rPr>
          <w:rFonts w:eastAsia="Times New Roman" w:cs="Times New Roman"/>
        </w:rPr>
        <w:t>O bună guvernanță a zonei costiere poate asigura un echilibru între factorii / actorii interesați de starea și dezvoltarea zonei costiere și decidenți. Conform principiilor exprimate în documentul Commission of the European Communities (2001), guvernanța trebuie să fie exercitată într-un mod transparent, participativ, responsabil, eficient și coerent și să respecte principiile proporționalității și subsidiarității.</w:t>
      </w:r>
    </w:p>
    <w:p w14:paraId="030F657C" w14:textId="77777777" w:rsidR="00670FD4" w:rsidRDefault="00670FD4" w:rsidP="00670FD4">
      <w:pPr>
        <w:spacing w:before="0"/>
        <w:rPr>
          <w:rFonts w:eastAsia="Times New Roman" w:cs="Times New Roman"/>
        </w:rPr>
      </w:pPr>
      <w:r>
        <w:rPr>
          <w:rFonts w:eastAsia="Times New Roman" w:cs="Times New Roman"/>
        </w:rPr>
        <w:t>În cazul zonei costiere este foarte important a se urmări și asigura o guvernanță multi-nivel atât pe orizontală - între actorii teritoriali (Consilii județene, UAT-uri, agenți economici, ONG-uri, etc.), cât și pe verticală, între autoritățile administrației centrale (ministere, agenții) și cele ale administrației publice locale. Una dintre principalele provocări ale MIZC este de a crea modalități de a se asigura că acțiunile agențiilor guvernamentale decidente, care implică și alte părți interesate, sunt armonizate între ele și sunt în concordanță cu scopurile și obiectivele convenite. Prin urmare, provocarea este de a dezvolta un mecanism instituțional care să poată coordona numeroasele structuri și organizații implicate în problemele zonei costiere, să fie capabil să ghideze procesele costiere și să orienteze evoluțiile în direcțiile stabilite pentru a atinge obiectivele dorite, prevăzute în strategia națională MIZC. În plus, colaborarea poate fi impusă prin acte legislative, însă coordonarea și colaborarea intersectorială reală, eficientă, în procesul de gestionare a zonei costiere pot fi realizate doar pe baza:</w:t>
      </w:r>
    </w:p>
    <w:p w14:paraId="00B4EA17" w14:textId="77777777" w:rsidR="00670FD4" w:rsidRDefault="00670FD4" w:rsidP="00670FD4">
      <w:pPr>
        <w:spacing w:before="0"/>
        <w:rPr>
          <w:rFonts w:eastAsia="Times New Roman" w:cs="Times New Roman"/>
        </w:rPr>
      </w:pPr>
      <w:r>
        <w:rPr>
          <w:rFonts w:eastAsia="Times New Roman" w:cs="Times New Roman"/>
        </w:rPr>
        <w:t>- disponibilității și consensualității părților interesate de a colabora eficient;</w:t>
      </w:r>
    </w:p>
    <w:p w14:paraId="378535FF" w14:textId="77777777" w:rsidR="00670FD4" w:rsidRDefault="00670FD4" w:rsidP="00670FD4">
      <w:pPr>
        <w:spacing w:before="0"/>
        <w:rPr>
          <w:rFonts w:eastAsia="Times New Roman" w:cs="Times New Roman"/>
        </w:rPr>
      </w:pPr>
      <w:r>
        <w:rPr>
          <w:rFonts w:eastAsia="Times New Roman" w:cs="Times New Roman"/>
        </w:rPr>
        <w:t>- capacității organismelor de coordonare de a ghida și conduce procesul și a agențiilor sectoriale de a integra planificarea și acțiunile;</w:t>
      </w:r>
    </w:p>
    <w:p w14:paraId="0C75469C" w14:textId="77777777" w:rsidR="00670FD4" w:rsidRDefault="00670FD4" w:rsidP="00670FD4">
      <w:pPr>
        <w:spacing w:before="0"/>
        <w:rPr>
          <w:rFonts w:eastAsia="Times New Roman" w:cs="Times New Roman"/>
        </w:rPr>
      </w:pPr>
      <w:r>
        <w:rPr>
          <w:rFonts w:eastAsia="Times New Roman" w:cs="Times New Roman"/>
        </w:rPr>
        <w:t>- fezabilității tehnice a opțiunilor alternative și capacității financiare de a lua măsuri corective.</w:t>
      </w:r>
    </w:p>
    <w:p w14:paraId="0A228047" w14:textId="77777777" w:rsidR="00670FD4" w:rsidRDefault="00670FD4" w:rsidP="00670FD4">
      <w:pPr>
        <w:spacing w:before="0"/>
        <w:ind w:firstLine="540"/>
        <w:rPr>
          <w:rFonts w:eastAsia="Times New Roman" w:cs="Times New Roman"/>
          <w:color w:val="000000"/>
        </w:rPr>
      </w:pPr>
      <w:r>
        <w:rPr>
          <w:rFonts w:eastAsia="Times New Roman" w:cs="Times New Roman"/>
          <w:color w:val="000000"/>
        </w:rPr>
        <w:t xml:space="preserve">Structura instituțională propusă se bazează, în mare parte, pe cea existentă deja, care recunoaște Ministerul Mediului, Apelor și Pădurilor ca principala autoritate responsabilă de implementarea MIZC în România. Conform prevederilor art. 4 din HG nr. 43/2020 privind organizarea și funcționarea Ministerului Mediului, Apelor și Pădurilor, cu modificările și completările ulterioare, MMAP exercită în domeniul de competență și funcția de strategie și planificare, iar conform art. 6, alin. I (f) din </w:t>
      </w:r>
      <w:r>
        <w:rPr>
          <w:rFonts w:eastAsia="Times New Roman" w:cs="Times New Roman"/>
        </w:rPr>
        <w:t>aceeași</w:t>
      </w:r>
      <w:r>
        <w:rPr>
          <w:rFonts w:eastAsia="Times New Roman" w:cs="Times New Roman"/>
          <w:color w:val="000000"/>
        </w:rPr>
        <w:t xml:space="preserve"> HG, MMAP, î</w:t>
      </w:r>
      <w:r>
        <w:rPr>
          <w:rFonts w:eastAsia="Times New Roman" w:cs="Times New Roman"/>
          <w:color w:val="000000"/>
          <w:highlight w:val="white"/>
        </w:rPr>
        <w:t>n exercitarea funcției de strategie și planificare, elaborează, actualizează, coordonează și monitorizează aplicarea</w:t>
      </w:r>
      <w:r>
        <w:t xml:space="preserve"> </w:t>
      </w:r>
      <w:r>
        <w:rPr>
          <w:rFonts w:eastAsia="Times New Roman" w:cs="Times New Roman"/>
          <w:color w:val="000000"/>
          <w:highlight w:val="white"/>
        </w:rPr>
        <w:t>Strategiei privind gospodărirea integrată a zonei costiere</w:t>
      </w:r>
      <w:r>
        <w:rPr>
          <w:rFonts w:eastAsia="Times New Roman" w:cs="Times New Roman"/>
          <w:color w:val="000000"/>
        </w:rPr>
        <w:t xml:space="preserve">. Totuși, principala problemă este legată de insuficienta autoritate a acestui minister de resort, astfel încât acesta să aibă un control eficient asupra activităților celorlalte ministere implicate în procesul de luare a deciziilor privind zona costieră. Din acest motiv, prezentul document propune menținerea Comitetului Național al Zonei Costiere (CNZC), dar cu modificări semnificative în ceea ce privește </w:t>
      </w:r>
      <w:r>
        <w:rPr>
          <w:rFonts w:eastAsia="Times New Roman" w:cs="Times New Roman"/>
          <w:color w:val="000000"/>
        </w:rPr>
        <w:lastRenderedPageBreak/>
        <w:t>conducerea, în sensul sporirii autorității, componența și atribuțiile, în calitate de entitate principală de gestionare integrată a zonei costiere. Aceste modificări se vor realiza cu prioritate, prin implementarea măsurii M1.1 din prezentul Plan de Management Integrat al zonei costiere.</w:t>
      </w:r>
    </w:p>
    <w:p w14:paraId="689FE0B5" w14:textId="77777777" w:rsidR="00670FD4" w:rsidRDefault="00670FD4" w:rsidP="00670FD4">
      <w:pPr>
        <w:spacing w:before="0"/>
        <w:ind w:firstLine="540"/>
        <w:rPr>
          <w:rFonts w:eastAsia="Times New Roman" w:cs="Times New Roman"/>
          <w:color w:val="000000"/>
        </w:rPr>
      </w:pPr>
      <w:r>
        <w:rPr>
          <w:rFonts w:eastAsia="Times New Roman" w:cs="Times New Roman"/>
          <w:color w:val="000000"/>
        </w:rPr>
        <w:t xml:space="preserve">În urma implementării acestei măsuri, conducerea </w:t>
      </w:r>
      <w:sdt>
        <w:sdtPr>
          <w:tag w:val="goog_rdk_57"/>
          <w:id w:val="-378398904"/>
        </w:sdtPr>
        <w:sdtContent>
          <w:r>
            <w:rPr>
              <w:rFonts w:eastAsia="Times New Roman" w:cs="Times New Roman"/>
              <w:color w:val="000000"/>
            </w:rPr>
            <w:t>CNZC</w:t>
          </w:r>
        </w:sdtContent>
      </w:sdt>
      <w:r>
        <w:rPr>
          <w:rFonts w:eastAsia="Times New Roman" w:cs="Times New Roman"/>
          <w:color w:val="000000"/>
        </w:rPr>
        <w:t xml:space="preserve"> va fi asigurată de către cancelaria Primului Ministru, astfel încât Comitetului Național al Zonei Costiere i se conferă suficientă autoritate pentru a asigura o coordonare </w:t>
      </w:r>
      <w:sdt>
        <w:sdtPr>
          <w:tag w:val="goog_rdk_58"/>
          <w:id w:val="2033145561"/>
        </w:sdtPr>
        <w:sdtContent>
          <w:r>
            <w:rPr>
              <w:rFonts w:eastAsia="Times New Roman" w:cs="Times New Roman"/>
              <w:color w:val="000000"/>
            </w:rPr>
            <w:t>interministerială</w:t>
          </w:r>
        </w:sdtContent>
      </w:sdt>
      <w:r>
        <w:rPr>
          <w:rFonts w:eastAsia="Times New Roman" w:cs="Times New Roman"/>
          <w:color w:val="000000"/>
        </w:rPr>
        <w:t xml:space="preserve"> eficientă la nivel de implementare a politicii MIZC, precum și înființarea și implementarea unor mecanisme de coordonare instituțională, organizate pe verticală și orizontală, între autoritățile și instituțiile competente atât la nivel național, cât și local. În acest fel, deficiențele și problemele identificate în analiza situației zonei costiere în ceea ce privește necesitatea stabilirii/întăririi unui cadru instituțional pentru MIZC vor fi eliminate.</w:t>
      </w:r>
    </w:p>
    <w:p w14:paraId="587C7371" w14:textId="77777777" w:rsidR="00670FD4" w:rsidRDefault="00670FD4" w:rsidP="00670FD4">
      <w:pPr>
        <w:spacing w:before="0"/>
        <w:ind w:firstLine="540"/>
        <w:rPr>
          <w:rFonts w:eastAsia="Times New Roman" w:cs="Times New Roman"/>
        </w:rPr>
      </w:pPr>
      <w:r>
        <w:rPr>
          <w:rFonts w:eastAsia="Times New Roman" w:cs="Times New Roman"/>
        </w:rPr>
        <w:t>Pentru asigurarea implementării Planului de Management Integrat al zonei costiere și a Strategiei naționale privind gospodărirea integrată al zonei costiere, CNZC va fi structura de cooperare de importanță vitală deoarece:</w:t>
      </w:r>
    </w:p>
    <w:p w14:paraId="3965A146" w14:textId="77777777" w:rsidR="00670FD4" w:rsidRDefault="00670FD4" w:rsidP="00670FD4">
      <w:pPr>
        <w:spacing w:before="0"/>
        <w:ind w:firstLine="540"/>
        <w:rPr>
          <w:rFonts w:eastAsia="Times New Roman" w:cs="Times New Roman"/>
        </w:rPr>
      </w:pPr>
      <w:r>
        <w:rPr>
          <w:rFonts w:eastAsia="Times New Roman" w:cs="Times New Roman"/>
        </w:rPr>
        <w:t>- va asigura cadrul pentru o bună guvernanță a zonei costiere;</w:t>
      </w:r>
    </w:p>
    <w:p w14:paraId="0AE8D180" w14:textId="77777777" w:rsidR="00670FD4" w:rsidRDefault="00670FD4" w:rsidP="00670FD4">
      <w:pPr>
        <w:spacing w:before="0"/>
        <w:ind w:firstLine="540"/>
        <w:rPr>
          <w:rFonts w:eastAsia="Times New Roman" w:cs="Times New Roman"/>
        </w:rPr>
      </w:pPr>
      <w:r>
        <w:rPr>
          <w:rFonts w:eastAsia="Times New Roman" w:cs="Times New Roman"/>
        </w:rPr>
        <w:t>- va asigura cadrul de comunicare între toți actorii instituționali implicați în procesul MIZC;</w:t>
      </w:r>
    </w:p>
    <w:p w14:paraId="20B9D187" w14:textId="77777777" w:rsidR="00670FD4" w:rsidRDefault="00670FD4" w:rsidP="00670FD4">
      <w:pPr>
        <w:spacing w:before="0"/>
        <w:ind w:firstLine="540"/>
        <w:rPr>
          <w:rFonts w:eastAsia="Times New Roman" w:cs="Times New Roman"/>
        </w:rPr>
      </w:pPr>
      <w:r>
        <w:rPr>
          <w:rFonts w:eastAsia="Times New Roman" w:cs="Times New Roman"/>
        </w:rPr>
        <w:t>- va asigura capacitate de expertiză interdisciplinară pentru abordarea integrată a problemelor zona costieră;</w:t>
      </w:r>
    </w:p>
    <w:p w14:paraId="13A7DA19" w14:textId="77777777" w:rsidR="00670FD4" w:rsidRDefault="00670FD4" w:rsidP="00670FD4">
      <w:pPr>
        <w:spacing w:before="0"/>
        <w:ind w:firstLine="540"/>
        <w:rPr>
          <w:rFonts w:eastAsia="Times New Roman" w:cs="Times New Roman"/>
        </w:rPr>
      </w:pPr>
      <w:r>
        <w:rPr>
          <w:rFonts w:eastAsia="Times New Roman" w:cs="Times New Roman"/>
        </w:rPr>
        <w:t>- va asigura coerența și transparența deciziilor referitoare la zona costieră.</w:t>
      </w:r>
    </w:p>
    <w:p w14:paraId="2966B172" w14:textId="77777777" w:rsidR="00670FD4" w:rsidRDefault="00670FD4" w:rsidP="00670FD4">
      <w:pPr>
        <w:spacing w:before="0"/>
        <w:ind w:firstLine="540"/>
        <w:rPr>
          <w:rFonts w:eastAsia="Times New Roman" w:cs="Times New Roman"/>
        </w:rPr>
      </w:pPr>
      <w:r>
        <w:rPr>
          <w:rFonts w:eastAsia="Times New Roman" w:cs="Times New Roman"/>
        </w:rPr>
        <w:t>CNZC va acorda suport de specialitate / profesional și consiliere în cadrul implementării Planului și Strategiei naţionale MIZC, precum și în cadrul funcționării sistemului instituțional MIZC prin adoptarea de recomandări, orientări referitoare la implementarea politicii de management integrat a zonei costiere, în special în ceea ce privește:</w:t>
      </w:r>
    </w:p>
    <w:p w14:paraId="63B23D60" w14:textId="77777777" w:rsidR="00670FD4" w:rsidRDefault="00670FD4" w:rsidP="00670FD4">
      <w:pPr>
        <w:spacing w:before="0"/>
        <w:ind w:firstLine="540"/>
        <w:rPr>
          <w:rFonts w:eastAsia="Times New Roman" w:cs="Times New Roman"/>
        </w:rPr>
      </w:pPr>
      <w:r>
        <w:rPr>
          <w:rFonts w:eastAsia="Times New Roman" w:cs="Times New Roman"/>
        </w:rPr>
        <w:t>- modificări ale reglementărilor existente, adoptarea unor noi reglementări importante pentru MIZCși aplicarea eficientă a acestora;</w:t>
      </w:r>
    </w:p>
    <w:p w14:paraId="47E97958" w14:textId="77777777" w:rsidR="00670FD4" w:rsidRDefault="00670FD4" w:rsidP="00670FD4">
      <w:pPr>
        <w:spacing w:before="0"/>
        <w:ind w:firstLine="540"/>
        <w:rPr>
          <w:rFonts w:eastAsia="Times New Roman" w:cs="Times New Roman"/>
        </w:rPr>
      </w:pPr>
      <w:r>
        <w:rPr>
          <w:rFonts w:eastAsia="Times New Roman" w:cs="Times New Roman"/>
        </w:rPr>
        <w:t>- conformarea politicilor sectoriale cu Strategia naţională MIZC şi eliminarea planificării sectoriale fragmentate a dezvoltării;</w:t>
      </w:r>
    </w:p>
    <w:p w14:paraId="62E10D44" w14:textId="77777777" w:rsidR="00670FD4" w:rsidRDefault="00670FD4" w:rsidP="00670FD4">
      <w:pPr>
        <w:spacing w:before="0"/>
        <w:ind w:firstLine="540"/>
        <w:rPr>
          <w:rFonts w:eastAsia="Times New Roman" w:cs="Times New Roman"/>
        </w:rPr>
      </w:pPr>
      <w:r>
        <w:rPr>
          <w:rFonts w:eastAsia="Times New Roman" w:cs="Times New Roman"/>
        </w:rPr>
        <w:t>- îmbunătăţirea managementului zonei costiere;</w:t>
      </w:r>
    </w:p>
    <w:p w14:paraId="6EC6E3E9" w14:textId="77777777" w:rsidR="00670FD4" w:rsidRDefault="00670FD4" w:rsidP="00670FD4">
      <w:pPr>
        <w:spacing w:before="0"/>
        <w:ind w:firstLine="540"/>
        <w:rPr>
          <w:rFonts w:eastAsia="Times New Roman" w:cs="Times New Roman"/>
        </w:rPr>
      </w:pPr>
      <w:r>
        <w:rPr>
          <w:rFonts w:eastAsia="Times New Roman" w:cs="Times New Roman"/>
        </w:rPr>
        <w:t>- încorporarea MIZC în procesul mai larg de planificare națională;</w:t>
      </w:r>
    </w:p>
    <w:p w14:paraId="5F22454C" w14:textId="77777777" w:rsidR="00670FD4" w:rsidRDefault="00670FD4" w:rsidP="00670FD4">
      <w:pPr>
        <w:spacing w:before="0"/>
        <w:ind w:firstLine="540"/>
        <w:rPr>
          <w:rFonts w:eastAsia="Times New Roman" w:cs="Times New Roman"/>
        </w:rPr>
      </w:pPr>
      <w:r>
        <w:rPr>
          <w:rFonts w:eastAsia="Times New Roman" w:cs="Times New Roman"/>
        </w:rPr>
        <w:t>- definirea măsurilor/politicilor fiscale pentru buna funcționare a managementului zonei costiere;</w:t>
      </w:r>
    </w:p>
    <w:p w14:paraId="40C964ED" w14:textId="77777777" w:rsidR="00670FD4" w:rsidRDefault="00670FD4" w:rsidP="00670FD4">
      <w:pPr>
        <w:spacing w:before="0"/>
        <w:ind w:firstLine="540"/>
        <w:rPr>
          <w:rFonts w:eastAsia="Times New Roman" w:cs="Times New Roman"/>
        </w:rPr>
      </w:pPr>
      <w:r>
        <w:rPr>
          <w:rFonts w:eastAsia="Times New Roman" w:cs="Times New Roman"/>
        </w:rPr>
        <w:t>- reglementarea activităților din zona costieră în vederea conformării acestora cu obiectivele/cerințele de sustenabilitate;</w:t>
      </w:r>
    </w:p>
    <w:p w14:paraId="0931BCA8" w14:textId="77777777" w:rsidR="00670FD4" w:rsidRDefault="00670FD4" w:rsidP="00670FD4">
      <w:pPr>
        <w:spacing w:before="0"/>
        <w:ind w:firstLine="540"/>
        <w:rPr>
          <w:rFonts w:eastAsia="Times New Roman" w:cs="Times New Roman"/>
        </w:rPr>
      </w:pPr>
      <w:r>
        <w:rPr>
          <w:rFonts w:eastAsia="Times New Roman" w:cs="Times New Roman"/>
        </w:rPr>
        <w:t>- asigurarea funcționării continue a Observatorului Zonei Costiere, actualizarea sa permanentă (asigurarea furnizării datelor și informațiilor de către organizațiile competente / responsabile);</w:t>
      </w:r>
    </w:p>
    <w:p w14:paraId="541F235D" w14:textId="77777777" w:rsidR="00670FD4" w:rsidRDefault="00670FD4" w:rsidP="00670FD4">
      <w:pPr>
        <w:spacing w:before="0"/>
        <w:ind w:firstLine="540"/>
        <w:rPr>
          <w:rFonts w:eastAsia="Times New Roman" w:cs="Times New Roman"/>
        </w:rPr>
      </w:pPr>
      <w:r>
        <w:rPr>
          <w:rFonts w:eastAsia="Times New Roman" w:cs="Times New Roman"/>
        </w:rPr>
        <w:lastRenderedPageBreak/>
        <w:t>- asigurarea de sprijin și asistență în accesarea de fonduri pentru programele și activitățile ce contribuie la dezvoltarea sustenabilă, integrată, a zonei costiere;</w:t>
      </w:r>
    </w:p>
    <w:p w14:paraId="499C98AD" w14:textId="77777777" w:rsidR="00670FD4" w:rsidRDefault="00670FD4" w:rsidP="00670FD4">
      <w:pPr>
        <w:spacing w:before="0"/>
        <w:ind w:firstLine="540"/>
        <w:rPr>
          <w:rFonts w:eastAsia="Times New Roman" w:cs="Times New Roman"/>
        </w:rPr>
      </w:pPr>
      <w:r>
        <w:rPr>
          <w:rFonts w:eastAsia="Times New Roman" w:cs="Times New Roman"/>
        </w:rPr>
        <w:t>- asigurarea consolidarea de sprijin și asistență în consolidarea capacităţilor instituţiilor existente vitale pentru implementarea planului și strategiei de management integrat al zonelor costiere.</w:t>
      </w:r>
    </w:p>
    <w:p w14:paraId="179A0249" w14:textId="77777777" w:rsidR="00670FD4" w:rsidRDefault="00670FD4" w:rsidP="00670FD4">
      <w:pPr>
        <w:spacing w:before="0"/>
        <w:ind w:firstLine="540"/>
        <w:rPr>
          <w:rFonts w:eastAsia="Times New Roman" w:cs="Times New Roman"/>
        </w:rPr>
      </w:pPr>
      <w:r>
        <w:rPr>
          <w:rFonts w:eastAsia="Times New Roman" w:cs="Times New Roman"/>
        </w:rPr>
        <w:t>Spre deosebire de situația prezentă, prin implementarea măsurii M1.1 se va asigura/sprijini funcționarea CNZC prin crearea în structura MMAP a unui compartiment, numit Secretariat Tehnic Administrativ al Zonei Costire (STA-ZC), care va avea următoarele funcții principale:</w:t>
      </w:r>
    </w:p>
    <w:p w14:paraId="0A567168" w14:textId="77777777" w:rsidR="00670FD4" w:rsidRDefault="00670FD4" w:rsidP="00670FD4">
      <w:pPr>
        <w:spacing w:before="0"/>
        <w:ind w:firstLine="540"/>
        <w:rPr>
          <w:rFonts w:eastAsia="Times New Roman" w:cs="Times New Roman"/>
        </w:rPr>
      </w:pPr>
      <w:r>
        <w:rPr>
          <w:rFonts w:eastAsia="Times New Roman" w:cs="Times New Roman"/>
        </w:rPr>
        <w:t>- o funcție administrativă, cu un personal restrâns, permanent, care va desfășura strict activități de secretariat și logistice pentru buna funcționare a CNZC (organizează și asigură buna desfăşurare a ședințelor CNZC, propune preşedintelui Comitetului structura şi conţinutul agendei, pregăteşte şi transmite documentele şi materialele necesare convocării şi desfăşurării şedinţelor CNZC, redactează procesele-verbale ale ședințelor CNZC, comunică procesele-verbale către toţi cei interesaţi, cu respectarea prevederilor legale în vigoare, etc.);</w:t>
      </w:r>
    </w:p>
    <w:p w14:paraId="31494FD0" w14:textId="77777777" w:rsidR="00670FD4" w:rsidRDefault="00670FD4" w:rsidP="00670FD4">
      <w:pPr>
        <w:spacing w:before="0"/>
        <w:ind w:firstLine="540"/>
        <w:rPr>
          <w:rFonts w:eastAsia="Times New Roman" w:cs="Times New Roman"/>
        </w:rPr>
      </w:pPr>
      <w:r>
        <w:rPr>
          <w:rFonts w:eastAsia="Times New Roman" w:cs="Times New Roman"/>
        </w:rPr>
        <w:t>- o funcție tehnică, asigurată de un grup de lucru permanent format din experți în baze de date și GIS ai MMAP, ce vor dezvolta și administra un Observator al Zonei Costiere unde vor fi disponibile date și informații (o bază de date comună). Este foarte importantă cooperarea permanentă și coordonarea STA-ZC cu compartimentul similar în ceea ce privește responsabilitățile, din cadrul Ministerului Dezvoltării, Lucrărilor Publice și Administrației în scopul asigurării complementarității, dar și pentru evitarea suprapunerilor. Ministerul Cercetării, Inovării și Digitalizării și Academia Română vor susține buna funcționare a acestui grup prin delegarea de experți în managementul datelor care să aplice politica de date FAIR (Findable, Accessible, Interoperable and Re-usable);</w:t>
      </w:r>
    </w:p>
    <w:p w14:paraId="6487BEC5" w14:textId="77777777" w:rsidR="00670FD4" w:rsidRDefault="00670FD4" w:rsidP="00670FD4">
      <w:pPr>
        <w:spacing w:before="0"/>
        <w:ind w:firstLine="540"/>
        <w:rPr>
          <w:rFonts w:eastAsia="Times New Roman" w:cs="Times New Roman"/>
        </w:rPr>
      </w:pPr>
      <w:r>
        <w:rPr>
          <w:rFonts w:eastAsia="Times New Roman" w:cs="Times New Roman"/>
        </w:rPr>
        <w:t>- o funcție de monitorizare a stadiului implementării strategiei naționale și planului de management integrat al zonei costiere și raportare (către Agenția Europeană de Mediu, Comisia Mării Negre, etc.);</w:t>
      </w:r>
    </w:p>
    <w:p w14:paraId="46AE6E19" w14:textId="77777777" w:rsidR="00670FD4" w:rsidRDefault="00670FD4" w:rsidP="00670FD4">
      <w:pPr>
        <w:spacing w:before="0"/>
        <w:ind w:firstLine="540"/>
        <w:rPr>
          <w:rFonts w:eastAsia="Times New Roman" w:cs="Times New Roman"/>
        </w:rPr>
      </w:pPr>
      <w:r>
        <w:rPr>
          <w:rFonts w:eastAsia="Times New Roman" w:cs="Times New Roman"/>
        </w:rPr>
        <w:t>- o funcție de comunicare și diseminare - asigurată de experții în comunicare ai MMAP, ce vor implementa Planul de Comunicare (măsura M 1.3).</w:t>
      </w:r>
    </w:p>
    <w:p w14:paraId="2CC28974" w14:textId="77777777" w:rsidR="00670FD4" w:rsidRDefault="00670FD4" w:rsidP="00670FD4">
      <w:pPr>
        <w:spacing w:before="0"/>
        <w:ind w:firstLine="540"/>
        <w:rPr>
          <w:rFonts w:eastAsia="Times New Roman" w:cs="Times New Roman"/>
        </w:rPr>
      </w:pPr>
      <w:r>
        <w:rPr>
          <w:rFonts w:eastAsia="Times New Roman" w:cs="Times New Roman"/>
        </w:rPr>
        <w:t>Referitor la organizarea CNZC, așa cum a fost sugerat mai sus este necesară o restructurare a componenței acestuia, în sensul includerii și reprezentanților mediului de afaceri, precum și o restrângere a numărului reprezentanților autorităților locale, astfel încât să se evite situațiile din prezent legate de neconstituirea cvorumului. În CNZC, cele patru UAT-uri din județul Tulcea vor avea un singur reprezentant, iar cele nouă UAT-uri din județul Constanța vor avea doi reprezentanți. Prin componența sa CNZC trebuie să asigure o abordare multidisciplinară în definirea conţinutului şi participarea la elaborarea planurilor, programelor şi politicilor publice, precum și o reprezentare adecvată a tuturor actorilor importanți pentru zona costieră (reprezentanții ministerelor și agențiilor cheie), reprezentanți ai autorităților locale, reprezentanți ai sectorului civil și privat.</w:t>
      </w:r>
    </w:p>
    <w:p w14:paraId="3E1FEED9" w14:textId="77777777" w:rsidR="00670FD4" w:rsidRDefault="00670FD4" w:rsidP="00670FD4">
      <w:pPr>
        <w:spacing w:before="0"/>
        <w:ind w:firstLine="540"/>
        <w:rPr>
          <w:rFonts w:eastAsia="Times New Roman" w:cs="Times New Roman"/>
        </w:rPr>
      </w:pPr>
      <w:r>
        <w:rPr>
          <w:rFonts w:eastAsia="Times New Roman" w:cs="Times New Roman"/>
        </w:rPr>
        <w:t xml:space="preserve">CNZC se va reuni trimestrial, în ședințe ordinare, fiind convocat de către președinte prin intermediul STA-ZC. În cazul unor situații excepționale (ce urmează a fi definite în </w:t>
      </w:r>
      <w:r>
        <w:rPr>
          <w:rFonts w:eastAsia="Times New Roman" w:cs="Times New Roman"/>
        </w:rPr>
        <w:lastRenderedPageBreak/>
        <w:t>regulamentul de funcționare al Comitetului), CNZC se va reuni în ședințe extraordinare, la solicitarea președintelui CNZC sau a MMAP (prin intermediul STA-ZC).</w:t>
      </w:r>
    </w:p>
    <w:p w14:paraId="6A1ACE26" w14:textId="77777777" w:rsidR="00670FD4" w:rsidRDefault="00670FD4" w:rsidP="00670FD4">
      <w:pPr>
        <w:spacing w:before="0"/>
        <w:ind w:firstLine="540"/>
        <w:rPr>
          <w:rFonts w:eastAsia="Times New Roman" w:cs="Times New Roman"/>
        </w:rPr>
      </w:pPr>
      <w:r>
        <w:rPr>
          <w:rFonts w:eastAsia="Times New Roman" w:cs="Times New Roman"/>
        </w:rPr>
        <w:t>CNZC va lua decizii în baza a cel puțin jumătate plus unul dintre membrii comitetului sunt prezenți la ședință, deciziile fiind adoptate, prin consens, iar dacă acesta nu este posibil, prin aplicarea procedurii de vot și aplicarea regulii majorității simple.</w:t>
      </w:r>
    </w:p>
    <w:p w14:paraId="21638769" w14:textId="77777777" w:rsidR="00670FD4" w:rsidRDefault="00670FD4" w:rsidP="00670FD4">
      <w:pPr>
        <w:spacing w:before="0"/>
        <w:ind w:firstLine="540"/>
        <w:rPr>
          <w:rFonts w:eastAsia="Times New Roman" w:cs="Times New Roman"/>
        </w:rPr>
      </w:pPr>
      <w:r>
        <w:rPr>
          <w:rFonts w:eastAsia="Times New Roman" w:cs="Times New Roman"/>
        </w:rPr>
        <w:t>Comitetul Național pentru Zona Costieră (CNZC):</w:t>
      </w:r>
    </w:p>
    <w:p w14:paraId="024E8770" w14:textId="77777777" w:rsidR="00670FD4" w:rsidRDefault="00670FD4" w:rsidP="00670FD4">
      <w:pPr>
        <w:numPr>
          <w:ilvl w:val="0"/>
          <w:numId w:val="45"/>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va aviza planurile de gospodărire integrată a zonei costiere și planurile de urbanism locale și zonale; studiile de impact pentru activități cu impact semnificativ ce urmează a se desfăşura în zona costieră, precum și bilanţurile de mediu ale lucrărilor existente; proiectele de creare de parcuri și rezervaţii naturale marine/aferente zonei costiere. Avizele CNZC vor preceda emiterea avizelor, acordurilor și autorizațiilor de mediu și gospodărire a apelor și se emit de către CNZC la solicitarea beneficiarilor. Caracterul obligatoriu sau consultativ al avizelor CNZC va fi stabilit după actualizarea delimitării zonei costiere. CNZC va trebui să aibă o perspectivă mai largă asupra strategiilor, programelor și proiectelor care pot avea impact asupra zonei costiere, dar atribuțiile și competențele sale vor fi adaptate scării spațiale respective. Astfel, în unele cazuri (proiecte fără un impact major, realizate în zone ce nu necesită o protecție deosebită) avizele CNZC vor avea un caracter doar consultativ sau vor fi oferite doar puncte de vedere, în timp ce pentru proiecte cu impact major și realizate în zone sensibile, avizul CMZC va trebui să fie obligatoriu. Avizele și punctele de vedere vor fi fundamentate pe baza rapoartelor tehnice elaborate în cadrul Grupurilor de Lucru (a se vedea mai jos);</w:t>
      </w:r>
    </w:p>
    <w:p w14:paraId="19AE8152" w14:textId="77777777" w:rsidR="00670FD4" w:rsidRDefault="00670FD4" w:rsidP="00670FD4">
      <w:pPr>
        <w:numPr>
          <w:ilvl w:val="0"/>
          <w:numId w:val="45"/>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va fi consultat în procesul de elaborare a politicilor și planurilor sectoriale și a modului de aplicare a instrumentelor de punere în aplicare adecvate;</w:t>
      </w:r>
    </w:p>
    <w:p w14:paraId="56A3F205" w14:textId="77777777" w:rsidR="00670FD4" w:rsidRDefault="00670FD4" w:rsidP="00670FD4">
      <w:pPr>
        <w:numPr>
          <w:ilvl w:val="0"/>
          <w:numId w:val="45"/>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va sprijini obținerea unui consens între ministerele și agențiile de resort în ceea ce privește aspectele relevante pentru zona de coastă.</w:t>
      </w:r>
    </w:p>
    <w:p w14:paraId="6A888261" w14:textId="77777777" w:rsidR="00670FD4" w:rsidRDefault="00670FD4" w:rsidP="00670FD4">
      <w:pPr>
        <w:spacing w:before="0"/>
        <w:ind w:firstLine="540"/>
        <w:rPr>
          <w:rFonts w:eastAsia="Times New Roman" w:cs="Times New Roman"/>
        </w:rPr>
      </w:pPr>
      <w:r>
        <w:rPr>
          <w:rFonts w:eastAsia="Times New Roman" w:cs="Times New Roman"/>
        </w:rPr>
        <w:t xml:space="preserve">La nivel tehnico-profesional, în cadrul CNZC se vor constitui Grupuri de Lucru formate din experți aparținând principalelor părți interesate, dar și din experți independenți. Componența și dimensiunea acestor Grupuri de Lucru va fi decisă de către </w:t>
      </w:r>
      <w:sdt>
        <w:sdtPr>
          <w:tag w:val="goog_rdk_59"/>
          <w:id w:val="464315897"/>
        </w:sdtPr>
        <w:sdtContent>
          <w:r>
            <w:rPr>
              <w:rFonts w:eastAsia="Times New Roman" w:cs="Times New Roman"/>
            </w:rPr>
            <w:t>CNZC</w:t>
          </w:r>
        </w:sdtContent>
      </w:sdt>
      <w:r>
        <w:rPr>
          <w:rFonts w:eastAsia="Times New Roman" w:cs="Times New Roman"/>
        </w:rPr>
        <w:t xml:space="preserve"> în funcție de natura problemei în discuție, dintr-o listă largă de experți nominalizați (pe domenii de competență) de către organizațiile membre al CNZC. În principiu, vor fi șase grupuri de lucru (GL), după cum urmează:</w:t>
      </w:r>
    </w:p>
    <w:p w14:paraId="11FEB7E8" w14:textId="77777777" w:rsidR="00670FD4" w:rsidRDefault="00670FD4" w:rsidP="00670FD4">
      <w:pPr>
        <w:spacing w:before="0"/>
        <w:ind w:left="1134" w:hanging="360"/>
        <w:rPr>
          <w:rFonts w:eastAsia="Times New Roman" w:cs="Times New Roman"/>
        </w:rPr>
      </w:pPr>
      <w:r>
        <w:rPr>
          <w:rFonts w:eastAsia="Times New Roman" w:cs="Times New Roman"/>
        </w:rPr>
        <w:t xml:space="preserve">a) </w:t>
      </w:r>
      <w:r>
        <w:rPr>
          <w:rFonts w:eastAsia="Times New Roman" w:cs="Times New Roman"/>
        </w:rPr>
        <w:tab/>
        <w:t>Grupul de lucru pentru politici și planuri de acţiune pentru gestionarea integrată a Zonei Costiere;</w:t>
      </w:r>
    </w:p>
    <w:p w14:paraId="73E1EBA3" w14:textId="77777777" w:rsidR="00670FD4" w:rsidRDefault="00670FD4" w:rsidP="00670FD4">
      <w:pPr>
        <w:spacing w:before="0"/>
        <w:ind w:left="1134" w:hanging="360"/>
        <w:rPr>
          <w:rFonts w:eastAsia="Times New Roman" w:cs="Times New Roman"/>
        </w:rPr>
      </w:pPr>
      <w:r>
        <w:rPr>
          <w:rFonts w:eastAsia="Times New Roman" w:cs="Times New Roman"/>
        </w:rPr>
        <w:t xml:space="preserve">b) </w:t>
      </w:r>
      <w:r>
        <w:rPr>
          <w:rFonts w:eastAsia="Times New Roman" w:cs="Times New Roman"/>
        </w:rPr>
        <w:tab/>
        <w:t>Grupul de lucru pentru planificare spațială a teritoriului, dezvoltare urbană și amenajarea spațiului maritim;</w:t>
      </w:r>
    </w:p>
    <w:p w14:paraId="3D19BA6F" w14:textId="77777777" w:rsidR="00670FD4" w:rsidRDefault="00670FD4" w:rsidP="00670FD4">
      <w:pPr>
        <w:spacing w:before="0"/>
        <w:ind w:left="1134" w:hanging="360"/>
        <w:rPr>
          <w:rFonts w:eastAsia="Times New Roman" w:cs="Times New Roman"/>
        </w:rPr>
      </w:pPr>
      <w:r>
        <w:rPr>
          <w:rFonts w:eastAsia="Times New Roman" w:cs="Times New Roman"/>
        </w:rPr>
        <w:t xml:space="preserve">c) </w:t>
      </w:r>
      <w:r>
        <w:rPr>
          <w:rFonts w:eastAsia="Times New Roman" w:cs="Times New Roman"/>
        </w:rPr>
        <w:tab/>
        <w:t>Grupul de lucru pentru schimbări climatice, hazarde naturale și antropice;</w:t>
      </w:r>
    </w:p>
    <w:p w14:paraId="1F1215A9" w14:textId="77777777" w:rsidR="00670FD4" w:rsidRDefault="00670FD4" w:rsidP="00670FD4">
      <w:pPr>
        <w:spacing w:before="0"/>
        <w:ind w:left="1134" w:hanging="360"/>
        <w:rPr>
          <w:rFonts w:eastAsia="Times New Roman" w:cs="Times New Roman"/>
        </w:rPr>
      </w:pPr>
      <w:r>
        <w:rPr>
          <w:rFonts w:eastAsia="Times New Roman" w:cs="Times New Roman"/>
        </w:rPr>
        <w:t xml:space="preserve">d) </w:t>
      </w:r>
      <w:r>
        <w:rPr>
          <w:rFonts w:eastAsia="Times New Roman" w:cs="Times New Roman"/>
        </w:rPr>
        <w:tab/>
        <w:t>Grupul de lucru pentru reglementări și proiecte de reglementări referitoare la gestionarea integrată a Zonei Costiere;</w:t>
      </w:r>
    </w:p>
    <w:p w14:paraId="13D5A600" w14:textId="77777777" w:rsidR="00670FD4" w:rsidRDefault="00670FD4" w:rsidP="00670FD4">
      <w:pPr>
        <w:spacing w:before="0"/>
        <w:ind w:left="1134" w:hanging="360"/>
        <w:rPr>
          <w:rFonts w:eastAsia="Times New Roman" w:cs="Times New Roman"/>
        </w:rPr>
      </w:pPr>
      <w:r>
        <w:rPr>
          <w:rFonts w:eastAsia="Times New Roman" w:cs="Times New Roman"/>
        </w:rPr>
        <w:lastRenderedPageBreak/>
        <w:t xml:space="preserve">e) </w:t>
      </w:r>
      <w:r>
        <w:rPr>
          <w:rFonts w:eastAsia="Times New Roman" w:cs="Times New Roman"/>
        </w:rPr>
        <w:tab/>
        <w:t>Grupul de pentru patrimoniul natural și cultural, calitatea mediului, conservarea biodiversității;</w:t>
      </w:r>
    </w:p>
    <w:p w14:paraId="064E0AEC" w14:textId="77777777" w:rsidR="00670FD4" w:rsidRDefault="00670FD4" w:rsidP="00670FD4">
      <w:pPr>
        <w:spacing w:before="0"/>
        <w:ind w:left="1134" w:hanging="360"/>
        <w:rPr>
          <w:rFonts w:eastAsia="Times New Roman" w:cs="Times New Roman"/>
        </w:rPr>
      </w:pPr>
      <w:r>
        <w:rPr>
          <w:rFonts w:eastAsia="Times New Roman" w:cs="Times New Roman"/>
        </w:rPr>
        <w:t xml:space="preserve">f) </w:t>
      </w:r>
      <w:r>
        <w:rPr>
          <w:rFonts w:eastAsia="Times New Roman" w:cs="Times New Roman"/>
        </w:rPr>
        <w:tab/>
        <w:t>Grupul de Lucru pentru monitorizare, evaluare și raportare.</w:t>
      </w:r>
    </w:p>
    <w:p w14:paraId="7B05A6B2" w14:textId="77777777" w:rsidR="00670FD4" w:rsidRDefault="00670FD4" w:rsidP="00670FD4">
      <w:pPr>
        <w:spacing w:before="0"/>
        <w:ind w:firstLine="540"/>
        <w:rPr>
          <w:rFonts w:eastAsia="Times New Roman" w:cs="Times New Roman"/>
        </w:rPr>
      </w:pPr>
      <w:r>
        <w:rPr>
          <w:rFonts w:eastAsia="Times New Roman" w:cs="Times New Roman"/>
        </w:rPr>
        <w:t>Grupurile de Lucru se vor întruni ori de câte ori este nevoie, ședințele fiind conduse de către un președinte ales din rândul membrilor grupului, asistat de către un reprezentant al STS-ZC ce va avea responsabilitățile menționate mai jos. Un aspect important de menționat este asigurarea motivației și interesului experților de a lucra eficient în aceste Grupuri de Lucru. Este necesară astfel identificarea unor resurse financiare, din bugetul MMAP, care să fie alocate funcționării optime a acestor Grupuri de Lucru, în principal prin remunerarea experților.</w:t>
      </w:r>
    </w:p>
    <w:p w14:paraId="22D8E5E3" w14:textId="77777777" w:rsidR="00670FD4" w:rsidRDefault="00670FD4" w:rsidP="00670FD4">
      <w:pPr>
        <w:spacing w:before="0"/>
        <w:ind w:firstLine="540"/>
        <w:rPr>
          <w:rFonts w:eastAsia="Times New Roman" w:cs="Times New Roman"/>
        </w:rPr>
      </w:pPr>
      <w:r>
        <w:rPr>
          <w:rFonts w:eastAsia="Times New Roman" w:cs="Times New Roman"/>
        </w:rPr>
        <w:t xml:space="preserve">În organizarea și desfășurarea ședințelor CNZC, precum și ale Grupurilor de Lucru, suportul administrativ (secretariat, logistică) va fi acordat de către Secretariatul Tehnic Administrativ al Zonei Costiere, din cadrul MMAP. În cadrul grupurilor de Lucru vor face parte obligatoriu și reprezentanți ai STA-ZC cu competențe tehnice (baze de date, GIS, monitorizare, raportare, comunicare). Aceștia vor asigura un sprijin permanent desfășurării lucrărilor Grupurilor de Lucru ale </w:t>
      </w:r>
      <w:sdt>
        <w:sdtPr>
          <w:tag w:val="goog_rdk_60"/>
          <w:id w:val="-403141536"/>
        </w:sdtPr>
        <w:sdtContent>
          <w:r>
            <w:rPr>
              <w:rFonts w:eastAsia="Times New Roman" w:cs="Times New Roman"/>
            </w:rPr>
            <w:t>CNZC</w:t>
          </w:r>
        </w:sdtContent>
      </w:sdt>
      <w:r>
        <w:rPr>
          <w:rFonts w:eastAsia="Times New Roman" w:cs="Times New Roman"/>
        </w:rPr>
        <w:t xml:space="preserve">, punând la dispoziția membrilor date/informații necesare, rezultate ale monitorizării implementării strategiei, instrumente de comunicare către publicul larg, etc. Obiectivul activității desfășurate de Grupurile de lucru/grupurile de experți este de a fundamenta procesele decizionale din cadrul </w:t>
      </w:r>
      <w:sdt>
        <w:sdtPr>
          <w:tag w:val="goog_rdk_61"/>
          <w:id w:val="-1667155065"/>
        </w:sdtPr>
        <w:sdtContent>
          <w:r>
            <w:rPr>
              <w:rFonts w:eastAsia="Times New Roman" w:cs="Times New Roman"/>
            </w:rPr>
            <w:t>CNZC</w:t>
          </w:r>
        </w:sdtContent>
      </w:sdt>
      <w:r>
        <w:rPr>
          <w:rFonts w:eastAsia="Times New Roman" w:cs="Times New Roman"/>
        </w:rPr>
        <w:t>, de a pregăti și oferi consultanță de specialitate pe teme relevante pentru punerea în aplicare corespunzătoare a Strategiei privind gospodărirea integrată a zonei costiere.</w:t>
      </w:r>
    </w:p>
    <w:p w14:paraId="75F80C9A" w14:textId="77777777" w:rsidR="00670FD4" w:rsidRDefault="00670FD4" w:rsidP="00670FD4">
      <w:pPr>
        <w:spacing w:before="0"/>
        <w:ind w:firstLine="540"/>
        <w:rPr>
          <w:rFonts w:eastAsia="Times New Roman" w:cs="Times New Roman"/>
        </w:rPr>
      </w:pPr>
      <w:r>
        <w:rPr>
          <w:rFonts w:eastAsia="Times New Roman" w:cs="Times New Roman"/>
        </w:rPr>
        <w:t>În ceea ce privește partea executivă, responsabilitatea pentru punerea în aplicare reală a planului de management integrat al zonei costiere și a Strategiei naționale privind gospodărirea integrată a zonei costiere revine MMAP, împreună cu instituțiile centrale și locale menționate Planul de activități.</w:t>
      </w:r>
    </w:p>
    <w:p w14:paraId="480879AA" w14:textId="77777777" w:rsidR="00670FD4" w:rsidRDefault="00670FD4" w:rsidP="00670FD4">
      <w:pPr>
        <w:spacing w:before="0"/>
        <w:ind w:firstLine="540"/>
        <w:rPr>
          <w:rFonts w:eastAsia="Times New Roman" w:cs="Times New Roman"/>
        </w:rPr>
      </w:pPr>
      <w:bookmarkStart w:id="154" w:name="_Hlk170992732"/>
      <w:r>
        <w:rPr>
          <w:rFonts w:eastAsia="Times New Roman" w:cs="Times New Roman"/>
        </w:rPr>
        <w:t>Reorganizarea în noua formă a CNZC, precum și atribuțiile și funcționarea acestuia trebuie stabilite/reglementate printr-o Hotărâre de Guvern, urmată de adoptarea unui regulament de organizare și funcționare.</w:t>
      </w:r>
    </w:p>
    <w:bookmarkEnd w:id="154"/>
    <w:p w14:paraId="08304335" w14:textId="77777777" w:rsidR="00670FD4" w:rsidRPr="005E6631" w:rsidRDefault="00670FD4" w:rsidP="00670FD4">
      <w:pPr>
        <w:rPr>
          <w:rFonts w:eastAsia="Times New Roman" w:cs="Times New Roman"/>
          <w:sz w:val="28"/>
        </w:rPr>
      </w:pPr>
    </w:p>
    <w:p w14:paraId="3E8EF091" w14:textId="77777777" w:rsidR="00670FD4" w:rsidRPr="005E6631" w:rsidRDefault="00670FD4" w:rsidP="00670FD4">
      <w:pPr>
        <w:rPr>
          <w:rFonts w:eastAsia="Times New Roman" w:cs="Times New Roman"/>
          <w:sz w:val="28"/>
        </w:rPr>
      </w:pPr>
    </w:p>
    <w:p w14:paraId="0CAFB9E1" w14:textId="77777777" w:rsidR="00670FD4" w:rsidRDefault="00670FD4" w:rsidP="00670FD4">
      <w:pPr>
        <w:pStyle w:val="Heading2"/>
        <w:spacing w:before="0" w:after="120"/>
      </w:pPr>
      <w:bookmarkStart w:id="155" w:name="_heading=h.1x0gk37" w:colFirst="0" w:colLast="0"/>
      <w:bookmarkStart w:id="156" w:name="_Toc150501478"/>
      <w:bookmarkStart w:id="157" w:name="_Toc171084865"/>
      <w:bookmarkEnd w:id="155"/>
      <w:r>
        <w:t>2.10. Consultarea și participarea publicului în contextul Planului de Management Integrat al zonei costiere</w:t>
      </w:r>
      <w:bookmarkEnd w:id="156"/>
      <w:bookmarkEnd w:id="157"/>
    </w:p>
    <w:p w14:paraId="4C7A9FFD" w14:textId="77777777" w:rsidR="00670FD4" w:rsidRDefault="00670FD4" w:rsidP="00670FD4">
      <w:pPr>
        <w:spacing w:before="0"/>
        <w:rPr>
          <w:rFonts w:eastAsia="Times New Roman" w:cs="Times New Roman"/>
        </w:rPr>
      </w:pPr>
      <w:r>
        <w:rPr>
          <w:rFonts w:eastAsia="Times New Roman" w:cs="Times New Roman"/>
        </w:rPr>
        <w:t xml:space="preserve">Având în vedere importanța participării și consultării publicului în implementarea cu succes a MIZC, precum și informarea permanentă și corectă a publicului cu privire la acțiunile, proiectele, programele propuse spre derulare în zona costieră, una dintre măsurile / acțiunile prioritare ale Planului de Management Integrat al zonei costiere o constituie elaborarea și implementarea unui Plan de Comunicare (măsura M1.4). </w:t>
      </w:r>
    </w:p>
    <w:p w14:paraId="1758900B" w14:textId="77777777" w:rsidR="00670FD4" w:rsidRDefault="00670FD4" w:rsidP="00670FD4">
      <w:pPr>
        <w:spacing w:before="0"/>
        <w:ind w:firstLine="540"/>
        <w:rPr>
          <w:rFonts w:eastAsia="Times New Roman" w:cs="Times New Roman"/>
        </w:rPr>
      </w:pPr>
      <w:r>
        <w:rPr>
          <w:rFonts w:eastAsia="Times New Roman" w:cs="Times New Roman"/>
          <w:b/>
          <w:color w:val="000000"/>
        </w:rPr>
        <w:t>Planul de comunicare</w:t>
      </w:r>
      <w:r>
        <w:rPr>
          <w:rFonts w:eastAsia="Times New Roman" w:cs="Times New Roman"/>
          <w:color w:val="000000"/>
        </w:rPr>
        <w:t xml:space="preserve"> este structurat după cum urmează:</w:t>
      </w:r>
    </w:p>
    <w:p w14:paraId="3B9AB563" w14:textId="77777777" w:rsidR="00670FD4" w:rsidRDefault="00670FD4" w:rsidP="00670FD4">
      <w:pPr>
        <w:spacing w:before="0"/>
        <w:rPr>
          <w:rFonts w:eastAsia="Times New Roman" w:cs="Times New Roman"/>
          <w:b/>
          <w:i/>
        </w:rPr>
      </w:pPr>
      <w:r>
        <w:rPr>
          <w:rFonts w:eastAsia="Times New Roman" w:cs="Times New Roman"/>
          <w:b/>
          <w:i/>
        </w:rPr>
        <w:t>Scop și obiective</w:t>
      </w:r>
    </w:p>
    <w:p w14:paraId="392D6411" w14:textId="77777777" w:rsidR="00670FD4" w:rsidRDefault="00670FD4" w:rsidP="00670FD4">
      <w:pPr>
        <w:spacing w:before="0"/>
        <w:rPr>
          <w:rFonts w:eastAsia="Times New Roman" w:cs="Times New Roman"/>
        </w:rPr>
      </w:pPr>
      <w:r>
        <w:rPr>
          <w:rFonts w:eastAsia="Times New Roman" w:cs="Times New Roman"/>
        </w:rPr>
        <w:lastRenderedPageBreak/>
        <w:t>Scopul Planului de comunicare este, pe de o parte, creșterea gradului de implicare și participare a factorilor interesați, inclusiv societatea civilă, în procesul de luare a deciziilor cu privire la dezvoltarea sustenabilă a zonei costiere, precum și o informare permanentă, corectă și coerentă a publicului larg. În general, în societatea românească participarea activă în procesul consultativ, cu precădere a publicului larg, dar și a factorilor interesați, nu este o practică foarte comună, din diferite motive (lipsă motivație, slaba informare și comunicare, etc.). Prin elaborarea prezentului plan și prin includerea implementării lui între măsurile prioritare se urmărește atragerea tuturor părților interesate și, mai ales, participarea lor activă în implementarea MIZC.</w:t>
      </w:r>
    </w:p>
    <w:p w14:paraId="1D64B67F" w14:textId="77777777" w:rsidR="00670FD4" w:rsidRDefault="00670FD4" w:rsidP="00670FD4">
      <w:pPr>
        <w:spacing w:before="0"/>
        <w:ind w:firstLine="540"/>
        <w:rPr>
          <w:rFonts w:eastAsia="Times New Roman" w:cs="Times New Roman"/>
        </w:rPr>
      </w:pPr>
      <w:r>
        <w:rPr>
          <w:rFonts w:eastAsia="Times New Roman" w:cs="Times New Roman"/>
        </w:rPr>
        <w:t>Obiectivele planului de comunicare sunt:</w:t>
      </w:r>
    </w:p>
    <w:p w14:paraId="3BB9E334" w14:textId="77777777" w:rsidR="00670FD4" w:rsidRDefault="00670FD4" w:rsidP="00670FD4">
      <w:pPr>
        <w:spacing w:before="0"/>
        <w:ind w:firstLine="540"/>
        <w:rPr>
          <w:rFonts w:eastAsia="Times New Roman" w:cs="Times New Roman"/>
        </w:rPr>
      </w:pPr>
      <w:r>
        <w:rPr>
          <w:rFonts w:eastAsia="Times New Roman" w:cs="Times New Roman"/>
        </w:rPr>
        <w:t>1) Creșterea nivelului de informare a tuturor părților interesate asupra:</w:t>
      </w:r>
    </w:p>
    <w:p w14:paraId="654E1D27" w14:textId="77777777" w:rsidR="00670FD4" w:rsidRDefault="00670FD4" w:rsidP="00670FD4">
      <w:pPr>
        <w:spacing w:before="0"/>
        <w:ind w:left="1800" w:hanging="360"/>
        <w:rPr>
          <w:rFonts w:eastAsia="Times New Roman" w:cs="Times New Roman"/>
        </w:rPr>
      </w:pPr>
      <w:r>
        <w:rPr>
          <w:rFonts w:eastAsia="Times New Roman" w:cs="Times New Roman"/>
        </w:rPr>
        <w:t>-  conținutului Planului de Management Integrat al zonei costiere;</w:t>
      </w:r>
    </w:p>
    <w:p w14:paraId="00C14427" w14:textId="77777777" w:rsidR="00670FD4" w:rsidRDefault="00670FD4" w:rsidP="00670FD4">
      <w:pPr>
        <w:spacing w:before="0"/>
        <w:ind w:left="1800" w:hanging="360"/>
        <w:rPr>
          <w:rFonts w:eastAsia="Times New Roman" w:cs="Times New Roman"/>
        </w:rPr>
      </w:pPr>
      <w:r>
        <w:rPr>
          <w:rFonts w:eastAsia="Times New Roman" w:cs="Times New Roman"/>
        </w:rPr>
        <w:t>-  importanței și beneficiilor managementului integrat al zonei costiere;</w:t>
      </w:r>
    </w:p>
    <w:p w14:paraId="11603DA0" w14:textId="77777777" w:rsidR="00670FD4" w:rsidRDefault="00670FD4" w:rsidP="00670FD4">
      <w:pPr>
        <w:spacing w:before="0"/>
        <w:ind w:left="1800" w:hanging="360"/>
        <w:rPr>
          <w:rFonts w:eastAsia="Times New Roman" w:cs="Times New Roman"/>
        </w:rPr>
      </w:pPr>
      <w:r>
        <w:rPr>
          <w:rFonts w:eastAsia="Times New Roman" w:cs="Times New Roman"/>
        </w:rPr>
        <w:t>-  programelor / proiectelor propuse a se derula la nivelul zonei costiere;</w:t>
      </w:r>
    </w:p>
    <w:p w14:paraId="3428D21B" w14:textId="77777777" w:rsidR="00670FD4" w:rsidRDefault="00670FD4" w:rsidP="00670FD4">
      <w:pPr>
        <w:spacing w:before="0"/>
        <w:ind w:left="1800" w:hanging="360"/>
        <w:rPr>
          <w:rFonts w:eastAsia="Times New Roman" w:cs="Times New Roman"/>
        </w:rPr>
      </w:pPr>
      <w:r>
        <w:rPr>
          <w:rFonts w:eastAsia="Times New Roman" w:cs="Times New Roman"/>
        </w:rPr>
        <w:t>-  modificărilor legislative propuse în vederea îmbunătățirii MIZC.</w:t>
      </w:r>
    </w:p>
    <w:p w14:paraId="1D1136E1" w14:textId="77777777" w:rsidR="00670FD4" w:rsidRDefault="00670FD4" w:rsidP="00670FD4">
      <w:pPr>
        <w:spacing w:before="0"/>
        <w:ind w:firstLine="540"/>
        <w:rPr>
          <w:rFonts w:eastAsia="Times New Roman" w:cs="Times New Roman"/>
        </w:rPr>
      </w:pPr>
      <w:r>
        <w:rPr>
          <w:rFonts w:eastAsia="Times New Roman" w:cs="Times New Roman"/>
        </w:rPr>
        <w:t>2) Creșterea eficienței comunicării interne (de exemplu: în cadrul CNZC, între CNZC și MMAP, între autoritățile locale și cele centrale, etc.);</w:t>
      </w:r>
    </w:p>
    <w:p w14:paraId="3873287F" w14:textId="77777777" w:rsidR="00670FD4" w:rsidRDefault="00670FD4" w:rsidP="00670FD4">
      <w:pPr>
        <w:spacing w:before="0"/>
        <w:ind w:firstLine="540"/>
        <w:rPr>
          <w:rFonts w:eastAsia="Times New Roman" w:cs="Times New Roman"/>
        </w:rPr>
      </w:pPr>
      <w:r>
        <w:rPr>
          <w:rFonts w:eastAsia="Times New Roman" w:cs="Times New Roman"/>
        </w:rPr>
        <w:t>3) Stimularea participării publicului la implementarea MIZC. Participarea publicului este un proces continuu de interacțiune între factorii decizionali și publicul ale cărui interese sunt afectate de consecințele deciziilor luate);</w:t>
      </w:r>
    </w:p>
    <w:p w14:paraId="34E56EA9" w14:textId="77777777" w:rsidR="00670FD4" w:rsidRDefault="00670FD4" w:rsidP="00670FD4">
      <w:pPr>
        <w:spacing w:before="0"/>
        <w:ind w:firstLine="540"/>
        <w:rPr>
          <w:rFonts w:eastAsia="Times New Roman" w:cs="Times New Roman"/>
        </w:rPr>
      </w:pPr>
      <w:r>
        <w:rPr>
          <w:rFonts w:eastAsia="Times New Roman" w:cs="Times New Roman"/>
        </w:rPr>
        <w:t>4) Creșterea gradului de transparență în procesul de informare a publicului cu privire la programele / proiectele / acțiunile implementate în zona costieră;</w:t>
      </w:r>
    </w:p>
    <w:p w14:paraId="60D3155F" w14:textId="77777777" w:rsidR="00670FD4" w:rsidRDefault="00670FD4" w:rsidP="00670FD4">
      <w:pPr>
        <w:spacing w:before="0"/>
        <w:ind w:firstLine="540"/>
        <w:rPr>
          <w:rFonts w:eastAsia="Times New Roman" w:cs="Times New Roman"/>
        </w:rPr>
      </w:pPr>
      <w:r>
        <w:rPr>
          <w:rFonts w:eastAsia="Times New Roman" w:cs="Times New Roman"/>
        </w:rPr>
        <w:t>5) Crearea de legături cu furnizorii importanți de știri și mass-media specializate, pentru a crea o rețea de comunicare specifică;</w:t>
      </w:r>
    </w:p>
    <w:p w14:paraId="1CE7BE65" w14:textId="77777777" w:rsidR="00670FD4" w:rsidRDefault="00670FD4" w:rsidP="00670FD4">
      <w:pPr>
        <w:spacing w:before="0"/>
        <w:ind w:firstLine="540"/>
        <w:rPr>
          <w:rFonts w:eastAsia="Times New Roman" w:cs="Times New Roman"/>
        </w:rPr>
      </w:pPr>
      <w:r>
        <w:rPr>
          <w:rFonts w:eastAsia="Times New Roman" w:cs="Times New Roman"/>
        </w:rPr>
        <w:t>6) Adaptarea și utilizarea instrumentelor specifice de informare și comunicare la configurațiile organizaționale, mecanismele decizionale și caracteristicile grupurilor țintă în vederea maximizării impactului programelor / proiectelor implementate în zona costieră;</w:t>
      </w:r>
    </w:p>
    <w:p w14:paraId="017FFD37" w14:textId="77777777" w:rsidR="00670FD4" w:rsidRDefault="00670FD4" w:rsidP="00670FD4">
      <w:pPr>
        <w:spacing w:before="0"/>
        <w:ind w:firstLine="540"/>
        <w:rPr>
          <w:rFonts w:eastAsia="Times New Roman" w:cs="Times New Roman"/>
        </w:rPr>
      </w:pPr>
      <w:r>
        <w:rPr>
          <w:rFonts w:eastAsia="Times New Roman" w:cs="Times New Roman"/>
        </w:rPr>
        <w:t>7) Crearea unei atitudini favorabile, în cadrul publicului/grupului țintă vizat de planul de comunicare, referitor la procesul de management integrat al zonei costiere;.</w:t>
      </w:r>
    </w:p>
    <w:p w14:paraId="2621D643" w14:textId="77777777" w:rsidR="00670FD4" w:rsidRDefault="00670FD4" w:rsidP="00670FD4">
      <w:pPr>
        <w:spacing w:before="0"/>
        <w:ind w:firstLine="540"/>
        <w:rPr>
          <w:rFonts w:eastAsia="Times New Roman" w:cs="Times New Roman"/>
        </w:rPr>
      </w:pPr>
      <w:r>
        <w:rPr>
          <w:rFonts w:eastAsia="Times New Roman" w:cs="Times New Roman"/>
        </w:rPr>
        <w:t>8) Dezvoltarea unui comportament al publicului/grupului țintă care să suscite interesul pentru documentare și acțiune referitor la activitățile și rezultatele managementului integrat al zonei costiere.</w:t>
      </w:r>
    </w:p>
    <w:p w14:paraId="7B25936A" w14:textId="77777777" w:rsidR="00670FD4" w:rsidRDefault="00670FD4" w:rsidP="00670FD4">
      <w:pPr>
        <w:spacing w:before="0"/>
        <w:rPr>
          <w:rFonts w:eastAsia="Times New Roman" w:cs="Times New Roman"/>
          <w:b/>
          <w:i/>
        </w:rPr>
      </w:pPr>
      <w:r>
        <w:rPr>
          <w:rFonts w:eastAsia="Times New Roman" w:cs="Times New Roman"/>
          <w:b/>
          <w:i/>
        </w:rPr>
        <w:t>Publicul țintă</w:t>
      </w:r>
    </w:p>
    <w:p w14:paraId="6B95555C" w14:textId="77777777" w:rsidR="00670FD4" w:rsidRDefault="00670FD4" w:rsidP="00670FD4">
      <w:pPr>
        <w:spacing w:before="0"/>
        <w:ind w:firstLine="540"/>
        <w:rPr>
          <w:rFonts w:eastAsia="Times New Roman" w:cs="Times New Roman"/>
        </w:rPr>
      </w:pPr>
      <w:r>
        <w:rPr>
          <w:rFonts w:eastAsia="Times New Roman" w:cs="Times New Roman"/>
        </w:rPr>
        <w:t>Publicul țintă vizat de Planul de comunicare este reprezentat atât de publicul specializat, cât și de publicul general. Publicul țintă specializat este format din următoarele categorii:</w:t>
      </w:r>
    </w:p>
    <w:p w14:paraId="5AF898CA" w14:textId="77777777" w:rsidR="00670FD4" w:rsidRDefault="00670FD4" w:rsidP="00670FD4">
      <w:pPr>
        <w:numPr>
          <w:ilvl w:val="0"/>
          <w:numId w:val="41"/>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 xml:space="preserve">instituții care sunt implicate direct în procesul MIZC și experți externi care pot fundamenta deciziile, facilita obținerea de finanțări, monitoriza implementarea MIZC </w:t>
      </w:r>
      <w:r>
        <w:rPr>
          <w:rFonts w:eastAsia="Times New Roman" w:cs="Times New Roman"/>
          <w:color w:val="000000"/>
        </w:rPr>
        <w:lastRenderedPageBreak/>
        <w:t>și pot informa cu privire la acesta (public intern). Pentru această categorie mesajul va fi mult mai complex;</w:t>
      </w:r>
    </w:p>
    <w:p w14:paraId="0E0A6CA8" w14:textId="77777777" w:rsidR="00670FD4" w:rsidRDefault="00670FD4" w:rsidP="00670FD4">
      <w:pPr>
        <w:numPr>
          <w:ilvl w:val="0"/>
          <w:numId w:val="41"/>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beneficiari sau potențial beneficiari ai rezultatelor implementării strategiei naționale și planului de management integrat al zonei costiere;</w:t>
      </w:r>
    </w:p>
    <w:p w14:paraId="40F71264" w14:textId="77777777" w:rsidR="00670FD4" w:rsidRDefault="00670FD4" w:rsidP="00670FD4">
      <w:pPr>
        <w:numPr>
          <w:ilvl w:val="0"/>
          <w:numId w:val="41"/>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stakeholderi - această categorie reprezintă vectori secundari de informație, putând influența alte grupuri țintă prin activitatea pe care o desfășoară sau prin preluarea informației și transmiterea mai departe către grupurile cu care sunt în strânsă legătură în mod firesc. Din această categorie fac parte:</w:t>
      </w:r>
    </w:p>
    <w:p w14:paraId="61896A5B" w14:textId="77777777" w:rsidR="00670FD4" w:rsidRDefault="00670FD4" w:rsidP="00670FD4">
      <w:pPr>
        <w:spacing w:before="0"/>
        <w:ind w:left="1718"/>
        <w:rPr>
          <w:rFonts w:eastAsia="Times New Roman" w:cs="Times New Roman"/>
        </w:rPr>
      </w:pPr>
      <w:r>
        <w:rPr>
          <w:rFonts w:eastAsia="Times New Roman" w:cs="Times New Roman"/>
        </w:rPr>
        <w:t>i) mediul academic / de cercetare (în principal universități și institute de cercetare-dezvoltare ce desfășoară activități în zona costieră sau în strânsă legătură cu aceasta);</w:t>
      </w:r>
    </w:p>
    <w:p w14:paraId="6FC211B4" w14:textId="77777777" w:rsidR="00670FD4" w:rsidRDefault="00670FD4" w:rsidP="00670FD4">
      <w:pPr>
        <w:spacing w:before="0"/>
        <w:ind w:left="1718"/>
        <w:rPr>
          <w:rFonts w:eastAsia="Times New Roman" w:cs="Times New Roman"/>
        </w:rPr>
      </w:pPr>
      <w:r>
        <w:rPr>
          <w:rFonts w:eastAsia="Times New Roman" w:cs="Times New Roman"/>
        </w:rPr>
        <w:t>ii) mass-media - reprezintă un partener special de comunicare, având caracteristicile unui grup țință de sine stătător, cât și pe cele ale unui “releu de informație”. Din acest motiv, mass media trebuie tratată în mod special, și anume: i) trebuie investit într-o relație corectă cu media, răspunsurile pe care jurnaliștii le solicită trebuie să fie complete și obținute în timp util; ii) trebuie realizate parteneriate informale, pe termen mediu, din care ambele părți să aibă de câștigat (emițătorul de informație să aibă acoperire în presă, iar jurnaliștii să aibă acces la informația nouă, completă, cu valoare de știre);</w:t>
      </w:r>
    </w:p>
    <w:p w14:paraId="032E0EC5" w14:textId="77777777" w:rsidR="00670FD4" w:rsidRDefault="00670FD4" w:rsidP="00670FD4">
      <w:pPr>
        <w:spacing w:before="0"/>
        <w:ind w:left="1718"/>
        <w:rPr>
          <w:rFonts w:eastAsia="Times New Roman" w:cs="Times New Roman"/>
        </w:rPr>
      </w:pPr>
      <w:r>
        <w:rPr>
          <w:rFonts w:eastAsia="Times New Roman" w:cs="Times New Roman"/>
        </w:rPr>
        <w:t>iii) ONG-urile, organizațiile profesionale în domeniu, parteneri sociali - aceștia au în general, prin natura background-ului lor un nivel de înțelegere a temei superior jurnaliștilor și mai au în plus un anume public țintă foarte specializat, care, de obicei, este un public captiv. Informațiile pe care acești stakeholderi le preiau și le repun în sistem au următoarele caracteristici: sunt prelucrate deja, corecte (de obicei), adaptate pe profilul grupului țintă secundar și au un grad ridicat de credibilitate (publicul secundar o preia dintr-o sursă de încredere pentru el).</w:t>
      </w:r>
    </w:p>
    <w:p w14:paraId="18F95018" w14:textId="77777777" w:rsidR="00670FD4" w:rsidRDefault="00670FD4" w:rsidP="00670FD4">
      <w:pPr>
        <w:spacing w:before="0"/>
        <w:rPr>
          <w:rFonts w:eastAsia="Times New Roman" w:cs="Times New Roman"/>
          <w:b/>
          <w:i/>
        </w:rPr>
      </w:pPr>
      <w:r>
        <w:rPr>
          <w:rFonts w:eastAsia="Times New Roman" w:cs="Times New Roman"/>
          <w:b/>
          <w:i/>
        </w:rPr>
        <w:t>Mesaje</w:t>
      </w:r>
    </w:p>
    <w:p w14:paraId="2F8268DC" w14:textId="77777777" w:rsidR="00670FD4" w:rsidRDefault="00670FD4" w:rsidP="00670FD4">
      <w:pPr>
        <w:spacing w:before="0"/>
        <w:ind w:firstLine="540"/>
        <w:rPr>
          <w:rFonts w:eastAsia="Times New Roman" w:cs="Times New Roman"/>
        </w:rPr>
      </w:pPr>
      <w:r>
        <w:rPr>
          <w:rFonts w:eastAsia="Times New Roman" w:cs="Times New Roman"/>
        </w:rPr>
        <w:t>Mesajele transmise trebuie să fie personalizate, în funcție de publicul țintă. Astfel, pentru publicul larg, mesajul are un caracter generalist, fiind transmis prin intermediul mass-media și rețelelor de socializare. În general, mesajul transmis acestui public este relativ simplu urmărind atingerea nivelului de conștientizare / familiarizare cu subiectul (awareness).</w:t>
      </w:r>
    </w:p>
    <w:p w14:paraId="38FD9CFC" w14:textId="77777777" w:rsidR="00670FD4" w:rsidRDefault="00670FD4" w:rsidP="00670FD4">
      <w:pPr>
        <w:spacing w:before="0"/>
        <w:ind w:firstLine="540"/>
        <w:rPr>
          <w:rFonts w:eastAsia="Times New Roman" w:cs="Times New Roman"/>
        </w:rPr>
      </w:pPr>
      <w:r>
        <w:rPr>
          <w:rFonts w:eastAsia="Times New Roman" w:cs="Times New Roman"/>
        </w:rPr>
        <w:t>În cazul publicului specializat mesajul devine mai elaborat, mai complex, dar, de asemenea, diferă în funcție de categoria de public specializat căruia i se adresează. Mesajul cel mai complex este comunicat profesioniștilor și instituțiilor care sunt implicate direct în procesul MIZC.</w:t>
      </w:r>
    </w:p>
    <w:p w14:paraId="747C39F3" w14:textId="77777777" w:rsidR="00670FD4" w:rsidRDefault="00670FD4" w:rsidP="00670FD4">
      <w:pPr>
        <w:spacing w:before="0"/>
        <w:ind w:firstLine="540"/>
        <w:rPr>
          <w:rFonts w:eastAsia="Times New Roman" w:cs="Times New Roman"/>
        </w:rPr>
      </w:pPr>
      <w:r>
        <w:rPr>
          <w:rFonts w:eastAsia="Times New Roman" w:cs="Times New Roman"/>
        </w:rPr>
        <w:t>Printre mesajele principale ce vizează publicul specializat se numără:</w:t>
      </w:r>
    </w:p>
    <w:p w14:paraId="5CC80747" w14:textId="77777777" w:rsidR="00670FD4" w:rsidRDefault="00670FD4" w:rsidP="00670FD4">
      <w:pPr>
        <w:numPr>
          <w:ilvl w:val="0"/>
          <w:numId w:val="42"/>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informații privind surse de finanțare pentru programele / proiectele propuse;</w:t>
      </w:r>
    </w:p>
    <w:p w14:paraId="00CC0D22" w14:textId="77777777" w:rsidR="00670FD4" w:rsidRDefault="00670FD4" w:rsidP="00670FD4">
      <w:pPr>
        <w:numPr>
          <w:ilvl w:val="0"/>
          <w:numId w:val="42"/>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lastRenderedPageBreak/>
        <w:t>informații cu privire la oportunități de business în domeniul economiei albastre / verzi;</w:t>
      </w:r>
    </w:p>
    <w:p w14:paraId="2F2078C4" w14:textId="77777777" w:rsidR="00670FD4" w:rsidRDefault="00670FD4" w:rsidP="00670FD4">
      <w:pPr>
        <w:numPr>
          <w:ilvl w:val="0"/>
          <w:numId w:val="42"/>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informații cu privire la apeluri de deschise pentru finanțare (națională sau europeană);</w:t>
      </w:r>
    </w:p>
    <w:p w14:paraId="0BC5BF83" w14:textId="77777777" w:rsidR="00670FD4" w:rsidRDefault="00670FD4" w:rsidP="00670FD4">
      <w:pPr>
        <w:numPr>
          <w:ilvl w:val="0"/>
          <w:numId w:val="42"/>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informații cu privire la gradul de atingere a obiectivelor Strategiei naționale MIZC;</w:t>
      </w:r>
    </w:p>
    <w:p w14:paraId="3C50CE6F" w14:textId="77777777" w:rsidR="00670FD4" w:rsidRDefault="00670FD4" w:rsidP="00670FD4">
      <w:pPr>
        <w:numPr>
          <w:ilvl w:val="0"/>
          <w:numId w:val="42"/>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informații despre impactul programelor / proiectelor propuse;</w:t>
      </w:r>
    </w:p>
    <w:p w14:paraId="030C3F3F" w14:textId="77777777" w:rsidR="00670FD4" w:rsidRDefault="00670FD4" w:rsidP="00670FD4">
      <w:pPr>
        <w:numPr>
          <w:ilvl w:val="0"/>
          <w:numId w:val="42"/>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exemple de bune practici;</w:t>
      </w:r>
    </w:p>
    <w:p w14:paraId="07E317A0" w14:textId="77777777" w:rsidR="00670FD4" w:rsidRDefault="00670FD4" w:rsidP="00670FD4">
      <w:pPr>
        <w:numPr>
          <w:ilvl w:val="0"/>
          <w:numId w:val="42"/>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informații privind modificările legislative;</w:t>
      </w:r>
    </w:p>
    <w:p w14:paraId="2E0E1066" w14:textId="77777777" w:rsidR="00670FD4" w:rsidRDefault="00670FD4" w:rsidP="00670FD4">
      <w:pPr>
        <w:numPr>
          <w:ilvl w:val="0"/>
          <w:numId w:val="42"/>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informații cu privire la discuțiile/dezbaterile din ședințele CNZC;</w:t>
      </w:r>
    </w:p>
    <w:p w14:paraId="6C97D729" w14:textId="77777777" w:rsidR="00670FD4" w:rsidRDefault="00670FD4" w:rsidP="00670FD4">
      <w:pPr>
        <w:numPr>
          <w:ilvl w:val="0"/>
          <w:numId w:val="42"/>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informații privind calendarul dezbaterilor publice privind proiectele din zona costieră;</w:t>
      </w:r>
    </w:p>
    <w:p w14:paraId="182620BE" w14:textId="77777777" w:rsidR="00670FD4" w:rsidRDefault="00670FD4" w:rsidP="00670FD4">
      <w:pPr>
        <w:numPr>
          <w:ilvl w:val="0"/>
          <w:numId w:val="42"/>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informații cu privire la organizarea de cursuri de instruire și perfecționare în managementul integrat al zonei costiere.</w:t>
      </w:r>
    </w:p>
    <w:p w14:paraId="09C2D6FE" w14:textId="77777777" w:rsidR="00670FD4" w:rsidRDefault="00670FD4" w:rsidP="00670FD4">
      <w:pPr>
        <w:spacing w:before="0"/>
        <w:ind w:firstLine="540"/>
        <w:rPr>
          <w:rFonts w:eastAsia="Times New Roman" w:cs="Times New Roman"/>
        </w:rPr>
      </w:pPr>
      <w:r>
        <w:rPr>
          <w:rFonts w:eastAsia="Times New Roman" w:cs="Times New Roman"/>
        </w:rPr>
        <w:t>Toate aceste mesaje vor fi transmise (atât publicului specializat, cât și publicului larg) de către specialiști în comunicare din cadrul Secretariatului Tehnic Administrativ al Zonei Costiere (STA-ZC), ce funcționează în cadrul MMAP folosind mijloacele / instrumentele descrise mai jos.</w:t>
      </w:r>
    </w:p>
    <w:p w14:paraId="12BE8A12" w14:textId="77777777" w:rsidR="00670FD4" w:rsidRDefault="00670FD4" w:rsidP="00670FD4">
      <w:pPr>
        <w:spacing w:before="0"/>
        <w:rPr>
          <w:rFonts w:eastAsia="Times New Roman" w:cs="Times New Roman"/>
          <w:b/>
          <w:i/>
          <w:color w:val="000000"/>
        </w:rPr>
      </w:pPr>
      <w:r>
        <w:rPr>
          <w:rFonts w:eastAsia="Times New Roman" w:cs="Times New Roman"/>
          <w:b/>
          <w:i/>
          <w:color w:val="000000"/>
        </w:rPr>
        <w:t>Instrumente / mijloace de comunicare</w:t>
      </w:r>
    </w:p>
    <w:p w14:paraId="32C38611" w14:textId="77777777" w:rsidR="00670FD4" w:rsidRDefault="00670FD4" w:rsidP="00670FD4">
      <w:pPr>
        <w:spacing w:before="0"/>
        <w:ind w:firstLine="567"/>
        <w:rPr>
          <w:rFonts w:eastAsia="Times New Roman" w:cs="Times New Roman"/>
        </w:rPr>
      </w:pPr>
      <w:r>
        <w:rPr>
          <w:rFonts w:eastAsia="Times New Roman" w:cs="Times New Roman"/>
          <w:color w:val="000000"/>
        </w:rPr>
        <w:t>Instrumentele de comunicare utilizate vor asigura transmiterea și difuzarea mesajelor către publicul țintă în vederea atingerii atât a obiectivelor Strategiei naționale MIZC, cât și a scopului și obiectivelor specifice ale Planului de Comunicare. Instrumentele de comunicare vor difuza mesaje adaptate la specificul publicului/grupului țintă astfel încât impactul generat să asigure îndeplinirea obiectivelor de comunicare și totodată să asigure sustenabilitatea implementării Strategiei pe termen mediu și lung.</w:t>
      </w:r>
    </w:p>
    <w:p w14:paraId="11FB167E" w14:textId="77777777" w:rsidR="00670FD4" w:rsidRDefault="00670FD4" w:rsidP="00670FD4">
      <w:pPr>
        <w:numPr>
          <w:ilvl w:val="0"/>
          <w:numId w:val="39"/>
        </w:numPr>
        <w:pBdr>
          <w:top w:val="nil"/>
          <w:left w:val="nil"/>
          <w:bottom w:val="nil"/>
          <w:right w:val="nil"/>
          <w:between w:val="nil"/>
        </w:pBdr>
        <w:spacing w:before="0"/>
        <w:ind w:left="0" w:firstLine="567"/>
        <w:rPr>
          <w:rFonts w:eastAsia="Times New Roman" w:cs="Times New Roman"/>
          <w:color w:val="000000"/>
        </w:rPr>
      </w:pPr>
      <w:r>
        <w:rPr>
          <w:rFonts w:eastAsia="Times New Roman" w:cs="Times New Roman"/>
          <w:i/>
          <w:color w:val="000000"/>
        </w:rPr>
        <w:t>Comunicarea online</w:t>
      </w:r>
      <w:r>
        <w:rPr>
          <w:rFonts w:eastAsia="Times New Roman" w:cs="Times New Roman"/>
          <w:color w:val="000000"/>
        </w:rPr>
        <w:t xml:space="preserve"> - va fi abordată cu prioritate deoarece este cea mai utilizată de grupurile specializate și de multiplicatorii de informație. În cadrul comunicării online, accentul va fi mutat către o comunicare bidirecțională online (nu doar o emitere de informații, ci și preluare de feedback și oferire de răspunsuri). </w:t>
      </w:r>
    </w:p>
    <w:p w14:paraId="689A8ADB" w14:textId="77777777" w:rsidR="00670FD4" w:rsidRDefault="00670FD4" w:rsidP="00670FD4">
      <w:pPr>
        <w:spacing w:before="0"/>
        <w:ind w:firstLine="567"/>
        <w:rPr>
          <w:rFonts w:eastAsia="Times New Roman" w:cs="Times New Roman"/>
        </w:rPr>
      </w:pPr>
      <w:r>
        <w:rPr>
          <w:rFonts w:eastAsia="Times New Roman" w:cs="Times New Roman"/>
        </w:rPr>
        <w:t>O pagină web, dedicată managementului zonei costiere, va fi creată pe site-ul MMAP și va fi utilizată ca portal unic de informații privind toate programele / proiectele din zona costieră. Această pagină va avea incluse:</w:t>
      </w:r>
    </w:p>
    <w:p w14:paraId="0BCDDE69" w14:textId="77777777" w:rsidR="00670FD4" w:rsidRDefault="00670FD4" w:rsidP="00670FD4">
      <w:pPr>
        <w:spacing w:before="0"/>
        <w:ind w:left="709" w:hanging="142"/>
        <w:rPr>
          <w:rFonts w:eastAsia="Times New Roman" w:cs="Times New Roman"/>
        </w:rPr>
      </w:pPr>
      <w:r>
        <w:rPr>
          <w:rFonts w:eastAsia="Times New Roman" w:cs="Times New Roman"/>
        </w:rPr>
        <w:t>- o secțiune de linkuri utile ce va fi actualizată periodic;</w:t>
      </w:r>
    </w:p>
    <w:p w14:paraId="73DA165E" w14:textId="77777777" w:rsidR="00670FD4" w:rsidRDefault="00670FD4" w:rsidP="00670FD4">
      <w:pPr>
        <w:spacing w:before="0"/>
        <w:ind w:left="709" w:hanging="142"/>
        <w:rPr>
          <w:rFonts w:eastAsia="Times New Roman" w:cs="Times New Roman"/>
        </w:rPr>
      </w:pPr>
      <w:r>
        <w:rPr>
          <w:rFonts w:eastAsia="Times New Roman" w:cs="Times New Roman"/>
        </w:rPr>
        <w:t>- o secțiune cu noi informații în domeniu, la nivel național, european și internațional;</w:t>
      </w:r>
    </w:p>
    <w:p w14:paraId="10990525" w14:textId="77777777" w:rsidR="00670FD4" w:rsidRDefault="00670FD4" w:rsidP="00670FD4">
      <w:pPr>
        <w:spacing w:before="0"/>
        <w:ind w:left="709" w:hanging="142"/>
        <w:rPr>
          <w:rFonts w:eastAsia="Times New Roman" w:cs="Times New Roman"/>
        </w:rPr>
      </w:pPr>
      <w:r>
        <w:rPr>
          <w:rFonts w:eastAsia="Times New Roman" w:cs="Times New Roman"/>
        </w:rPr>
        <w:t xml:space="preserve">- un forum de discuții, dezbateri; </w:t>
      </w:r>
    </w:p>
    <w:p w14:paraId="59670C9E" w14:textId="77777777" w:rsidR="00670FD4" w:rsidRDefault="00670FD4" w:rsidP="00670FD4">
      <w:pPr>
        <w:spacing w:before="0"/>
        <w:ind w:left="709" w:hanging="142"/>
        <w:rPr>
          <w:rFonts w:eastAsia="Times New Roman" w:cs="Times New Roman"/>
        </w:rPr>
      </w:pPr>
      <w:r>
        <w:rPr>
          <w:rFonts w:eastAsia="Times New Roman" w:cs="Times New Roman"/>
        </w:rPr>
        <w:t>- o secțiune Q&amp;A care să fie folosită ca resursă pentru oferirea de răspunsuri, inclusiv la întrebări primite pe email la adresele oficiale de corespondență;</w:t>
      </w:r>
    </w:p>
    <w:p w14:paraId="615C01BB" w14:textId="77777777" w:rsidR="00670FD4" w:rsidRDefault="00670FD4" w:rsidP="00670FD4">
      <w:pPr>
        <w:spacing w:before="0"/>
        <w:ind w:left="709" w:hanging="142"/>
        <w:rPr>
          <w:rFonts w:eastAsia="Times New Roman" w:cs="Times New Roman"/>
        </w:rPr>
      </w:pPr>
      <w:r>
        <w:rPr>
          <w:rFonts w:eastAsia="Times New Roman" w:cs="Times New Roman"/>
        </w:rPr>
        <w:lastRenderedPageBreak/>
        <w:t>- o secțiune dedicată furnizării de informații privind calendarele de implementare a programelor și procesele conexe de consultare a publicului;</w:t>
      </w:r>
    </w:p>
    <w:p w14:paraId="21BB5833" w14:textId="77777777" w:rsidR="00670FD4" w:rsidRDefault="00670FD4" w:rsidP="00670FD4">
      <w:pPr>
        <w:spacing w:before="0"/>
        <w:ind w:left="709" w:hanging="142"/>
        <w:rPr>
          <w:rFonts w:eastAsia="Times New Roman" w:cs="Times New Roman"/>
        </w:rPr>
      </w:pPr>
      <w:r>
        <w:rPr>
          <w:rFonts w:eastAsia="Times New Roman" w:cs="Times New Roman"/>
        </w:rPr>
        <w:t>- o secțiune pentru informarea cu privire la oportunități de joburi în domeniul MIZC, oportunități de business (verde / albastru), oportunități de finanțare.</w:t>
      </w:r>
    </w:p>
    <w:p w14:paraId="2B335A45" w14:textId="77777777" w:rsidR="00670FD4" w:rsidRDefault="00670FD4" w:rsidP="00670FD4">
      <w:pPr>
        <w:spacing w:before="0"/>
        <w:ind w:firstLine="567"/>
        <w:rPr>
          <w:rFonts w:eastAsia="Times New Roman" w:cs="Times New Roman"/>
        </w:rPr>
      </w:pPr>
      <w:r>
        <w:rPr>
          <w:rFonts w:eastAsia="Times New Roman" w:cs="Times New Roman"/>
        </w:rPr>
        <w:t>Toate secțiunile website-ului vor fi actualizate în mod curent, cel mult la 6 luni.</w:t>
      </w:r>
    </w:p>
    <w:p w14:paraId="6C1AD651" w14:textId="77777777" w:rsidR="00670FD4" w:rsidRDefault="00670FD4" w:rsidP="00670FD4">
      <w:pPr>
        <w:spacing w:before="0"/>
        <w:ind w:firstLine="567"/>
        <w:rPr>
          <w:rFonts w:eastAsia="Times New Roman" w:cs="Times New Roman"/>
        </w:rPr>
      </w:pPr>
      <w:r>
        <w:rPr>
          <w:rFonts w:eastAsia="Times New Roman" w:cs="Times New Roman"/>
        </w:rPr>
        <w:t>Comunicarea online se va realiza și prin mijloacele social media (în special vizând publicul larg) prin crearea de pagini dedicate și grupuri de discuții pe rețelele de socializare.</w:t>
      </w:r>
    </w:p>
    <w:p w14:paraId="5C9CC5AE" w14:textId="77777777" w:rsidR="00670FD4" w:rsidRDefault="00670FD4" w:rsidP="00670FD4">
      <w:pPr>
        <w:numPr>
          <w:ilvl w:val="0"/>
          <w:numId w:val="39"/>
        </w:numPr>
        <w:pBdr>
          <w:top w:val="nil"/>
          <w:left w:val="nil"/>
          <w:bottom w:val="nil"/>
          <w:right w:val="nil"/>
          <w:between w:val="nil"/>
        </w:pBdr>
        <w:spacing w:before="0"/>
        <w:rPr>
          <w:rFonts w:eastAsia="Times New Roman" w:cs="Times New Roman"/>
          <w:color w:val="000000"/>
        </w:rPr>
      </w:pPr>
      <w:r>
        <w:rPr>
          <w:rFonts w:eastAsia="Times New Roman" w:cs="Times New Roman"/>
          <w:i/>
          <w:color w:val="000000"/>
        </w:rPr>
        <w:t>Media relations</w:t>
      </w:r>
      <w:r>
        <w:rPr>
          <w:rFonts w:eastAsia="Times New Roman" w:cs="Times New Roman"/>
          <w:color w:val="000000"/>
        </w:rPr>
        <w:t xml:space="preserve"> (relații cu mass media) - include:</w:t>
      </w:r>
    </w:p>
    <w:p w14:paraId="05587F8D" w14:textId="77777777" w:rsidR="00670FD4" w:rsidRDefault="00670FD4" w:rsidP="00670FD4">
      <w:pPr>
        <w:numPr>
          <w:ilvl w:val="0"/>
          <w:numId w:val="38"/>
        </w:numPr>
        <w:pBdr>
          <w:top w:val="nil"/>
          <w:left w:val="nil"/>
          <w:bottom w:val="nil"/>
          <w:right w:val="nil"/>
          <w:between w:val="nil"/>
        </w:pBdr>
        <w:spacing w:before="0"/>
        <w:ind w:left="992" w:hanging="357"/>
        <w:rPr>
          <w:rFonts w:eastAsia="Times New Roman" w:cs="Times New Roman"/>
          <w:color w:val="000000"/>
        </w:rPr>
      </w:pPr>
      <w:r>
        <w:rPr>
          <w:rFonts w:eastAsia="Times New Roman" w:cs="Times New Roman"/>
          <w:color w:val="000000"/>
        </w:rPr>
        <w:t xml:space="preserve">încurajarea publicațiilor de a realiza secțiuni dedicate urmăririi progresului implementării planului de management integrat al </w:t>
      </w:r>
      <w:r>
        <w:rPr>
          <w:rFonts w:eastAsia="Times New Roman" w:cs="Times New Roman"/>
        </w:rPr>
        <w:t>zonei</w:t>
      </w:r>
      <w:r>
        <w:rPr>
          <w:rFonts w:eastAsia="Times New Roman" w:cs="Times New Roman"/>
          <w:color w:val="000000"/>
        </w:rPr>
        <w:t xml:space="preserve"> costiere, MIZC și, în particular, a programelor / proiectelor finanțate;</w:t>
      </w:r>
    </w:p>
    <w:p w14:paraId="2F2207CF" w14:textId="77777777" w:rsidR="00670FD4" w:rsidRDefault="00670FD4" w:rsidP="00670FD4">
      <w:pPr>
        <w:numPr>
          <w:ilvl w:val="0"/>
          <w:numId w:val="38"/>
        </w:numPr>
        <w:pBdr>
          <w:top w:val="nil"/>
          <w:left w:val="nil"/>
          <w:bottom w:val="nil"/>
          <w:right w:val="nil"/>
          <w:between w:val="nil"/>
        </w:pBdr>
        <w:spacing w:before="0"/>
        <w:ind w:left="992" w:hanging="357"/>
        <w:rPr>
          <w:rFonts w:eastAsia="Times New Roman" w:cs="Times New Roman"/>
          <w:color w:val="000000"/>
        </w:rPr>
      </w:pPr>
      <w:r>
        <w:rPr>
          <w:rFonts w:eastAsia="Times New Roman" w:cs="Times New Roman"/>
          <w:color w:val="000000"/>
        </w:rPr>
        <w:t>oferirea cu prioritate de informații rezultate din activitățile de monitorizare a stadiului implementării strategiei naționale MIZC către aceste publicații care au secțiuni dedicate;</w:t>
      </w:r>
    </w:p>
    <w:p w14:paraId="479263E5" w14:textId="77777777" w:rsidR="00670FD4" w:rsidRDefault="00670FD4" w:rsidP="00670FD4">
      <w:pPr>
        <w:numPr>
          <w:ilvl w:val="0"/>
          <w:numId w:val="38"/>
        </w:numPr>
        <w:pBdr>
          <w:top w:val="nil"/>
          <w:left w:val="nil"/>
          <w:bottom w:val="nil"/>
          <w:right w:val="nil"/>
          <w:between w:val="nil"/>
        </w:pBdr>
        <w:spacing w:before="0"/>
        <w:ind w:left="992" w:hanging="357"/>
        <w:rPr>
          <w:rFonts w:eastAsia="Times New Roman" w:cs="Times New Roman"/>
          <w:color w:val="000000"/>
        </w:rPr>
      </w:pPr>
      <w:r>
        <w:rPr>
          <w:rFonts w:eastAsia="Times New Roman" w:cs="Times New Roman"/>
          <w:color w:val="000000"/>
        </w:rPr>
        <w:t>identificarea și oferirea de proiecte care pot preluate („adoptate”) și monitorizate de aceste publicații, pentru a fi prezentate ca bune practici;</w:t>
      </w:r>
    </w:p>
    <w:p w14:paraId="560F1DE9" w14:textId="77777777" w:rsidR="00670FD4" w:rsidRDefault="00670FD4" w:rsidP="00670FD4">
      <w:pPr>
        <w:numPr>
          <w:ilvl w:val="0"/>
          <w:numId w:val="38"/>
        </w:numPr>
        <w:pBdr>
          <w:top w:val="nil"/>
          <w:left w:val="nil"/>
          <w:bottom w:val="nil"/>
          <w:right w:val="nil"/>
          <w:between w:val="nil"/>
        </w:pBdr>
        <w:spacing w:before="0"/>
        <w:ind w:left="992" w:hanging="357"/>
        <w:rPr>
          <w:rFonts w:eastAsia="Times New Roman" w:cs="Times New Roman"/>
          <w:color w:val="000000"/>
        </w:rPr>
      </w:pPr>
      <w:r>
        <w:rPr>
          <w:rFonts w:eastAsia="Times New Roman" w:cs="Times New Roman"/>
          <w:color w:val="000000"/>
        </w:rPr>
        <w:t>încurajarea publicațiilor de a acoperi impactul proiectelor la nivelul comunității (contextualizare), nu doar de a monitoriza rezultatele imediate ale proiectelor;</w:t>
      </w:r>
    </w:p>
    <w:p w14:paraId="1CFB45B2" w14:textId="77777777" w:rsidR="00670FD4" w:rsidRDefault="00670FD4" w:rsidP="00670FD4">
      <w:pPr>
        <w:numPr>
          <w:ilvl w:val="0"/>
          <w:numId w:val="38"/>
        </w:numPr>
        <w:pBdr>
          <w:top w:val="nil"/>
          <w:left w:val="nil"/>
          <w:bottom w:val="nil"/>
          <w:right w:val="nil"/>
          <w:between w:val="nil"/>
        </w:pBdr>
        <w:spacing w:before="0"/>
        <w:ind w:left="992" w:hanging="357"/>
        <w:rPr>
          <w:rFonts w:eastAsia="Times New Roman" w:cs="Times New Roman"/>
          <w:color w:val="000000"/>
        </w:rPr>
      </w:pPr>
      <w:r>
        <w:rPr>
          <w:rFonts w:eastAsia="Times New Roman" w:cs="Times New Roman"/>
          <w:color w:val="000000"/>
        </w:rPr>
        <w:t>interviuri cu reprezentanți ai CNZC / experți din echipa de implementare a Strategiei Naționale MIZC la posturile locale și naționale de radio și TV;</w:t>
      </w:r>
    </w:p>
    <w:p w14:paraId="6EAD6D2B" w14:textId="77777777" w:rsidR="00670FD4" w:rsidRDefault="00670FD4" w:rsidP="00670FD4">
      <w:pPr>
        <w:numPr>
          <w:ilvl w:val="0"/>
          <w:numId w:val="38"/>
        </w:numPr>
        <w:pBdr>
          <w:top w:val="nil"/>
          <w:left w:val="nil"/>
          <w:bottom w:val="nil"/>
          <w:right w:val="nil"/>
          <w:between w:val="nil"/>
        </w:pBdr>
        <w:spacing w:before="0"/>
        <w:ind w:left="992" w:hanging="357"/>
        <w:rPr>
          <w:rFonts w:eastAsia="Times New Roman" w:cs="Times New Roman"/>
          <w:color w:val="000000"/>
        </w:rPr>
      </w:pPr>
      <w:r>
        <w:rPr>
          <w:rFonts w:eastAsia="Times New Roman" w:cs="Times New Roman"/>
          <w:color w:val="000000"/>
        </w:rPr>
        <w:t>conferințe de presă;</w:t>
      </w:r>
    </w:p>
    <w:p w14:paraId="0E41EA9C" w14:textId="77777777" w:rsidR="00670FD4" w:rsidRDefault="00670FD4" w:rsidP="00670FD4">
      <w:pPr>
        <w:numPr>
          <w:ilvl w:val="0"/>
          <w:numId w:val="38"/>
        </w:numPr>
        <w:pBdr>
          <w:top w:val="nil"/>
          <w:left w:val="nil"/>
          <w:bottom w:val="nil"/>
          <w:right w:val="nil"/>
          <w:between w:val="nil"/>
        </w:pBdr>
        <w:spacing w:before="0"/>
        <w:ind w:left="992" w:hanging="357"/>
        <w:rPr>
          <w:rFonts w:eastAsia="Times New Roman" w:cs="Times New Roman"/>
          <w:color w:val="000000"/>
        </w:rPr>
      </w:pPr>
      <w:r>
        <w:rPr>
          <w:rFonts w:eastAsia="Times New Roman" w:cs="Times New Roman"/>
          <w:color w:val="000000"/>
        </w:rPr>
        <w:t>informări/ comunicate de presă cu prilejul unor evenimente importante (ex. lansarea Strategiei naționale MIZC, lansarea unui proiect de importanță majoră în zona costieră, etc.);</w:t>
      </w:r>
    </w:p>
    <w:p w14:paraId="11D20A03" w14:textId="77777777" w:rsidR="00670FD4" w:rsidRDefault="00670FD4" w:rsidP="00670FD4">
      <w:pPr>
        <w:numPr>
          <w:ilvl w:val="0"/>
          <w:numId w:val="38"/>
        </w:numPr>
        <w:pBdr>
          <w:top w:val="nil"/>
          <w:left w:val="nil"/>
          <w:bottom w:val="nil"/>
          <w:right w:val="nil"/>
          <w:between w:val="nil"/>
        </w:pBdr>
        <w:spacing w:before="0"/>
        <w:ind w:left="992" w:hanging="357"/>
        <w:rPr>
          <w:rFonts w:eastAsia="Times New Roman" w:cs="Times New Roman"/>
          <w:color w:val="000000"/>
        </w:rPr>
      </w:pPr>
      <w:r>
        <w:rPr>
          <w:rFonts w:eastAsia="Times New Roman" w:cs="Times New Roman"/>
          <w:color w:val="000000"/>
        </w:rPr>
        <w:t>difuzarea spoturilor radio și tv (advertising), dedicate, în special publicului larg.</w:t>
      </w:r>
    </w:p>
    <w:p w14:paraId="41D6D66D" w14:textId="77777777" w:rsidR="00670FD4" w:rsidRDefault="00670FD4" w:rsidP="00670FD4">
      <w:pPr>
        <w:numPr>
          <w:ilvl w:val="0"/>
          <w:numId w:val="39"/>
        </w:numPr>
        <w:pBdr>
          <w:top w:val="nil"/>
          <w:left w:val="nil"/>
          <w:bottom w:val="nil"/>
          <w:right w:val="nil"/>
          <w:between w:val="nil"/>
        </w:pBdr>
        <w:spacing w:before="0"/>
        <w:ind w:left="0" w:firstLine="567"/>
        <w:rPr>
          <w:rFonts w:eastAsia="Times New Roman" w:cs="Times New Roman"/>
          <w:i/>
          <w:color w:val="000000"/>
        </w:rPr>
      </w:pPr>
      <w:r>
        <w:rPr>
          <w:rFonts w:eastAsia="Times New Roman" w:cs="Times New Roman"/>
          <w:i/>
          <w:color w:val="000000"/>
        </w:rPr>
        <w:t>Evenimente</w:t>
      </w:r>
    </w:p>
    <w:p w14:paraId="69ECFC6C" w14:textId="77777777" w:rsidR="00670FD4" w:rsidRDefault="00670FD4" w:rsidP="00670FD4">
      <w:pPr>
        <w:numPr>
          <w:ilvl w:val="0"/>
          <w:numId w:val="40"/>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organizarea de evenimente proiectate pe baza solicitărilor grupurilor țintă, a feedback-ului colectat online;</w:t>
      </w:r>
    </w:p>
    <w:p w14:paraId="439C997F" w14:textId="77777777" w:rsidR="00670FD4" w:rsidRDefault="00670FD4" w:rsidP="00670FD4">
      <w:pPr>
        <w:numPr>
          <w:ilvl w:val="0"/>
          <w:numId w:val="40"/>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sesiuni de informare specializate, „info workshops”, scurte (2-3 ore), în grupuri relativ mici (20-30 persoane), la nivel județean/local, inclusiv cu răspunsuri la probleme punctuale; sunt vizați potențialii beneficiari și beneficiarii, în sesiuni distincte;</w:t>
      </w:r>
    </w:p>
    <w:p w14:paraId="69B963F1" w14:textId="77777777" w:rsidR="00670FD4" w:rsidRDefault="00670FD4" w:rsidP="00670FD4">
      <w:pPr>
        <w:numPr>
          <w:ilvl w:val="0"/>
          <w:numId w:val="40"/>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organizarea de evenimente pentru publicul larg (ex. Ziua Internațională a Mării Negre, Ziua Dunării, etc). Aceste evenimente vizează informarea publicului larg cu privire la rezultatele și impactul implementării managementului integrat al zonei costiere, oferirea de exemple de „povești de succes”, etc.</w:t>
      </w:r>
    </w:p>
    <w:p w14:paraId="083C0758" w14:textId="77777777" w:rsidR="00670FD4" w:rsidRDefault="00670FD4" w:rsidP="00670FD4">
      <w:pPr>
        <w:numPr>
          <w:ilvl w:val="0"/>
          <w:numId w:val="39"/>
        </w:numPr>
        <w:pBdr>
          <w:top w:val="nil"/>
          <w:left w:val="nil"/>
          <w:bottom w:val="nil"/>
          <w:right w:val="nil"/>
          <w:between w:val="nil"/>
        </w:pBdr>
        <w:spacing w:before="0"/>
        <w:ind w:left="0" w:firstLine="567"/>
        <w:rPr>
          <w:rFonts w:eastAsia="Times New Roman" w:cs="Times New Roman"/>
          <w:color w:val="000000"/>
        </w:rPr>
      </w:pPr>
      <w:r>
        <w:rPr>
          <w:rFonts w:eastAsia="Times New Roman" w:cs="Times New Roman"/>
          <w:i/>
          <w:color w:val="000000"/>
        </w:rPr>
        <w:t>Materiale de prezentare</w:t>
      </w:r>
      <w:r>
        <w:rPr>
          <w:rFonts w:eastAsia="Times New Roman" w:cs="Times New Roman"/>
          <w:color w:val="000000"/>
        </w:rPr>
        <w:t xml:space="preserve"> (broșuri, ghiduri, flyere, afișe/ bannere online și/sau format fizic).</w:t>
      </w:r>
    </w:p>
    <w:p w14:paraId="01F278F0" w14:textId="77777777" w:rsidR="00670FD4" w:rsidRDefault="00670FD4" w:rsidP="00670FD4">
      <w:pPr>
        <w:spacing w:before="0"/>
        <w:rPr>
          <w:rFonts w:eastAsia="Times New Roman" w:cs="Times New Roman"/>
          <w:b/>
          <w:i/>
        </w:rPr>
      </w:pPr>
      <w:r>
        <w:rPr>
          <w:rFonts w:eastAsia="Times New Roman" w:cs="Times New Roman"/>
          <w:b/>
          <w:i/>
        </w:rPr>
        <w:lastRenderedPageBreak/>
        <w:t xml:space="preserve">Planul de acțiune - </w:t>
      </w:r>
      <w:r>
        <w:rPr>
          <w:rFonts w:eastAsia="Times New Roman" w:cs="Times New Roman"/>
        </w:rPr>
        <w:t>cuprinde acțiuni prioritare și acțiuni cu caracter permanent</w:t>
      </w:r>
      <w:r>
        <w:rPr>
          <w:rFonts w:eastAsia="Times New Roman" w:cs="Times New Roman"/>
          <w:b/>
          <w:i/>
        </w:rPr>
        <w:t>.</w:t>
      </w:r>
    </w:p>
    <w:p w14:paraId="4E164AFB" w14:textId="77777777" w:rsidR="00670FD4" w:rsidRDefault="00670FD4" w:rsidP="00670FD4">
      <w:pPr>
        <w:spacing w:before="0"/>
        <w:ind w:firstLine="567"/>
        <w:rPr>
          <w:rFonts w:eastAsia="Times New Roman" w:cs="Times New Roman"/>
        </w:rPr>
      </w:pPr>
      <w:r>
        <w:rPr>
          <w:rFonts w:eastAsia="Times New Roman" w:cs="Times New Roman"/>
          <w:color w:val="000000"/>
        </w:rPr>
        <w:t>Acțiunile prioritare vizează, în special, comunicarea și informarea publicului (atât a celui specializat, cât și a publicului larg) cu privire la demararea implementării Planului de Management Integrat al zonei costiere și a Strategiei naționale privind gospodărirea integrată a zonei costiere și importanța acestui proces. Acțiunile prioritare propuse sunt:</w:t>
      </w:r>
    </w:p>
    <w:p w14:paraId="48475714" w14:textId="77777777" w:rsidR="00670FD4" w:rsidRDefault="00670FD4" w:rsidP="00670FD4">
      <w:pPr>
        <w:numPr>
          <w:ilvl w:val="0"/>
          <w:numId w:val="30"/>
        </w:numPr>
        <w:spacing w:before="0"/>
        <w:rPr>
          <w:rFonts w:eastAsia="Times New Roman" w:cs="Times New Roman"/>
          <w:color w:val="000000"/>
        </w:rPr>
      </w:pPr>
      <w:r>
        <w:rPr>
          <w:rFonts w:eastAsia="Times New Roman" w:cs="Times New Roman"/>
          <w:color w:val="000000"/>
        </w:rPr>
        <w:t>dezvoltarea paginii web pe site-ul MMAP;</w:t>
      </w:r>
    </w:p>
    <w:p w14:paraId="73E46737" w14:textId="77777777" w:rsidR="00670FD4" w:rsidRDefault="00670FD4" w:rsidP="00670FD4">
      <w:pPr>
        <w:numPr>
          <w:ilvl w:val="0"/>
          <w:numId w:val="30"/>
        </w:numPr>
        <w:spacing w:before="0"/>
        <w:rPr>
          <w:rFonts w:eastAsia="Times New Roman" w:cs="Times New Roman"/>
          <w:color w:val="000000"/>
        </w:rPr>
      </w:pPr>
      <w:r>
        <w:rPr>
          <w:rFonts w:eastAsia="Times New Roman" w:cs="Times New Roman"/>
          <w:color w:val="000000"/>
        </w:rPr>
        <w:t xml:space="preserve">realizarea identității vizuale a Strategiei Naționale privind gospodărirea integrată a zonei costiere și a </w:t>
      </w:r>
      <w:r w:rsidRPr="00735C1E">
        <w:rPr>
          <w:rFonts w:eastAsia="Times New Roman" w:cs="Times New Roman"/>
          <w:color w:val="000000"/>
        </w:rPr>
        <w:t xml:space="preserve">Planului de Management Integrat al zonei </w:t>
      </w:r>
      <w:r>
        <w:rPr>
          <w:rFonts w:eastAsia="Times New Roman" w:cs="Times New Roman"/>
          <w:color w:val="000000"/>
        </w:rPr>
        <w:t>costiere (sigla, slogan etc.);</w:t>
      </w:r>
    </w:p>
    <w:p w14:paraId="1C5897BA" w14:textId="77777777" w:rsidR="00670FD4" w:rsidRDefault="00670FD4" w:rsidP="00670FD4">
      <w:pPr>
        <w:numPr>
          <w:ilvl w:val="0"/>
          <w:numId w:val="30"/>
        </w:numPr>
        <w:spacing w:before="0"/>
        <w:rPr>
          <w:rFonts w:eastAsia="Times New Roman" w:cs="Times New Roman"/>
          <w:color w:val="000000"/>
        </w:rPr>
      </w:pPr>
      <w:r>
        <w:rPr>
          <w:rFonts w:eastAsia="Times New Roman" w:cs="Times New Roman"/>
          <w:color w:val="000000"/>
        </w:rPr>
        <w:t>organizare unui eveniment de amploare care să marcheze lansarea implementării Strategiei Naționale privind gospodărirea integrată a zonei costiere și a Planului de Management Integrat al zonei costiere;</w:t>
      </w:r>
    </w:p>
    <w:p w14:paraId="0DC18008" w14:textId="77777777" w:rsidR="00670FD4" w:rsidRDefault="00670FD4" w:rsidP="00670FD4">
      <w:pPr>
        <w:numPr>
          <w:ilvl w:val="0"/>
          <w:numId w:val="30"/>
        </w:numPr>
        <w:spacing w:before="0"/>
        <w:rPr>
          <w:rFonts w:eastAsia="Times New Roman" w:cs="Times New Roman"/>
          <w:color w:val="000000"/>
        </w:rPr>
      </w:pPr>
      <w:r>
        <w:rPr>
          <w:rFonts w:eastAsia="Times New Roman" w:cs="Times New Roman"/>
          <w:color w:val="000000"/>
        </w:rPr>
        <w:t xml:space="preserve">realizarea și publicarea comunicatelor de presa și articolelor de presă care să promoveze evenimentul de lansare a implementării </w:t>
      </w:r>
      <w:r w:rsidRPr="00735C1E">
        <w:rPr>
          <w:rFonts w:eastAsia="Times New Roman" w:cs="Times New Roman"/>
          <w:color w:val="000000"/>
        </w:rPr>
        <w:t xml:space="preserve">Strategiei Naționale privind gospodărirea integrată a zonei costiere </w:t>
      </w:r>
      <w:r>
        <w:rPr>
          <w:rFonts w:eastAsia="Times New Roman" w:cs="Times New Roman"/>
          <w:color w:val="000000"/>
        </w:rPr>
        <w:t xml:space="preserve">și a </w:t>
      </w:r>
      <w:r w:rsidRPr="00735C1E">
        <w:rPr>
          <w:rFonts w:eastAsia="Times New Roman" w:cs="Times New Roman"/>
          <w:color w:val="000000"/>
        </w:rPr>
        <w:t>Planului de Management Integrat al zonei costiere</w:t>
      </w:r>
      <w:r>
        <w:rPr>
          <w:rFonts w:eastAsia="Times New Roman" w:cs="Times New Roman"/>
          <w:color w:val="000000"/>
        </w:rPr>
        <w:t>;</w:t>
      </w:r>
    </w:p>
    <w:p w14:paraId="535974FE" w14:textId="77777777" w:rsidR="00670FD4" w:rsidRDefault="00670FD4" w:rsidP="00670FD4">
      <w:pPr>
        <w:numPr>
          <w:ilvl w:val="0"/>
          <w:numId w:val="30"/>
        </w:numPr>
        <w:spacing w:before="0"/>
        <w:rPr>
          <w:rFonts w:eastAsia="Times New Roman" w:cs="Times New Roman"/>
          <w:color w:val="000000"/>
        </w:rPr>
      </w:pPr>
      <w:r>
        <w:rPr>
          <w:rFonts w:eastAsia="Times New Roman" w:cs="Times New Roman"/>
          <w:color w:val="000000"/>
        </w:rPr>
        <w:t xml:space="preserve">organizarea unei conferințe de presă care să marcheze startul implementării </w:t>
      </w:r>
      <w:r w:rsidRPr="00735C1E">
        <w:rPr>
          <w:rFonts w:eastAsia="Times New Roman" w:cs="Times New Roman"/>
          <w:color w:val="000000"/>
        </w:rPr>
        <w:t xml:space="preserve">Strategiei Naționale privind gospodărirea integrată a zonei costiere </w:t>
      </w:r>
      <w:r>
        <w:rPr>
          <w:rFonts w:eastAsia="Times New Roman" w:cs="Times New Roman"/>
          <w:color w:val="000000"/>
        </w:rPr>
        <w:t xml:space="preserve">și a </w:t>
      </w:r>
      <w:r w:rsidRPr="00735C1E">
        <w:rPr>
          <w:rFonts w:eastAsia="Times New Roman" w:cs="Times New Roman"/>
          <w:color w:val="000000"/>
        </w:rPr>
        <w:t>Planului de Management Integrat al zonei costiere</w:t>
      </w:r>
      <w:r>
        <w:rPr>
          <w:rFonts w:eastAsia="Times New Roman" w:cs="Times New Roman"/>
          <w:color w:val="000000"/>
        </w:rPr>
        <w:t>.</w:t>
      </w:r>
    </w:p>
    <w:p w14:paraId="29EA160E" w14:textId="77777777" w:rsidR="00670FD4" w:rsidRDefault="00670FD4" w:rsidP="00670FD4">
      <w:pPr>
        <w:spacing w:before="0"/>
        <w:ind w:firstLine="540"/>
        <w:rPr>
          <w:rFonts w:eastAsia="Times New Roman" w:cs="Times New Roman"/>
        </w:rPr>
      </w:pPr>
      <w:r>
        <w:rPr>
          <w:rFonts w:eastAsia="Times New Roman" w:cs="Times New Roman"/>
          <w:color w:val="000000"/>
        </w:rPr>
        <w:t>Acțiunile cu caracter permanent sunt:</w:t>
      </w:r>
    </w:p>
    <w:p w14:paraId="145CF280" w14:textId="77777777" w:rsidR="00670FD4" w:rsidRDefault="00670FD4" w:rsidP="00670FD4">
      <w:pPr>
        <w:numPr>
          <w:ilvl w:val="0"/>
          <w:numId w:val="29"/>
        </w:numPr>
        <w:spacing w:before="0"/>
        <w:rPr>
          <w:rFonts w:eastAsia="Times New Roman" w:cs="Times New Roman"/>
          <w:color w:val="000000"/>
        </w:rPr>
      </w:pPr>
      <w:r>
        <w:rPr>
          <w:rFonts w:eastAsia="Times New Roman" w:cs="Times New Roman"/>
          <w:color w:val="000000"/>
        </w:rPr>
        <w:t>întreținerea și permanenta actualizare a paginii web dedicată procesului de management integrat al zonei costiere - acțiune cu caracter permanent:</w:t>
      </w:r>
    </w:p>
    <w:p w14:paraId="4CCFE30E" w14:textId="77777777" w:rsidR="00670FD4" w:rsidRDefault="00670FD4" w:rsidP="00670FD4">
      <w:pPr>
        <w:numPr>
          <w:ilvl w:val="0"/>
          <w:numId w:val="29"/>
        </w:numPr>
        <w:spacing w:before="0"/>
        <w:rPr>
          <w:rFonts w:eastAsia="Times New Roman" w:cs="Times New Roman"/>
          <w:color w:val="000000"/>
        </w:rPr>
      </w:pPr>
      <w:r>
        <w:rPr>
          <w:rFonts w:eastAsia="Times New Roman" w:cs="Times New Roman"/>
          <w:color w:val="000000"/>
        </w:rPr>
        <w:t>conceperea, tipărirea și diseminarea materialelor publicitare (broșuri, ghiduri, flyere, afișe/ bannere online și/ sau în formă fizic)</w:t>
      </w:r>
    </w:p>
    <w:p w14:paraId="5E465FA9" w14:textId="77777777" w:rsidR="00670FD4" w:rsidRDefault="00670FD4" w:rsidP="00670FD4">
      <w:pPr>
        <w:numPr>
          <w:ilvl w:val="0"/>
          <w:numId w:val="29"/>
        </w:numPr>
        <w:spacing w:before="0"/>
        <w:rPr>
          <w:rFonts w:eastAsia="Times New Roman" w:cs="Times New Roman"/>
          <w:color w:val="000000"/>
        </w:rPr>
      </w:pPr>
      <w:r>
        <w:rPr>
          <w:rFonts w:eastAsia="Times New Roman" w:cs="Times New Roman"/>
          <w:color w:val="000000"/>
        </w:rPr>
        <w:t>realizarea și difuzarea de buletine informative / comunicate de presă cu privire la rezultatele ședințelor CNZC;</w:t>
      </w:r>
    </w:p>
    <w:p w14:paraId="4CD0AC7D" w14:textId="77777777" w:rsidR="00670FD4" w:rsidRDefault="00670FD4" w:rsidP="00670FD4">
      <w:pPr>
        <w:numPr>
          <w:ilvl w:val="0"/>
          <w:numId w:val="29"/>
        </w:numPr>
        <w:spacing w:before="0"/>
        <w:rPr>
          <w:rFonts w:eastAsia="Times New Roman" w:cs="Times New Roman"/>
          <w:color w:val="000000"/>
        </w:rPr>
      </w:pPr>
      <w:r>
        <w:rPr>
          <w:rFonts w:eastAsia="Times New Roman" w:cs="Times New Roman"/>
          <w:color w:val="000000"/>
        </w:rPr>
        <w:t>informarea prin mijloace online (website, social media) asupra rezultatelor ședințelor CNZC;</w:t>
      </w:r>
    </w:p>
    <w:p w14:paraId="7C7605EF" w14:textId="77777777" w:rsidR="00670FD4" w:rsidRDefault="00670FD4" w:rsidP="00670FD4">
      <w:pPr>
        <w:numPr>
          <w:ilvl w:val="0"/>
          <w:numId w:val="29"/>
        </w:numPr>
        <w:spacing w:before="0"/>
        <w:rPr>
          <w:rFonts w:eastAsia="Times New Roman" w:cs="Times New Roman"/>
          <w:color w:val="000000"/>
        </w:rPr>
      </w:pPr>
      <w:r>
        <w:rPr>
          <w:rFonts w:eastAsia="Times New Roman" w:cs="Times New Roman"/>
          <w:color w:val="000000"/>
        </w:rPr>
        <w:t>campanii de promovare, atât online (prin publicare pe pagina web dedicată și prin mijloace social media), cât și în mass-media locală a dezbaterilor publice, proceselor consultative cu privire la programele / proiectele din zona costieră în vederea creșterii gradului de participare activă a factorilor interesați;</w:t>
      </w:r>
    </w:p>
    <w:p w14:paraId="56CE8973" w14:textId="77777777" w:rsidR="00670FD4" w:rsidRDefault="00670FD4" w:rsidP="00670FD4">
      <w:pPr>
        <w:numPr>
          <w:ilvl w:val="0"/>
          <w:numId w:val="29"/>
        </w:numPr>
        <w:spacing w:before="0"/>
        <w:rPr>
          <w:rFonts w:eastAsia="Times New Roman" w:cs="Times New Roman"/>
          <w:color w:val="000000"/>
        </w:rPr>
      </w:pPr>
      <w:r>
        <w:rPr>
          <w:rFonts w:eastAsia="Times New Roman" w:cs="Times New Roman"/>
          <w:color w:val="000000"/>
        </w:rPr>
        <w:t>informarea publicului larg prin mijloace social media cu privire la proiectele propuse a se implementa în zona costieră;</w:t>
      </w:r>
    </w:p>
    <w:p w14:paraId="4C7BE2B5" w14:textId="77777777" w:rsidR="00670FD4" w:rsidRDefault="00670FD4" w:rsidP="00670FD4">
      <w:pPr>
        <w:numPr>
          <w:ilvl w:val="0"/>
          <w:numId w:val="29"/>
        </w:numPr>
        <w:spacing w:before="0"/>
        <w:rPr>
          <w:rFonts w:eastAsia="Times New Roman" w:cs="Times New Roman"/>
          <w:color w:val="000000"/>
        </w:rPr>
      </w:pPr>
      <w:r>
        <w:rPr>
          <w:rFonts w:eastAsia="Times New Roman" w:cs="Times New Roman"/>
          <w:color w:val="000000"/>
        </w:rPr>
        <w:t>diseminarea în mass-media și în social media a “poveștilor de succes” din zona costieră:</w:t>
      </w:r>
    </w:p>
    <w:p w14:paraId="47B5231A" w14:textId="77777777" w:rsidR="00670FD4" w:rsidRDefault="00670FD4" w:rsidP="00670FD4">
      <w:pPr>
        <w:numPr>
          <w:ilvl w:val="0"/>
          <w:numId w:val="29"/>
        </w:numPr>
        <w:spacing w:before="0"/>
        <w:rPr>
          <w:rFonts w:eastAsia="Times New Roman" w:cs="Times New Roman"/>
          <w:color w:val="000000"/>
        </w:rPr>
      </w:pPr>
      <w:r>
        <w:rPr>
          <w:rFonts w:eastAsia="Times New Roman" w:cs="Times New Roman"/>
          <w:color w:val="000000"/>
        </w:rPr>
        <w:t>organizarea de conferințe de presă cu prilejul lansării unor proiecte importante în zona costieră;</w:t>
      </w:r>
    </w:p>
    <w:p w14:paraId="0B108520" w14:textId="77777777" w:rsidR="00670FD4" w:rsidRDefault="00670FD4" w:rsidP="00670FD4">
      <w:pPr>
        <w:numPr>
          <w:ilvl w:val="0"/>
          <w:numId w:val="29"/>
        </w:numPr>
        <w:spacing w:before="0"/>
        <w:rPr>
          <w:rFonts w:eastAsia="Times New Roman" w:cs="Times New Roman"/>
          <w:color w:val="000000"/>
        </w:rPr>
      </w:pPr>
      <w:r>
        <w:rPr>
          <w:rFonts w:eastAsia="Times New Roman" w:cs="Times New Roman"/>
          <w:color w:val="000000"/>
        </w:rPr>
        <w:t>interviuri în mass-media sau online cu principalii actori ai procesului MIZC;</w:t>
      </w:r>
    </w:p>
    <w:p w14:paraId="13CFC696" w14:textId="77777777" w:rsidR="00670FD4" w:rsidRDefault="00670FD4" w:rsidP="00670FD4">
      <w:pPr>
        <w:numPr>
          <w:ilvl w:val="0"/>
          <w:numId w:val="29"/>
        </w:numPr>
        <w:spacing w:before="0"/>
        <w:rPr>
          <w:rFonts w:eastAsia="Times New Roman" w:cs="Times New Roman"/>
          <w:color w:val="000000"/>
        </w:rPr>
      </w:pPr>
      <w:r>
        <w:rPr>
          <w:rFonts w:eastAsia="Times New Roman" w:cs="Times New Roman"/>
          <w:color w:val="000000"/>
        </w:rPr>
        <w:lastRenderedPageBreak/>
        <w:t>organizarea de evenimente de informare specializate, „info workshops”, scurte (2-3 ore), în grupuri relativ mici (20-40 persoane), la nivel județean (două pe an, câte unul în cele două județe din zona costieră);</w:t>
      </w:r>
    </w:p>
    <w:p w14:paraId="2502378B" w14:textId="77777777" w:rsidR="00670FD4" w:rsidRDefault="00670FD4" w:rsidP="00670FD4">
      <w:pPr>
        <w:numPr>
          <w:ilvl w:val="0"/>
          <w:numId w:val="29"/>
        </w:numPr>
        <w:spacing w:before="0"/>
        <w:rPr>
          <w:rFonts w:eastAsia="Times New Roman" w:cs="Times New Roman"/>
          <w:color w:val="000000"/>
        </w:rPr>
      </w:pPr>
      <w:r>
        <w:rPr>
          <w:rFonts w:eastAsia="Times New Roman" w:cs="Times New Roman"/>
          <w:color w:val="000000"/>
        </w:rPr>
        <w:t>-organizarea de evenimente anuale de promovare a rezultatelor și beneficiilor managementului integrat al zonei costiere cu prilejul Zilei Internaționale a Mării Negre; </w:t>
      </w:r>
    </w:p>
    <w:p w14:paraId="61199B2C" w14:textId="77777777" w:rsidR="00670FD4" w:rsidRDefault="00670FD4" w:rsidP="00670FD4">
      <w:pPr>
        <w:numPr>
          <w:ilvl w:val="0"/>
          <w:numId w:val="29"/>
        </w:numPr>
        <w:spacing w:before="0"/>
        <w:rPr>
          <w:rFonts w:eastAsia="Times New Roman" w:cs="Times New Roman"/>
          <w:color w:val="000000"/>
        </w:rPr>
      </w:pPr>
      <w:r>
        <w:rPr>
          <w:rFonts w:eastAsia="Times New Roman" w:cs="Times New Roman"/>
          <w:color w:val="000000"/>
        </w:rPr>
        <w:t>promovarea rezultatelor implementării Planului și Strategiei naționale MIZC în cadrul unor evenimente naționale sau internaționale (altele decât cele organizate de MMAP).</w:t>
      </w:r>
    </w:p>
    <w:p w14:paraId="2E62D25C" w14:textId="77777777" w:rsidR="00670FD4" w:rsidRDefault="00670FD4" w:rsidP="00670FD4">
      <w:pPr>
        <w:spacing w:before="0"/>
        <w:rPr>
          <w:rFonts w:eastAsia="Times New Roman" w:cs="Times New Roman"/>
          <w:b/>
          <w:i/>
        </w:rPr>
      </w:pPr>
      <w:r>
        <w:rPr>
          <w:rFonts w:eastAsia="Times New Roman" w:cs="Times New Roman"/>
          <w:b/>
          <w:i/>
        </w:rPr>
        <w:t>Surse de finanțare</w:t>
      </w:r>
    </w:p>
    <w:p w14:paraId="202CD210" w14:textId="77777777" w:rsidR="00670FD4" w:rsidRDefault="00670FD4" w:rsidP="00670FD4">
      <w:pPr>
        <w:spacing w:before="0"/>
        <w:ind w:firstLine="567"/>
        <w:rPr>
          <w:rFonts w:eastAsia="Times New Roman" w:cs="Times New Roman"/>
        </w:rPr>
      </w:pPr>
      <w:r>
        <w:rPr>
          <w:rFonts w:eastAsia="Times New Roman" w:cs="Times New Roman"/>
        </w:rPr>
        <w:t>Principala sursă de finanțare este bugetul propriu al Ministerului Mediului, Apelor și Pădurilor, dar alte posibile surse de finanțare, în special pentru organizarea și participarea la diverse evenimente, pot fi proiectele naționale și cele europene.</w:t>
      </w:r>
    </w:p>
    <w:p w14:paraId="728383F4" w14:textId="77777777" w:rsidR="00670FD4" w:rsidRDefault="00670FD4" w:rsidP="00670FD4">
      <w:pPr>
        <w:spacing w:before="0"/>
        <w:rPr>
          <w:rFonts w:eastAsia="Times New Roman" w:cs="Times New Roman"/>
          <w:b/>
          <w:i/>
        </w:rPr>
      </w:pPr>
      <w:r>
        <w:rPr>
          <w:rFonts w:eastAsia="Times New Roman" w:cs="Times New Roman"/>
          <w:b/>
          <w:i/>
        </w:rPr>
        <w:t>Monitorizare și Evaluare</w:t>
      </w:r>
    </w:p>
    <w:p w14:paraId="3A6A272B" w14:textId="77777777" w:rsidR="00670FD4" w:rsidRDefault="00670FD4" w:rsidP="00670FD4">
      <w:pPr>
        <w:spacing w:before="0"/>
        <w:rPr>
          <w:rFonts w:eastAsia="Times New Roman" w:cs="Times New Roman"/>
        </w:rPr>
      </w:pPr>
      <w:r>
        <w:rPr>
          <w:rFonts w:eastAsia="Times New Roman" w:cs="Times New Roman"/>
        </w:rPr>
        <w:t>Indicatorii de rezultat folosiți pentru monitorizarea și evaluarea atingerii obiectivelor de Planului de comunicare sunt:</w:t>
      </w:r>
    </w:p>
    <w:p w14:paraId="156D7C75" w14:textId="77777777" w:rsidR="00670FD4" w:rsidRDefault="00670FD4" w:rsidP="00670FD4">
      <w:pPr>
        <w:numPr>
          <w:ilvl w:val="0"/>
          <w:numId w:val="29"/>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numărul de vizitatori ai website-ului dedicat;</w:t>
      </w:r>
    </w:p>
    <w:p w14:paraId="244C5432" w14:textId="77777777" w:rsidR="00670FD4" w:rsidRDefault="00670FD4" w:rsidP="00670FD4">
      <w:pPr>
        <w:numPr>
          <w:ilvl w:val="0"/>
          <w:numId w:val="29"/>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numărul articolelor de presă care promovează evenimentul de lansare a implementării Strategiei naționale MIZC și a Planului de Management Integrat al zonei costiere;</w:t>
      </w:r>
    </w:p>
    <w:p w14:paraId="1F46C4C7" w14:textId="77777777" w:rsidR="00670FD4" w:rsidRDefault="00670FD4" w:rsidP="00670FD4">
      <w:pPr>
        <w:numPr>
          <w:ilvl w:val="0"/>
          <w:numId w:val="29"/>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numărul de participanți la conferințele de presă;</w:t>
      </w:r>
    </w:p>
    <w:p w14:paraId="78F7CC1F" w14:textId="77777777" w:rsidR="00670FD4" w:rsidRDefault="00670FD4" w:rsidP="00670FD4">
      <w:pPr>
        <w:numPr>
          <w:ilvl w:val="0"/>
          <w:numId w:val="29"/>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numărul de materiale promoționale realizat;</w:t>
      </w:r>
    </w:p>
    <w:p w14:paraId="555ECC8D" w14:textId="77777777" w:rsidR="00670FD4" w:rsidRDefault="00670FD4" w:rsidP="00670FD4">
      <w:pPr>
        <w:numPr>
          <w:ilvl w:val="0"/>
          <w:numId w:val="29"/>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numărul de buletine informative și comunicate de presă;</w:t>
      </w:r>
    </w:p>
    <w:p w14:paraId="30DA30D7" w14:textId="77777777" w:rsidR="00670FD4" w:rsidRDefault="00670FD4" w:rsidP="00670FD4">
      <w:pPr>
        <w:numPr>
          <w:ilvl w:val="0"/>
          <w:numId w:val="29"/>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număr de conferințe de presă;</w:t>
      </w:r>
    </w:p>
    <w:p w14:paraId="3D9065FF" w14:textId="77777777" w:rsidR="00670FD4" w:rsidRDefault="00670FD4" w:rsidP="00670FD4">
      <w:pPr>
        <w:numPr>
          <w:ilvl w:val="0"/>
          <w:numId w:val="29"/>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număr de interviuri;</w:t>
      </w:r>
    </w:p>
    <w:p w14:paraId="67A5C2D3" w14:textId="77777777" w:rsidR="00670FD4" w:rsidRDefault="00670FD4" w:rsidP="00670FD4">
      <w:pPr>
        <w:numPr>
          <w:ilvl w:val="0"/>
          <w:numId w:val="29"/>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numărul de participanți la dezbateri publice / procese consultative;</w:t>
      </w:r>
    </w:p>
    <w:p w14:paraId="5D2FF4AA" w14:textId="77777777" w:rsidR="00670FD4" w:rsidRDefault="00670FD4" w:rsidP="00670FD4">
      <w:pPr>
        <w:numPr>
          <w:ilvl w:val="0"/>
          <w:numId w:val="29"/>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numărul de postări în social media;</w:t>
      </w:r>
    </w:p>
    <w:p w14:paraId="13C9F9B3" w14:textId="77777777" w:rsidR="00670FD4" w:rsidRDefault="00670FD4" w:rsidP="00670FD4">
      <w:pPr>
        <w:numPr>
          <w:ilvl w:val="0"/>
          <w:numId w:val="29"/>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numărul de spoturi publicitare (radio, tv) dedicate MIZC;</w:t>
      </w:r>
    </w:p>
    <w:p w14:paraId="467CF6A2" w14:textId="77777777" w:rsidR="00670FD4" w:rsidRDefault="00670FD4" w:rsidP="00670FD4">
      <w:pPr>
        <w:numPr>
          <w:ilvl w:val="0"/>
          <w:numId w:val="29"/>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numărul de evenimente dedicate publicului larg;</w:t>
      </w:r>
    </w:p>
    <w:p w14:paraId="430E7DF1" w14:textId="77777777" w:rsidR="00670FD4" w:rsidRDefault="00670FD4" w:rsidP="00670FD4">
      <w:pPr>
        <w:numPr>
          <w:ilvl w:val="0"/>
          <w:numId w:val="29"/>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numărul de eveniment dedicate publicului specializat;</w:t>
      </w:r>
    </w:p>
    <w:p w14:paraId="1E025F45" w14:textId="77777777" w:rsidR="00670FD4" w:rsidRDefault="00670FD4" w:rsidP="00670FD4">
      <w:pPr>
        <w:numPr>
          <w:ilvl w:val="0"/>
          <w:numId w:val="29"/>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numărul de evenimente organizate de alte instituții în care a fost promovat procesul MIZC;</w:t>
      </w:r>
    </w:p>
    <w:p w14:paraId="5C0D8FF0" w14:textId="77777777" w:rsidR="00670FD4" w:rsidRDefault="00670FD4" w:rsidP="00670FD4">
      <w:pPr>
        <w:numPr>
          <w:ilvl w:val="0"/>
          <w:numId w:val="29"/>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numărul de cetățeni informați cu privire la activitățile derulate în zona costieră;</w:t>
      </w:r>
    </w:p>
    <w:p w14:paraId="0F57DB08" w14:textId="77777777" w:rsidR="00670FD4" w:rsidRDefault="00670FD4" w:rsidP="00670FD4">
      <w:pPr>
        <w:numPr>
          <w:ilvl w:val="0"/>
          <w:numId w:val="29"/>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numărul de articole generate în mass-media în urma campaniilor de promovare;</w:t>
      </w:r>
    </w:p>
    <w:p w14:paraId="387A8A83" w14:textId="77777777" w:rsidR="00670FD4" w:rsidRDefault="00670FD4" w:rsidP="00670FD4">
      <w:pPr>
        <w:numPr>
          <w:ilvl w:val="0"/>
          <w:numId w:val="29"/>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tipul de reacții generate în urma campaniilor de promovare.</w:t>
      </w:r>
    </w:p>
    <w:p w14:paraId="50209DCE" w14:textId="77777777" w:rsidR="00670FD4" w:rsidRPr="005E6631" w:rsidRDefault="00670FD4" w:rsidP="00670FD4">
      <w:pPr>
        <w:rPr>
          <w:rFonts w:eastAsia="Times New Roman" w:cs="Times New Roman"/>
          <w:sz w:val="28"/>
        </w:rPr>
      </w:pPr>
    </w:p>
    <w:p w14:paraId="0E52B5FD" w14:textId="77777777" w:rsidR="00670FD4" w:rsidRDefault="00670FD4" w:rsidP="00670FD4">
      <w:pPr>
        <w:tabs>
          <w:tab w:val="left" w:pos="1620"/>
        </w:tabs>
        <w:rPr>
          <w:rFonts w:eastAsia="Times New Roman" w:cs="Times New Roman"/>
        </w:rPr>
      </w:pPr>
    </w:p>
    <w:p w14:paraId="161C6FB2" w14:textId="77777777" w:rsidR="00670FD4" w:rsidRDefault="00670FD4" w:rsidP="00670FD4">
      <w:pPr>
        <w:pStyle w:val="Heading2"/>
      </w:pPr>
      <w:bookmarkStart w:id="158" w:name="_Toc150501479"/>
      <w:bookmarkStart w:id="159" w:name="_Toc171084866"/>
      <w:r>
        <w:t>2.11. Plan de monitorizare al activităților</w:t>
      </w:r>
      <w:bookmarkEnd w:id="158"/>
      <w:bookmarkEnd w:id="159"/>
      <w:r>
        <w:t xml:space="preserve"> </w:t>
      </w:r>
    </w:p>
    <w:p w14:paraId="5BF5CFC3"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În procesul de implementare a activităților propuse a se realiza în cadrul Planului de Management Integrat al zonei costiere pot avea loc schimbări, fie planificate / așteptate, fie neprevăzute, care sunt înregistrate printr-o monitorizare eficientă. Gradul de realizare al fiecărei activități va fi monitorizat cu o frecvență anuală (excepție făcând activitățile referitoare la cadrul instituțional și cel legislativ, când frecvența este semestrială) de către principala instituție responsabilă pentru implementarea ei. Informațiile referitoare la monitorizarea activităților sunt furnizate de către instituțiile responsabile Grupului de lucru pentru monitorizare și evaluare din cadrul CNZC, care va elabora un Raport anual de progres al implementării Planului.</w:t>
      </w:r>
    </w:p>
    <w:p w14:paraId="00304C5A"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În cazul activităților cu prioritate foarte ridicată referitoare la cadrul legislativ și instituțional și cu termen de implementare 2025, va fi elaborat un raport semestrial de progres. Scopul elaborării raportului semestrial de monitorizare este de identifica eventualele probleme ce apar la implementarea activităților respective și de a se lua măsurile corective necesare.</w:t>
      </w:r>
    </w:p>
    <w:p w14:paraId="57EDCA5F"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În cazul activităților cu termen de implementare 2030, în 2027, ultimul an în care instituțiile responsabile pot aplica pentru proiecte europene și / sau naționale pentru a accesa fonduri din programele de finanțare 2021 – 2027, se va elabora un raport intermediar ce va include și informațiile din rapoartele anuale. Acest raport intermediar permite CNZC evaluarea progresului realizat în implementarea activității și identificarea problemelor sau potențialelor obstacole ce pot împiedica realizare cu succes a activității respective. Pe baza evaluării progresului realizat este posibil să se efectueze ajustări periodice ale măsurilor și acțiunilor, în concordanță cu caracterul adaptiv al procesului de management a zonei costiere</w:t>
      </w:r>
    </w:p>
    <w:p w14:paraId="587988C3"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La finalul fiecărei activități, instituțiile responsabile vor întocmi un scurt Raport final ce va sintetiza modul de implementare al activității, rezultatele atinse și în ce măsură a contribuit la realizarea obiectivelor. Astfel, având în vedere termenele de implementare al activităților, respectiv 2025, 2027 și 2030, în toți acești ani, va fi elaborat de către Grupul de Lucru pentru monitorizare și evaluare un Raport Final (va include doar informații referitoare la activitățile ce s-au finalizat în acel an).</w:t>
      </w:r>
    </w:p>
    <w:p w14:paraId="4980786E"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În Tabelul 2.11.1 este reprezentat Planul de monitorizare al activităților, indicându-se pentru fiecare activitate Raportul de monitorizare unde este analizat progresul realizat de respectiva activitate.</w:t>
      </w:r>
    </w:p>
    <w:p w14:paraId="6098FAC3" w14:textId="77777777" w:rsidR="00670FD4" w:rsidRDefault="00670FD4" w:rsidP="00670FD4">
      <w:pPr>
        <w:pBdr>
          <w:top w:val="nil"/>
          <w:left w:val="nil"/>
          <w:bottom w:val="nil"/>
          <w:right w:val="nil"/>
          <w:between w:val="nil"/>
        </w:pBdr>
        <w:spacing w:before="0"/>
        <w:ind w:firstLine="567"/>
        <w:rPr>
          <w:rFonts w:eastAsia="Times New Roman" w:cs="Times New Roman"/>
        </w:rPr>
      </w:pPr>
      <w:r>
        <w:rPr>
          <w:rFonts w:eastAsia="Times New Roman" w:cs="Times New Roman"/>
        </w:rPr>
        <w:t>Toate rapoartele elaborate de către grupul de lucru pentru monitorizare și evaluare, fie că sunt anuale, intermediare sau finale, vor fi comunicate tuturor părților interesate prin intermediul Planului de Comunicare.</w:t>
      </w:r>
    </w:p>
    <w:p w14:paraId="67D8ECC5" w14:textId="77777777" w:rsidR="00670FD4" w:rsidRDefault="00670FD4" w:rsidP="00670FD4">
      <w:pPr>
        <w:pBdr>
          <w:top w:val="nil"/>
          <w:left w:val="nil"/>
          <w:bottom w:val="nil"/>
          <w:right w:val="nil"/>
          <w:between w:val="nil"/>
        </w:pBdr>
        <w:spacing w:before="0"/>
        <w:ind w:firstLine="567"/>
        <w:rPr>
          <w:rFonts w:eastAsia="Times New Roman" w:cs="Times New Roman"/>
          <w:b/>
        </w:rPr>
        <w:sectPr w:rsidR="00670FD4" w:rsidSect="00670FD4">
          <w:pgSz w:w="11906" w:h="16838"/>
          <w:pgMar w:top="1440" w:right="1440" w:bottom="1440" w:left="1440" w:header="0" w:footer="0" w:gutter="0"/>
          <w:cols w:space="708"/>
          <w:docGrid w:linePitch="326"/>
        </w:sectPr>
      </w:pPr>
    </w:p>
    <w:p w14:paraId="08002AEB" w14:textId="77777777" w:rsidR="00670FD4" w:rsidRDefault="00670FD4" w:rsidP="00670FD4">
      <w:pPr>
        <w:pBdr>
          <w:top w:val="nil"/>
          <w:left w:val="nil"/>
          <w:bottom w:val="nil"/>
          <w:right w:val="nil"/>
          <w:between w:val="nil"/>
        </w:pBdr>
        <w:spacing w:after="200"/>
        <w:jc w:val="center"/>
        <w:rPr>
          <w:rFonts w:eastAsia="Times New Roman" w:cs="Times New Roman"/>
          <w:b/>
        </w:rPr>
      </w:pPr>
      <w:r>
        <w:rPr>
          <w:rFonts w:eastAsia="Times New Roman" w:cs="Times New Roman"/>
          <w:b/>
        </w:rPr>
        <w:lastRenderedPageBreak/>
        <w:t>Tabel 2.11.1 Plan de monitorizare al activităților</w:t>
      </w:r>
    </w:p>
    <w:p w14:paraId="097B3BB0" w14:textId="77777777" w:rsidR="00670FD4" w:rsidRDefault="00670FD4" w:rsidP="00670FD4">
      <w:pPr>
        <w:pBdr>
          <w:top w:val="nil"/>
          <w:left w:val="nil"/>
          <w:bottom w:val="nil"/>
          <w:right w:val="nil"/>
          <w:between w:val="nil"/>
        </w:pBdr>
        <w:spacing w:before="0" w:after="0"/>
        <w:jc w:val="center"/>
        <w:rPr>
          <w:rFonts w:eastAsia="Times New Roman" w:cs="Times New Roman"/>
          <w:b/>
          <w:i/>
        </w:rPr>
      </w:pPr>
      <w:r>
        <w:rPr>
          <w:rFonts w:eastAsia="Times New Roman" w:cs="Times New Roman"/>
          <w:b/>
          <w:i/>
        </w:rPr>
        <w:t>Legendă: RS - Raport de progres semestrial, RA - Raport de progres anual, RI - Raport Intermediar (2025, 2027), RF - Raport final (2025, 2027, 2030</w:t>
      </w:r>
    </w:p>
    <w:tbl>
      <w:tblPr>
        <w:tblW w:w="13881" w:type="dxa"/>
        <w:tblInd w:w="-155" w:type="dxa"/>
        <w:tblLayout w:type="fixed"/>
        <w:tblLook w:val="0400" w:firstRow="0" w:lastRow="0" w:firstColumn="0" w:lastColumn="0" w:noHBand="0" w:noVBand="1"/>
      </w:tblPr>
      <w:tblGrid>
        <w:gridCol w:w="2541"/>
        <w:gridCol w:w="6095"/>
        <w:gridCol w:w="992"/>
        <w:gridCol w:w="851"/>
        <w:gridCol w:w="850"/>
        <w:gridCol w:w="851"/>
        <w:gridCol w:w="850"/>
        <w:gridCol w:w="851"/>
      </w:tblGrid>
      <w:tr w:rsidR="00670FD4" w14:paraId="18E46057" w14:textId="77777777" w:rsidTr="001925BA">
        <w:trPr>
          <w:trHeight w:val="440"/>
        </w:trPr>
        <w:tc>
          <w:tcPr>
            <w:tcW w:w="25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AD78E5"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Măsura</w:t>
            </w: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03DE9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Activitatea</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7FABF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b/>
                <w:color w:val="000000"/>
                <w:sz w:val="20"/>
                <w:szCs w:val="20"/>
              </w:rPr>
              <w:t>2025</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F5CDE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b/>
                <w:color w:val="000000"/>
                <w:sz w:val="20"/>
                <w:szCs w:val="20"/>
              </w:rPr>
              <w:t>2026</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E9957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b/>
                <w:sz w:val="20"/>
                <w:szCs w:val="20"/>
              </w:rPr>
              <w:t>2027</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1737F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b/>
                <w:sz w:val="20"/>
                <w:szCs w:val="20"/>
              </w:rPr>
              <w:t>2028</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CADAB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b/>
                <w:color w:val="000000"/>
                <w:sz w:val="20"/>
                <w:szCs w:val="20"/>
              </w:rPr>
              <w:t>2029</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3686F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b/>
                <w:color w:val="000000"/>
                <w:sz w:val="20"/>
                <w:szCs w:val="20"/>
              </w:rPr>
              <w:t>2030</w:t>
            </w:r>
          </w:p>
        </w:tc>
      </w:tr>
      <w:tr w:rsidR="00670FD4" w14:paraId="06B1C999" w14:textId="77777777" w:rsidTr="001925BA">
        <w:trPr>
          <w:trHeight w:val="456"/>
        </w:trPr>
        <w:tc>
          <w:tcPr>
            <w:tcW w:w="2541"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509C7C" w14:textId="77777777" w:rsidR="00670FD4" w:rsidRPr="00B30FA0" w:rsidRDefault="00670FD4" w:rsidP="001925BA">
            <w:pPr>
              <w:spacing w:after="0" w:line="240" w:lineRule="auto"/>
              <w:ind w:firstLine="42"/>
              <w:rPr>
                <w:rFonts w:eastAsia="Times New Roman" w:cs="Times New Roman"/>
                <w:color w:val="000000"/>
                <w:sz w:val="20"/>
                <w:szCs w:val="20"/>
              </w:rPr>
            </w:pPr>
          </w:p>
          <w:p w14:paraId="0B900157" w14:textId="77777777" w:rsidR="00670FD4" w:rsidRPr="00B30FA0" w:rsidRDefault="00670FD4" w:rsidP="001925BA">
            <w:pPr>
              <w:spacing w:after="0" w:line="240" w:lineRule="auto"/>
              <w:ind w:firstLine="42"/>
              <w:rPr>
                <w:rFonts w:eastAsia="Times New Roman" w:cs="Times New Roman"/>
                <w:color w:val="000000"/>
                <w:sz w:val="20"/>
                <w:szCs w:val="20"/>
              </w:rPr>
            </w:pPr>
          </w:p>
          <w:p w14:paraId="2E90143D" w14:textId="77777777" w:rsidR="00670FD4" w:rsidRPr="00B30FA0" w:rsidRDefault="00670FD4" w:rsidP="001925BA">
            <w:pPr>
              <w:spacing w:after="0" w:line="240" w:lineRule="auto"/>
              <w:ind w:firstLine="42"/>
              <w:rPr>
                <w:rFonts w:eastAsia="Times New Roman" w:cs="Times New Roman"/>
                <w:color w:val="000000"/>
                <w:sz w:val="20"/>
                <w:szCs w:val="20"/>
              </w:rPr>
            </w:pPr>
          </w:p>
          <w:p w14:paraId="68653363" w14:textId="77777777" w:rsidR="00670FD4" w:rsidRPr="00B30FA0" w:rsidRDefault="00670FD4" w:rsidP="001925BA">
            <w:pPr>
              <w:spacing w:after="0" w:line="240" w:lineRule="auto"/>
              <w:ind w:firstLine="42"/>
              <w:rPr>
                <w:rFonts w:eastAsia="Times New Roman" w:cs="Times New Roman"/>
                <w:color w:val="000000"/>
                <w:sz w:val="20"/>
                <w:szCs w:val="20"/>
              </w:rPr>
            </w:pPr>
          </w:p>
          <w:p w14:paraId="0D7144E5" w14:textId="77777777" w:rsidR="00670FD4" w:rsidRPr="00B30FA0" w:rsidRDefault="00670FD4" w:rsidP="001925BA">
            <w:pPr>
              <w:spacing w:after="0" w:line="240" w:lineRule="auto"/>
              <w:ind w:firstLine="42"/>
              <w:rPr>
                <w:rFonts w:eastAsia="Times New Roman" w:cs="Times New Roman"/>
                <w:color w:val="000000"/>
                <w:sz w:val="20"/>
                <w:szCs w:val="20"/>
              </w:rPr>
            </w:pPr>
          </w:p>
          <w:p w14:paraId="4D6CB632" w14:textId="77777777" w:rsidR="00670FD4" w:rsidRPr="00B30FA0" w:rsidRDefault="00670FD4" w:rsidP="001925BA">
            <w:pPr>
              <w:spacing w:after="0" w:line="240" w:lineRule="auto"/>
              <w:ind w:firstLine="42"/>
              <w:rPr>
                <w:rFonts w:eastAsia="Times New Roman" w:cs="Times New Roman"/>
                <w:color w:val="000000"/>
                <w:sz w:val="20"/>
                <w:szCs w:val="20"/>
              </w:rPr>
            </w:pPr>
          </w:p>
          <w:p w14:paraId="5E966E0F" w14:textId="77777777" w:rsidR="00670FD4" w:rsidRPr="00B30FA0" w:rsidRDefault="00670FD4" w:rsidP="001925BA">
            <w:pPr>
              <w:spacing w:after="0" w:line="240" w:lineRule="auto"/>
              <w:ind w:firstLine="42"/>
              <w:rPr>
                <w:rFonts w:eastAsia="Times New Roman" w:cs="Times New Roman"/>
                <w:color w:val="000000"/>
                <w:sz w:val="20"/>
                <w:szCs w:val="20"/>
              </w:rPr>
            </w:pPr>
          </w:p>
          <w:p w14:paraId="4C0923BE" w14:textId="77777777" w:rsidR="00670FD4" w:rsidRPr="00B30FA0" w:rsidRDefault="00670FD4" w:rsidP="001925BA">
            <w:pPr>
              <w:spacing w:after="0" w:line="240" w:lineRule="auto"/>
              <w:ind w:firstLine="42"/>
              <w:rPr>
                <w:rFonts w:eastAsia="Times New Roman" w:cs="Times New Roman"/>
                <w:color w:val="000000"/>
                <w:sz w:val="20"/>
                <w:szCs w:val="20"/>
              </w:rPr>
            </w:pPr>
          </w:p>
          <w:p w14:paraId="15AD1840"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color w:val="000000"/>
                <w:sz w:val="20"/>
                <w:szCs w:val="20"/>
              </w:rPr>
              <w:t>M1.1 Consolidarea mecanismului instituțional</w:t>
            </w: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881C2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color w:val="000000"/>
                <w:sz w:val="20"/>
                <w:szCs w:val="20"/>
                <w:highlight w:val="white"/>
              </w:rPr>
              <w:t>Revizuirea / completarea OUG 202/2002 cu privire la organizarea și componența CNZC</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ABDF6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RS /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8A63BD8"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C52CDF8"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FB490A4"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D1DAC7B"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66EE0C6"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209A3177"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8FB8DD"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B3DEA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Revizuirea actelor normative subsecvente pentru funcționarea CNZC, precum și completarea cu alte reglementări pentru aprobarea proceduri de lucru pentru grupurile de experți, cooperarea cu STA-ZC, emiterea avizelor, etc.</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71D44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RS /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1E9B4AA"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DC47D73" w14:textId="77777777" w:rsidR="00670FD4" w:rsidRPr="007F03BC" w:rsidRDefault="00670FD4" w:rsidP="001925BA">
            <w:pPr>
              <w:spacing w:after="0" w:line="240" w:lineRule="auto"/>
              <w:ind w:firstLine="0"/>
              <w:rPr>
                <w:rFonts w:eastAsia="Times New Roman" w:cs="Times New Roman"/>
                <w:sz w:val="20"/>
                <w:szCs w:val="20"/>
                <w:lang w:val="en-US"/>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60D9E9C"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38AC4EE"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DB1947B"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2BB70B64"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686298"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9B3C2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Realizarea unei liste largi cu experți în vederea selectării acestora în vederea constituirii Grupurilor de Lucru</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609E2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RS /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0A13316"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331ADCF"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3E5975F"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9ECE1B1"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F9B1665"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213E200D"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3CC7FB"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D0BB0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Elaborarea unui studiu pentru stabilirea structurii bazei de date a Observatorului zonei costiere și a soluțiilor instituționale pentru gestionare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A4DDE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RS /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7E0D9C2"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80E92DD"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224E247"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C09AE42"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A6F0C77"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2FF07B79"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605EFF"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29596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Elaborarea și aprobarea reglementărilor necesare înființării și funcționării;</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573BB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RS /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59B25B7"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C029A78"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AECE841"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D96C66D"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C472202"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187BE327" w14:textId="77777777" w:rsidTr="001925BA">
        <w:trPr>
          <w:trHeight w:val="290"/>
        </w:trPr>
        <w:tc>
          <w:tcPr>
            <w:tcW w:w="2541"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BD9525"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0F6B2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Programe de instruire a operatorilor de baze de date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8EB8A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74E66F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5D1B19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 xml:space="preserve"> 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8975BE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1AD898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981ED5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0E4F42DF"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C604E4"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B681B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Realizarea legăturilor instituționale pentru asigurarea schimbului de date și informații cu alte sisteme de date, aparținând altor instituții</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9BDA2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RS /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80C96E8"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60617A0"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2C52AB1"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103B2C5"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5EE340A"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7D13B2FC" w14:textId="77777777" w:rsidTr="001925BA">
        <w:trPr>
          <w:trHeight w:val="440"/>
        </w:trPr>
        <w:tc>
          <w:tcPr>
            <w:tcW w:w="2541" w:type="dxa"/>
            <w:vMerge w:val="restart"/>
            <w:tcBorders>
              <w:top w:val="single" w:sz="8" w:space="0" w:color="000000"/>
              <w:left w:val="single" w:sz="8" w:space="0" w:color="000000"/>
              <w:right w:val="single" w:sz="8" w:space="0" w:color="000000"/>
            </w:tcBorders>
            <w:vAlign w:val="center"/>
          </w:tcPr>
          <w:p w14:paraId="11C51352"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M1.2 Revizuirea cadrului legislativ referitor la delimitarea zonei costiere</w:t>
            </w: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82EE0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Elaborarea unui studiu centralizat pentru toată zona costieră pentru stabilirea spațiilor critice din zona costieră</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F1859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RS /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19DC00D"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BDD8B4A"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D35642E"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45131CC"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9F026F8"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21852AFB" w14:textId="77777777" w:rsidTr="001925BA">
        <w:trPr>
          <w:trHeight w:val="440"/>
        </w:trPr>
        <w:tc>
          <w:tcPr>
            <w:tcW w:w="2541" w:type="dxa"/>
            <w:vMerge/>
            <w:tcBorders>
              <w:top w:val="single" w:sz="8" w:space="0" w:color="000000"/>
              <w:left w:val="single" w:sz="8" w:space="0" w:color="000000"/>
              <w:right w:val="single" w:sz="8" w:space="0" w:color="000000"/>
            </w:tcBorders>
            <w:vAlign w:val="center"/>
          </w:tcPr>
          <w:p w14:paraId="77C664E8"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19FFC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Stabilirea criteriilor de delimitare a spațiilor sensibile / critice / vulnerabile din zona costieră;</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75897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RS/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127B230"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AEB9D00"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BF2E05D"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F96480C"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356BC5E"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14D6F1C6" w14:textId="77777777" w:rsidTr="001925BA">
        <w:trPr>
          <w:trHeight w:val="440"/>
        </w:trPr>
        <w:tc>
          <w:tcPr>
            <w:tcW w:w="2541" w:type="dxa"/>
            <w:vMerge/>
            <w:tcBorders>
              <w:top w:val="single" w:sz="8" w:space="0" w:color="000000"/>
              <w:left w:val="single" w:sz="8" w:space="0" w:color="000000"/>
              <w:right w:val="single" w:sz="8" w:space="0" w:color="000000"/>
            </w:tcBorders>
            <w:vAlign w:val="center"/>
          </w:tcPr>
          <w:p w14:paraId="0CCEA7F1"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0D8A5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Elaborarea și aprobarea proiectelor de revizuire a OUG 202/2002, precum și a actelor normative subsecvente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80F18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EBE1A8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E0DD66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3E75ABA"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D907095"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93BC3E5"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10987BF2" w14:textId="77777777" w:rsidTr="001925BA">
        <w:trPr>
          <w:trHeight w:val="440"/>
        </w:trPr>
        <w:tc>
          <w:tcPr>
            <w:tcW w:w="2541" w:type="dxa"/>
            <w:vMerge w:val="restart"/>
            <w:tcBorders>
              <w:top w:val="single" w:sz="8" w:space="0" w:color="000000"/>
              <w:left w:val="single" w:sz="8" w:space="0" w:color="000000"/>
              <w:right w:val="single" w:sz="8" w:space="0" w:color="000000"/>
            </w:tcBorders>
            <w:vAlign w:val="center"/>
          </w:tcPr>
          <w:p w14:paraId="1505FAA5"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M1.3. Consolidarea capacității umane a aparatului administrativ</w:t>
            </w: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6D4AE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Identificarea beneficiarilor instituționali potențiali și a nevoii acestora de asistență tehnică</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DE89C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RS/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C57A029"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8A7FFDE"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F9941"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1770F87"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F9BA1BB"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44245CED" w14:textId="77777777" w:rsidTr="001925BA">
        <w:trPr>
          <w:trHeight w:val="367"/>
        </w:trPr>
        <w:tc>
          <w:tcPr>
            <w:tcW w:w="2541" w:type="dxa"/>
            <w:vMerge/>
            <w:tcBorders>
              <w:top w:val="single" w:sz="8" w:space="0" w:color="000000"/>
              <w:left w:val="single" w:sz="8" w:space="0" w:color="000000"/>
              <w:right w:val="single" w:sz="8" w:space="0" w:color="000000"/>
            </w:tcBorders>
            <w:vAlign w:val="center"/>
          </w:tcPr>
          <w:p w14:paraId="44D7B3E0"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1C84B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Elaborarea planului de acțiuni de asistență tehnică</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1C79B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RS/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E76000D"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FECD0C3"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B117ABE"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89EA3D0"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8FF45C5"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6429B5BD" w14:textId="77777777" w:rsidTr="001925BA">
        <w:trPr>
          <w:trHeight w:val="277"/>
        </w:trPr>
        <w:tc>
          <w:tcPr>
            <w:tcW w:w="2541" w:type="dxa"/>
            <w:vMerge/>
            <w:tcBorders>
              <w:top w:val="single" w:sz="8" w:space="0" w:color="000000"/>
              <w:left w:val="single" w:sz="8" w:space="0" w:color="000000"/>
              <w:right w:val="single" w:sz="8" w:space="0" w:color="000000"/>
            </w:tcBorders>
            <w:vAlign w:val="center"/>
          </w:tcPr>
          <w:p w14:paraId="420DB914"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820AF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Implementarea planului de acțiuni de Asistență Tehnică</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EB38E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0F32FA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C78719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3AB5A3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FB1DE0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59EB24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75B5150E" w14:textId="77777777" w:rsidTr="001925BA">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2F2E082D" w14:textId="77777777" w:rsidR="00670FD4" w:rsidRPr="00B30FA0" w:rsidRDefault="00670FD4" w:rsidP="001925BA">
            <w:pPr>
              <w:spacing w:after="0" w:line="240" w:lineRule="auto"/>
              <w:ind w:firstLine="42"/>
              <w:rPr>
                <w:rFonts w:eastAsia="Times New Roman" w:cs="Times New Roman"/>
                <w:sz w:val="20"/>
                <w:szCs w:val="20"/>
              </w:rPr>
            </w:pPr>
          </w:p>
          <w:p w14:paraId="13FC6B23" w14:textId="77777777" w:rsidR="00670FD4" w:rsidRPr="00B30FA0" w:rsidRDefault="00670FD4" w:rsidP="001925BA">
            <w:pPr>
              <w:spacing w:after="0" w:line="240" w:lineRule="auto"/>
              <w:ind w:firstLine="42"/>
              <w:rPr>
                <w:rFonts w:eastAsia="Times New Roman" w:cs="Times New Roman"/>
                <w:sz w:val="20"/>
                <w:szCs w:val="20"/>
              </w:rPr>
            </w:pPr>
          </w:p>
          <w:p w14:paraId="55A6C773"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M1.4 Creșterea gradului de participare a tuturor factorilor implicați în gestionarea zonei costiere</w:t>
            </w:r>
          </w:p>
          <w:p w14:paraId="7A3E6748" w14:textId="77777777" w:rsidR="00670FD4" w:rsidRPr="00B30FA0" w:rsidRDefault="00670FD4" w:rsidP="001925BA">
            <w:pPr>
              <w:spacing w:after="0" w:line="240" w:lineRule="auto"/>
              <w:ind w:firstLine="42"/>
              <w:rPr>
                <w:rFonts w:eastAsia="Times New Roman" w:cs="Times New Roman"/>
                <w:sz w:val="20"/>
                <w:szCs w:val="20"/>
              </w:rPr>
            </w:pPr>
          </w:p>
          <w:p w14:paraId="470D338F" w14:textId="77777777" w:rsidR="00670FD4" w:rsidRPr="00B30FA0" w:rsidRDefault="00670FD4" w:rsidP="001925BA">
            <w:pPr>
              <w:spacing w:after="0" w:line="240" w:lineRule="auto"/>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7FDF4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Elaborarea unui Plan de comunicare al Strategiei naționale pentru managementul integrat a zonei costiere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A5509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RS/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5120B6B"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04D0227"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5587CCB"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EB83D6F"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D197BF5"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650280D3"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3EF5BCFC"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5FF5F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Promovarea, prin campanii de conștientizare, a unui instrument de tip citizen-science în vederea implicării directe a cetățenilor, pe bază de voluntariat, în procesul de management integrat al zonei costiere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6C36E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283606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515845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582D77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90021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AACDF6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5792825D"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2C1510C5"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31218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Organizare de cursuri periodice de instruire a voluntarilor în aplicarea tehnicilor de monitoring</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E0B26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RS /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92807C1"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FBE731F"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853376B"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B81BE77"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B74B6B8"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567E2B39"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2AA01B9A"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4FB96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Realizarea unui mecanism care să permită accesul voluntarilor la infrastructura de monitorizare a organizațiilor specializate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88E28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RS /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A668E9C"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B79DA66"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CBC7230"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475944D"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DC700FF"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0C34A539" w14:textId="77777777" w:rsidTr="001925BA">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414D1BD3"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M1.5 Creșterea eficienței supravegherii și controlului utilizării resurselor zonei costiere</w:t>
            </w:r>
          </w:p>
          <w:p w14:paraId="463139A1" w14:textId="77777777" w:rsidR="00670FD4" w:rsidRPr="00B30FA0" w:rsidRDefault="00670FD4" w:rsidP="001925BA">
            <w:pPr>
              <w:spacing w:after="0" w:line="240" w:lineRule="auto"/>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7CB65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Dezvoltarea unor mecanisme pentru îmbunătățirea coordonării acțiunilor entităților /organizațiilor responsabile pentru supravegherea și controlul activităților de pescuit, poluării apelor subterane și de suprafață, poluării solului, construcțiilor ilegale, etc.;</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6D2F0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RS /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7B21B8D"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6D7BB5F"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D3C32D5"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976F105"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30905EA"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0BBD9FFC" w14:textId="77777777" w:rsidTr="001925BA">
        <w:trPr>
          <w:trHeight w:val="298"/>
        </w:trPr>
        <w:tc>
          <w:tcPr>
            <w:tcW w:w="2541" w:type="dxa"/>
            <w:vMerge/>
            <w:tcBorders>
              <w:top w:val="single" w:sz="8" w:space="0" w:color="000000"/>
              <w:left w:val="single" w:sz="8" w:space="0" w:color="000000"/>
              <w:bottom w:val="single" w:sz="8" w:space="0" w:color="000000"/>
              <w:right w:val="single" w:sz="8" w:space="0" w:color="000000"/>
            </w:tcBorders>
            <w:vAlign w:val="center"/>
          </w:tcPr>
          <w:p w14:paraId="5AB32C90"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C16B4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Realizarea periodică de programe de instruire a personalului de control;</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3CEDE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D7F03A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CBC87A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7AD8F2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859917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F2DD12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5ADD8AD5" w14:textId="77777777" w:rsidTr="001925BA">
        <w:trPr>
          <w:trHeight w:val="351"/>
        </w:trPr>
        <w:tc>
          <w:tcPr>
            <w:tcW w:w="2541" w:type="dxa"/>
            <w:vMerge/>
            <w:tcBorders>
              <w:top w:val="single" w:sz="8" w:space="0" w:color="000000"/>
              <w:left w:val="single" w:sz="8" w:space="0" w:color="000000"/>
              <w:bottom w:val="single" w:sz="8" w:space="0" w:color="000000"/>
              <w:right w:val="single" w:sz="8" w:space="0" w:color="000000"/>
            </w:tcBorders>
            <w:vAlign w:val="center"/>
          </w:tcPr>
          <w:p w14:paraId="04AF3FB9"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2C400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 xml:space="preserve">Realizarea de programe de consolidare a capacităților tehnice </w:t>
            </w:r>
          </w:p>
        </w:tc>
        <w:tc>
          <w:tcPr>
            <w:tcW w:w="992"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06A0F94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6887DD2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3F3B07A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56A0F17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775B9E9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10DF200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0E72B518" w14:textId="77777777" w:rsidTr="001925BA">
        <w:trPr>
          <w:trHeight w:val="351"/>
        </w:trPr>
        <w:tc>
          <w:tcPr>
            <w:tcW w:w="2541" w:type="dxa"/>
            <w:vMerge w:val="restart"/>
            <w:tcBorders>
              <w:top w:val="single" w:sz="8" w:space="0" w:color="000000"/>
              <w:left w:val="single" w:sz="8" w:space="0" w:color="000000"/>
              <w:right w:val="single" w:sz="8" w:space="0" w:color="000000"/>
            </w:tcBorders>
            <w:vAlign w:val="center"/>
          </w:tcPr>
          <w:p w14:paraId="0023EDBE"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M2.1 Creșterea eficienței protecției, conservării și restaurării patrimoniului cultural existent de interes național (monumente istorice, situri, imobile sau amenajări cu valoare arhitectural urbanistică, precum și peisajele din zona costieră)</w:t>
            </w: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6435C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Inițierea și implementarea de programe de promovare a identității și a patrimoniului cultural local și regional, material și imaterial, precum și de punere în valoare a clădirilor cu valoare arhitecturală şi culturală pentru comunitate</w:t>
            </w:r>
          </w:p>
        </w:tc>
        <w:tc>
          <w:tcPr>
            <w:tcW w:w="992"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086F6C5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359BCFB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357CB3B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0C064BB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6893911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0031B82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289EC377" w14:textId="77777777" w:rsidTr="001925BA">
        <w:trPr>
          <w:trHeight w:val="351"/>
        </w:trPr>
        <w:tc>
          <w:tcPr>
            <w:tcW w:w="2541" w:type="dxa"/>
            <w:vMerge/>
            <w:tcBorders>
              <w:top w:val="single" w:sz="8" w:space="0" w:color="000000"/>
              <w:left w:val="single" w:sz="8" w:space="0" w:color="000000"/>
              <w:right w:val="single" w:sz="8" w:space="0" w:color="000000"/>
            </w:tcBorders>
            <w:vAlign w:val="center"/>
          </w:tcPr>
          <w:p w14:paraId="619A1609"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4C47F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 xml:space="preserve">Implementarea de proiecte pilot de reabilitare a patrimoniului cultural local și regional, material și </w:t>
            </w:r>
            <w:r>
              <w:rPr>
                <w:rFonts w:eastAsia="Times New Roman" w:cs="Times New Roman"/>
                <w:sz w:val="20"/>
                <w:szCs w:val="20"/>
              </w:rPr>
              <w:t>immaterial</w:t>
            </w:r>
          </w:p>
        </w:tc>
        <w:tc>
          <w:tcPr>
            <w:tcW w:w="992"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5C70D17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6F200E0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3BC6256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3B96207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0968174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7950B78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705D11E5" w14:textId="77777777" w:rsidTr="001925BA">
        <w:trPr>
          <w:trHeight w:val="351"/>
        </w:trPr>
        <w:tc>
          <w:tcPr>
            <w:tcW w:w="2541" w:type="dxa"/>
            <w:vMerge/>
            <w:tcBorders>
              <w:top w:val="single" w:sz="8" w:space="0" w:color="000000"/>
              <w:left w:val="single" w:sz="8" w:space="0" w:color="000000"/>
              <w:right w:val="single" w:sz="8" w:space="0" w:color="000000"/>
            </w:tcBorders>
            <w:vAlign w:val="center"/>
          </w:tcPr>
          <w:p w14:paraId="6DBD6FE3"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7A587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Inițierea și implementarea de programe-cadru de dezvoltare locală care să aibă în vedere regenerarea urbană și reabilitarea centrelor urbane cu valoare istorică</w:t>
            </w:r>
          </w:p>
        </w:tc>
        <w:tc>
          <w:tcPr>
            <w:tcW w:w="992"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4BA1AB8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143DEDA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26D3CFF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26DD8FC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1CE1410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08884F7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638742C6" w14:textId="77777777" w:rsidTr="001925BA">
        <w:trPr>
          <w:trHeight w:val="351"/>
        </w:trPr>
        <w:tc>
          <w:tcPr>
            <w:tcW w:w="2541" w:type="dxa"/>
            <w:vMerge/>
            <w:tcBorders>
              <w:top w:val="single" w:sz="8" w:space="0" w:color="000000"/>
              <w:left w:val="single" w:sz="8" w:space="0" w:color="000000"/>
              <w:right w:val="single" w:sz="8" w:space="0" w:color="000000"/>
            </w:tcBorders>
            <w:vAlign w:val="center"/>
          </w:tcPr>
          <w:p w14:paraId="3D846897"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AD400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Implementarea de proiecte de evaluare și prevenire a riscurilor pentru protejarea patrimoniului cultural de efectele dezastrelor naturale și de amenințările determinate de acțiunea uman</w:t>
            </w:r>
          </w:p>
        </w:tc>
        <w:tc>
          <w:tcPr>
            <w:tcW w:w="992"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607CFCF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3602709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16A551C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5F3F16B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1258032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557E261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41F1634F" w14:textId="77777777" w:rsidTr="001925BA">
        <w:trPr>
          <w:trHeight w:val="676"/>
        </w:trPr>
        <w:tc>
          <w:tcPr>
            <w:tcW w:w="2541" w:type="dxa"/>
            <w:vMerge w:val="restart"/>
            <w:tcBorders>
              <w:top w:val="single" w:sz="8" w:space="0" w:color="000000"/>
              <w:left w:val="single" w:sz="8" w:space="0" w:color="000000"/>
              <w:right w:val="single" w:sz="8" w:space="0" w:color="000000"/>
            </w:tcBorders>
            <w:vAlign w:val="center"/>
          </w:tcPr>
          <w:p w14:paraId="571995A6"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M.2.2. Alcătuirea cadastrului monumentelor și siturilor arheologice</w:t>
            </w:r>
          </w:p>
        </w:tc>
        <w:tc>
          <w:tcPr>
            <w:tcW w:w="6095"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0B8ED47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 xml:space="preserve">Crearea unei baze de date geospațiale a monumentelor și siturilor arheologice din Lista Monumentelor Istorice pentru zona costieră;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17A17A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3E91DA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123894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B56468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7DC8BC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2EBFA6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586B33AD" w14:textId="77777777" w:rsidTr="001925BA">
        <w:trPr>
          <w:trHeight w:val="676"/>
        </w:trPr>
        <w:tc>
          <w:tcPr>
            <w:tcW w:w="2541" w:type="dxa"/>
            <w:vMerge/>
            <w:tcBorders>
              <w:top w:val="single" w:sz="8" w:space="0" w:color="000000"/>
              <w:left w:val="single" w:sz="8" w:space="0" w:color="000000"/>
              <w:right w:val="single" w:sz="8" w:space="0" w:color="000000"/>
            </w:tcBorders>
            <w:vAlign w:val="center"/>
          </w:tcPr>
          <w:p w14:paraId="647BA224"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7608341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Realizarea unui atlas al elementelor de patrimoniu construit din LMI din zona costieră;</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3C4321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8C2C2C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2B6E9A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E2F006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C2EC9C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A00B6A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016C5950" w14:textId="77777777" w:rsidTr="001925BA">
        <w:trPr>
          <w:trHeight w:val="676"/>
        </w:trPr>
        <w:tc>
          <w:tcPr>
            <w:tcW w:w="2541" w:type="dxa"/>
            <w:vMerge/>
            <w:tcBorders>
              <w:top w:val="single" w:sz="8" w:space="0" w:color="000000"/>
              <w:left w:val="single" w:sz="8" w:space="0" w:color="000000"/>
              <w:right w:val="single" w:sz="8" w:space="0" w:color="000000"/>
            </w:tcBorders>
            <w:vAlign w:val="center"/>
          </w:tcPr>
          <w:p w14:paraId="23AA50FC"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57F1A4E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Identificarea regimului de proprietate pentru monumentele și siturile din LMI de grupă valorică A (de importanță națională și internațională) din zona costieră.</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C50AF4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E6008F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5448F9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246A0E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A97852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1DCDF3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73B55150" w14:textId="77777777" w:rsidTr="001925BA">
        <w:trPr>
          <w:trHeight w:val="513"/>
        </w:trPr>
        <w:tc>
          <w:tcPr>
            <w:tcW w:w="2541" w:type="dxa"/>
            <w:vMerge w:val="restart"/>
            <w:tcBorders>
              <w:left w:val="single" w:sz="8" w:space="0" w:color="000000"/>
              <w:right w:val="single" w:sz="8" w:space="0" w:color="000000"/>
            </w:tcBorders>
            <w:vAlign w:val="center"/>
          </w:tcPr>
          <w:p w14:paraId="34AB101B"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 xml:space="preserve">M2.3 Inventarierea, cercetarea și punerea în </w:t>
            </w:r>
            <w:r w:rsidRPr="00B30FA0">
              <w:rPr>
                <w:rFonts w:eastAsia="Times New Roman" w:cs="Times New Roman"/>
                <w:sz w:val="20"/>
                <w:szCs w:val="20"/>
              </w:rPr>
              <w:lastRenderedPageBreak/>
              <w:t>valoare a patrimoniului cultural subacvatic</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1959E9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lastRenderedPageBreak/>
              <w:t>A 2.3.1 Modificarea cadrului legislativ privitor la cercetarea arheologică a mediului subacvatic</w:t>
            </w:r>
          </w:p>
        </w:tc>
        <w:tc>
          <w:tcPr>
            <w:tcW w:w="99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3F1265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RS / RF</w:t>
            </w:r>
          </w:p>
        </w:tc>
        <w:tc>
          <w:tcPr>
            <w:tcW w:w="851"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55579008"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1B3D779C"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20225EA9"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61963BB4"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5B7D5F13"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41882C22" w14:textId="77777777" w:rsidTr="001925BA">
        <w:trPr>
          <w:trHeight w:val="676"/>
        </w:trPr>
        <w:tc>
          <w:tcPr>
            <w:tcW w:w="2541" w:type="dxa"/>
            <w:vMerge/>
            <w:tcBorders>
              <w:left w:val="single" w:sz="8" w:space="0" w:color="000000"/>
              <w:right w:val="single" w:sz="8" w:space="0" w:color="000000"/>
            </w:tcBorders>
            <w:vAlign w:val="center"/>
          </w:tcPr>
          <w:p w14:paraId="0DFD5C1B"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BC33CF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A 2.3.2 Inițierea și implementarea unui program național de pregătire și formare profesională a arheologilor, în scopul constituirii unui corp profesional dedicat domeniului care să asigure standarde de calitate ale intervenţiilor de cercetare și conservare a patrimoniului cultural subacvatic</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C06C2A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A670C6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E530BE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2FB8F6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7B8519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51E96B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7713576B" w14:textId="77777777" w:rsidTr="001925BA">
        <w:trPr>
          <w:trHeight w:val="415"/>
        </w:trPr>
        <w:tc>
          <w:tcPr>
            <w:tcW w:w="2541" w:type="dxa"/>
            <w:vMerge/>
            <w:tcBorders>
              <w:left w:val="single" w:sz="8" w:space="0" w:color="000000"/>
              <w:right w:val="single" w:sz="8" w:space="0" w:color="000000"/>
            </w:tcBorders>
            <w:vAlign w:val="center"/>
          </w:tcPr>
          <w:p w14:paraId="2011DA1D"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7E9422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A 2.3.3. Înființarea unui centru de cercetări arheologice subacvatice, dotat cu aparatura și tehnica necesare derulării acestui tip de investigații</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A9AE3A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31C343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C0C04D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421697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0D6F1A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100CF0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2C558CB8" w14:textId="77777777" w:rsidTr="001925BA">
        <w:trPr>
          <w:trHeight w:val="676"/>
        </w:trPr>
        <w:tc>
          <w:tcPr>
            <w:tcW w:w="2541" w:type="dxa"/>
            <w:vMerge/>
            <w:tcBorders>
              <w:left w:val="single" w:sz="8" w:space="0" w:color="000000"/>
              <w:right w:val="single" w:sz="8" w:space="0" w:color="000000"/>
            </w:tcBorders>
            <w:vAlign w:val="center"/>
          </w:tcPr>
          <w:p w14:paraId="3C0DAB31"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36D526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A 2.3.4 Realizarea unei baze de date care va cuprinde informații istorice, descriptive și spațiale privitoare la patrimoniul cultural și peisajul istoric subacvatic</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400722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027DF2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4A9336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A26253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46EF31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F6FBA9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78B9C141" w14:textId="77777777" w:rsidTr="001925BA">
        <w:trPr>
          <w:trHeight w:val="676"/>
        </w:trPr>
        <w:tc>
          <w:tcPr>
            <w:tcW w:w="2541" w:type="dxa"/>
            <w:vMerge/>
            <w:tcBorders>
              <w:left w:val="single" w:sz="8" w:space="0" w:color="000000"/>
              <w:right w:val="single" w:sz="8" w:space="0" w:color="000000"/>
            </w:tcBorders>
            <w:vAlign w:val="center"/>
          </w:tcPr>
          <w:p w14:paraId="6904374C"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1CA513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A 2.3.5 Crearea în cadrul muzeelor de istorie și arheologie de infrastructuri pentru analiza, conservarea și restaurarea patrimoniului cultural subacvatic, asigurându-se astfel păstrarea în condiții optime, punerea în valoare și accesibilitatea atât pentru specialiști, cât și publicul larg</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99BDAA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B1FAFF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9AEE0F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4F920B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4692D8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2036EA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0ED76801" w14:textId="77777777" w:rsidTr="001925BA">
        <w:trPr>
          <w:trHeight w:val="148"/>
        </w:trPr>
        <w:tc>
          <w:tcPr>
            <w:tcW w:w="2541" w:type="dxa"/>
            <w:vMerge w:val="restart"/>
            <w:tcBorders>
              <w:top w:val="single" w:sz="8" w:space="0" w:color="000000"/>
              <w:left w:val="single" w:sz="8" w:space="0" w:color="000000"/>
              <w:right w:val="single" w:sz="8" w:space="0" w:color="000000"/>
            </w:tcBorders>
            <w:vAlign w:val="center"/>
          </w:tcPr>
          <w:p w14:paraId="0937D5B9"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M2.4</w:t>
            </w:r>
            <w:r w:rsidRPr="00B30FA0">
              <w:rPr>
                <w:sz w:val="20"/>
                <w:szCs w:val="20"/>
              </w:rPr>
              <w:t xml:space="preserve"> </w:t>
            </w:r>
            <w:r w:rsidRPr="00B30FA0">
              <w:rPr>
                <w:rFonts w:eastAsia="Times New Roman" w:cs="Times New Roman"/>
                <w:sz w:val="20"/>
                <w:szCs w:val="20"/>
              </w:rPr>
              <w:t>Inventarierea și refacerea peisajului costier</w:t>
            </w:r>
          </w:p>
        </w:tc>
        <w:tc>
          <w:tcPr>
            <w:tcW w:w="6095"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3E0EDE7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Elaborarea unei metodologii pentru inventarierea și evaluarea peisajului costier</w:t>
            </w:r>
          </w:p>
        </w:tc>
        <w:tc>
          <w:tcPr>
            <w:tcW w:w="99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B79674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B7BE5C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B2B257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0148163A"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45896F0F"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447670EF"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73D17675" w14:textId="77777777" w:rsidTr="001925BA">
        <w:trPr>
          <w:trHeight w:val="148"/>
        </w:trPr>
        <w:tc>
          <w:tcPr>
            <w:tcW w:w="2541" w:type="dxa"/>
            <w:vMerge/>
            <w:tcBorders>
              <w:top w:val="single" w:sz="8" w:space="0" w:color="000000"/>
              <w:left w:val="single" w:sz="8" w:space="0" w:color="000000"/>
              <w:right w:val="single" w:sz="8" w:space="0" w:color="000000"/>
            </w:tcBorders>
            <w:vAlign w:val="center"/>
          </w:tcPr>
          <w:p w14:paraId="78BDA668"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1EA5DEE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Realizarea atlasului peisajului costier</w:t>
            </w:r>
          </w:p>
        </w:tc>
        <w:tc>
          <w:tcPr>
            <w:tcW w:w="99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C64951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9B8590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03CABA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4290EE8B"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4D1C2708"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4C124442"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0FED8535" w14:textId="77777777" w:rsidTr="001925BA">
        <w:trPr>
          <w:trHeight w:val="148"/>
        </w:trPr>
        <w:tc>
          <w:tcPr>
            <w:tcW w:w="2541" w:type="dxa"/>
            <w:vMerge/>
            <w:tcBorders>
              <w:top w:val="single" w:sz="8" w:space="0" w:color="000000"/>
              <w:left w:val="single" w:sz="8" w:space="0" w:color="000000"/>
              <w:right w:val="single" w:sz="8" w:space="0" w:color="000000"/>
            </w:tcBorders>
            <w:vAlign w:val="center"/>
          </w:tcPr>
          <w:p w14:paraId="45BA6894"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1B4ADC3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Elaborarea unei metodologii / ghid pentru programele de conservare /reabilitare / valorificare a peisajului costier</w:t>
            </w:r>
          </w:p>
        </w:tc>
        <w:tc>
          <w:tcPr>
            <w:tcW w:w="99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1EE294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8B17A3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BAA03B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245C7F3C"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0B89E3C9"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43F45855"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5BBAB403" w14:textId="77777777" w:rsidTr="001925BA">
        <w:trPr>
          <w:trHeight w:val="440"/>
        </w:trPr>
        <w:tc>
          <w:tcPr>
            <w:tcW w:w="2541" w:type="dxa"/>
            <w:vMerge w:val="restart"/>
            <w:tcBorders>
              <w:top w:val="single" w:sz="8" w:space="0" w:color="000000"/>
              <w:left w:val="single" w:sz="8" w:space="0" w:color="000000"/>
              <w:right w:val="single" w:sz="8" w:space="0" w:color="000000"/>
            </w:tcBorders>
            <w:vAlign w:val="center"/>
          </w:tcPr>
          <w:p w14:paraId="261BEAF1"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M3.1 Creșterea gradului de protecție și conservare a habitatelor zonei costiere</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810EB3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Stabilirea unui cadru de guvernanță consolidat pentru a remedia disparitățile existente, pentru a asigura punerea în aplicare deplină a legislației UE și care sa reunească toate eforturile existente.</w:t>
            </w:r>
          </w:p>
        </w:tc>
        <w:tc>
          <w:tcPr>
            <w:tcW w:w="992" w:type="dxa"/>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1CFB7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EE7030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F6D043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4"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4482498"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4"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EB0E145"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4"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2BEC5E5"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19FA2171" w14:textId="77777777" w:rsidTr="001925BA">
        <w:trPr>
          <w:trHeight w:val="440"/>
        </w:trPr>
        <w:tc>
          <w:tcPr>
            <w:tcW w:w="2541" w:type="dxa"/>
            <w:vMerge/>
            <w:tcBorders>
              <w:top w:val="single" w:sz="8" w:space="0" w:color="000000"/>
              <w:left w:val="single" w:sz="8" w:space="0" w:color="000000"/>
              <w:right w:val="single" w:sz="8" w:space="0" w:color="000000"/>
            </w:tcBorders>
            <w:vAlign w:val="center"/>
          </w:tcPr>
          <w:p w14:paraId="2498BE6B"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2CDD4D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Monitorizarea și cartarea ecosistemelor costiere, în scopul de a spori capacitatea acestora de a oferi beneficii esențiale pentru dezvoltare sustenabilă.</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6BA20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53504C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E03F16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851947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CBACB7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51B78E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1609B69A" w14:textId="77777777" w:rsidTr="001925BA">
        <w:trPr>
          <w:trHeight w:val="440"/>
        </w:trPr>
        <w:tc>
          <w:tcPr>
            <w:tcW w:w="2541" w:type="dxa"/>
            <w:vMerge/>
            <w:tcBorders>
              <w:top w:val="single" w:sz="8" w:space="0" w:color="000000"/>
              <w:left w:val="single" w:sz="8" w:space="0" w:color="000000"/>
              <w:right w:val="single" w:sz="8" w:space="0" w:color="000000"/>
            </w:tcBorders>
            <w:vAlign w:val="center"/>
          </w:tcPr>
          <w:p w14:paraId="2BE1B8A1"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D74C46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Dezvoltarea și implementarea de proiecte pilot pentru conservarea unor specii sau a unor habitate periclitate pe plan național și/sau European.</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9F0A3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758C52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390B18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0F756A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BC3C02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FB035B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0BE917B4" w14:textId="77777777" w:rsidTr="001925BA">
        <w:trPr>
          <w:trHeight w:val="440"/>
        </w:trPr>
        <w:tc>
          <w:tcPr>
            <w:tcW w:w="2541" w:type="dxa"/>
            <w:vMerge w:val="restart"/>
            <w:tcBorders>
              <w:top w:val="single" w:sz="8" w:space="0" w:color="000000"/>
              <w:left w:val="single" w:sz="8" w:space="0" w:color="000000"/>
              <w:right w:val="single" w:sz="8" w:space="0" w:color="000000"/>
            </w:tcBorders>
            <w:vAlign w:val="center"/>
          </w:tcPr>
          <w:p w14:paraId="0DAEF4DC"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M3.2 Elaborarea sau actualizarea, după caz, a Planurilor de Management pentru ariile naturale protejate din zona costieră</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BF4574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Elaborarea/Actualizarea și implementarea Planurilor de management, strategiilor şi a măsurilor de management a ariilor naturale protejate, precum şi altor activităţi conexe (activităţi preliminare măsurilor concrete de investiţii sau conservare).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C4A02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D40A07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3595DE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67380B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81DCF9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AB2796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023E5C5C" w14:textId="77777777" w:rsidTr="001925BA">
        <w:trPr>
          <w:trHeight w:val="440"/>
        </w:trPr>
        <w:tc>
          <w:tcPr>
            <w:tcW w:w="2541" w:type="dxa"/>
            <w:vMerge/>
            <w:tcBorders>
              <w:top w:val="single" w:sz="8" w:space="0" w:color="000000"/>
              <w:left w:val="single" w:sz="8" w:space="0" w:color="000000"/>
              <w:right w:val="single" w:sz="8" w:space="0" w:color="000000"/>
            </w:tcBorders>
            <w:vAlign w:val="center"/>
          </w:tcPr>
          <w:p w14:paraId="083F0459"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496876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Inițierea și implementarea de programe de cercetare pentru protecția și conservarea ariilor protejate și a resurselor acvatice vii.</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D52F5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685198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B32425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227D0B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C7E861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CEA43F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68E71758" w14:textId="77777777" w:rsidTr="001925BA">
        <w:trPr>
          <w:trHeight w:val="440"/>
        </w:trPr>
        <w:tc>
          <w:tcPr>
            <w:tcW w:w="2541" w:type="dxa"/>
            <w:vMerge w:val="restart"/>
            <w:tcBorders>
              <w:top w:val="single" w:sz="8" w:space="0" w:color="000000"/>
              <w:left w:val="single" w:sz="8" w:space="0" w:color="000000"/>
              <w:right w:val="single" w:sz="8" w:space="0" w:color="000000"/>
            </w:tcBorders>
            <w:vAlign w:val="center"/>
          </w:tcPr>
          <w:p w14:paraId="2D69F20A"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M3.3 Restabilirea/refacerea și utilizarea sustenabilă a ecosistemelor costiere utilizând soluțiile bazate pe natură</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477417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Elaborarea unui plan de refacere a habitatelor, în special a celor cu rol major în combaterea efectelor schimbărilor climatice (zonele umede, pajiști marine, apele costiere, lagune, păduri, soluri fertile).</w:t>
            </w:r>
          </w:p>
        </w:tc>
        <w:tc>
          <w:tcPr>
            <w:tcW w:w="992" w:type="dxa"/>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16C51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A95292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579BF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4"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7086AA4"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4"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8EFE9B8"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4"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6E63760"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7D7ACECD" w14:textId="77777777" w:rsidTr="001925BA">
        <w:trPr>
          <w:trHeight w:val="440"/>
        </w:trPr>
        <w:tc>
          <w:tcPr>
            <w:tcW w:w="2541" w:type="dxa"/>
            <w:vMerge/>
            <w:tcBorders>
              <w:top w:val="single" w:sz="8" w:space="0" w:color="000000"/>
              <w:left w:val="single" w:sz="8" w:space="0" w:color="000000"/>
              <w:right w:val="single" w:sz="8" w:space="0" w:color="000000"/>
            </w:tcBorders>
            <w:vAlign w:val="center"/>
          </w:tcPr>
          <w:p w14:paraId="04777106"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537B5C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Identificarea și diminuarea factorilor care conduc la pierderea şi degradarea habitatelor din zona costieră și refacerea acestora utilizând soluțiile bazate pe natură.</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45F29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777FCB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12605E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ABDC64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D6BD3A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CA47DC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17E03F01" w14:textId="77777777" w:rsidTr="001925BA">
        <w:trPr>
          <w:trHeight w:val="440"/>
        </w:trPr>
        <w:tc>
          <w:tcPr>
            <w:tcW w:w="2541" w:type="dxa"/>
            <w:vMerge/>
            <w:tcBorders>
              <w:top w:val="single" w:sz="8" w:space="0" w:color="000000"/>
              <w:left w:val="single" w:sz="8" w:space="0" w:color="000000"/>
              <w:right w:val="single" w:sz="8" w:space="0" w:color="000000"/>
            </w:tcBorders>
            <w:vAlign w:val="center"/>
          </w:tcPr>
          <w:p w14:paraId="6B5C8AA0"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83F1B9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Dezvoltarea și implementarea unor proiecte pilot naționale și transfrontaliere dedicate restabilirii/refacerii ecosistemelor costiere utilizând soluțiile bazate pe natură.</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11D58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F3A8BC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411B11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5C421C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051193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2418D8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32F129F8" w14:textId="77777777" w:rsidTr="001925BA">
        <w:trPr>
          <w:trHeight w:val="440"/>
        </w:trPr>
        <w:tc>
          <w:tcPr>
            <w:tcW w:w="2541" w:type="dxa"/>
            <w:vMerge/>
            <w:tcBorders>
              <w:top w:val="single" w:sz="8" w:space="0" w:color="000000"/>
              <w:left w:val="single" w:sz="8" w:space="0" w:color="000000"/>
              <w:right w:val="single" w:sz="8" w:space="0" w:color="000000"/>
            </w:tcBorders>
            <w:vAlign w:val="center"/>
          </w:tcPr>
          <w:p w14:paraId="10DDC89B"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765A17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Organizarea de campanii de conștientizare privind restabilirea/refacerea ecosistemelor costiere utilizând soluțiile bazate pe natură.</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F07D8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50C13A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B5A102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92ABFD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80F3DA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BBDFF2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43E3293C" w14:textId="77777777" w:rsidTr="001925BA">
        <w:trPr>
          <w:trHeight w:val="473"/>
        </w:trPr>
        <w:tc>
          <w:tcPr>
            <w:tcW w:w="2541" w:type="dxa"/>
            <w:vMerge w:val="restart"/>
            <w:tcBorders>
              <w:top w:val="single" w:sz="4" w:space="0" w:color="000000"/>
              <w:left w:val="single" w:sz="4" w:space="0" w:color="000000"/>
              <w:bottom w:val="single" w:sz="4" w:space="0" w:color="000000"/>
              <w:right w:val="single" w:sz="4" w:space="0" w:color="000000"/>
            </w:tcBorders>
            <w:vAlign w:val="center"/>
          </w:tcPr>
          <w:p w14:paraId="68E3E389"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M3.4 Evaluarea funcțiilor și serviciilor ecosistemice prin instrumente monetare și non-monetare</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99CF3D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Identificarea, catalogarea și monitorizarea serviciilor ecosistemice.</w:t>
            </w:r>
          </w:p>
        </w:tc>
        <w:tc>
          <w:tcPr>
            <w:tcW w:w="992" w:type="dxa"/>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421B6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Rs / RF</w:t>
            </w:r>
          </w:p>
        </w:tc>
        <w:tc>
          <w:tcPr>
            <w:tcW w:w="851" w:type="dxa"/>
            <w:tcBorders>
              <w:top w:val="single" w:sz="4"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421F1AC"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4"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5411041"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4"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C194D00"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4"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1ABEC76"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4"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B9B679F"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2AFF4F6A" w14:textId="77777777" w:rsidTr="001925BA">
        <w:trPr>
          <w:trHeight w:val="440"/>
        </w:trPr>
        <w:tc>
          <w:tcPr>
            <w:tcW w:w="2541" w:type="dxa"/>
            <w:vMerge/>
            <w:tcBorders>
              <w:top w:val="single" w:sz="4" w:space="0" w:color="000000"/>
              <w:left w:val="single" w:sz="4" w:space="0" w:color="000000"/>
              <w:bottom w:val="single" w:sz="4" w:space="0" w:color="000000"/>
              <w:right w:val="single" w:sz="4" w:space="0" w:color="000000"/>
            </w:tcBorders>
            <w:vAlign w:val="center"/>
          </w:tcPr>
          <w:p w14:paraId="7CB1C0FA"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A45436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Stabilirea instrumentelor pentru valorizarea monetară și non-monetară a serviciilor ecosistemice în concordanță cu obiectivele de protecție și conservare a speciilor și habitatelor.</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36FD8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EA86E8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EA5B02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564748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9D84CF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A0E8B3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4BC17826" w14:textId="77777777" w:rsidTr="001925BA">
        <w:trPr>
          <w:trHeight w:val="440"/>
        </w:trPr>
        <w:tc>
          <w:tcPr>
            <w:tcW w:w="2541" w:type="dxa"/>
            <w:vMerge/>
            <w:tcBorders>
              <w:top w:val="single" w:sz="4" w:space="0" w:color="000000"/>
              <w:left w:val="single" w:sz="4" w:space="0" w:color="000000"/>
              <w:bottom w:val="single" w:sz="4" w:space="0" w:color="000000"/>
              <w:right w:val="single" w:sz="4" w:space="0" w:color="000000"/>
            </w:tcBorders>
            <w:vAlign w:val="center"/>
          </w:tcPr>
          <w:p w14:paraId="1F966336"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768CFF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Elaborarea instrumentelor de reglementare pentru direcționarea investițiilor către fondul destinat proiectelor de reconstrucție ecologică și renaturare.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FEAC7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2B2F7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EC9BB9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C2E0F8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E179EE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B38592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5136DDE4" w14:textId="77777777" w:rsidTr="001925BA">
        <w:trPr>
          <w:trHeight w:val="440"/>
        </w:trPr>
        <w:tc>
          <w:tcPr>
            <w:tcW w:w="2541" w:type="dxa"/>
            <w:vMerge w:val="restart"/>
            <w:tcBorders>
              <w:top w:val="single" w:sz="4" w:space="0" w:color="000000"/>
              <w:left w:val="single" w:sz="4" w:space="0" w:color="000000"/>
              <w:bottom w:val="single" w:sz="4" w:space="0" w:color="000000"/>
              <w:right w:val="single" w:sz="4" w:space="0" w:color="000000"/>
            </w:tcBorders>
            <w:vAlign w:val="center"/>
          </w:tcPr>
          <w:p w14:paraId="582B261D"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M3.5 Consolidarea / Întărirea managementului speciilor invazive</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A621E5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 xml:space="preserve">Elaborarea și implementarea unui </w:t>
            </w:r>
            <w:r w:rsidRPr="00B30FA0">
              <w:rPr>
                <w:rFonts w:eastAsia="Times New Roman" w:cs="Times New Roman"/>
                <w:sz w:val="20"/>
                <w:szCs w:val="20"/>
              </w:rPr>
              <w:t>plan</w:t>
            </w:r>
            <w:r w:rsidRPr="00B30FA0">
              <w:rPr>
                <w:rFonts w:eastAsia="Times New Roman" w:cs="Times New Roman"/>
                <w:color w:val="000000"/>
                <w:sz w:val="20"/>
                <w:szCs w:val="20"/>
              </w:rPr>
              <w:t xml:space="preserve"> de controlul al vectorilor de introducere a speciilor alohtone şi monitorizarea posibilelor căi de pătrundere.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3300D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CB32C8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0BF8EA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FD0A08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1ABC25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54B9F9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121194D6" w14:textId="77777777" w:rsidTr="001925BA">
        <w:trPr>
          <w:trHeight w:val="440"/>
        </w:trPr>
        <w:tc>
          <w:tcPr>
            <w:tcW w:w="2541" w:type="dxa"/>
            <w:vMerge/>
            <w:tcBorders>
              <w:top w:val="single" w:sz="4" w:space="0" w:color="000000"/>
              <w:left w:val="single" w:sz="4" w:space="0" w:color="000000"/>
              <w:bottom w:val="single" w:sz="4" w:space="0" w:color="000000"/>
              <w:right w:val="single" w:sz="4" w:space="0" w:color="000000"/>
            </w:tcBorders>
            <w:vAlign w:val="center"/>
          </w:tcPr>
          <w:p w14:paraId="40EB52D6"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ED5C1D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Dezvoltarea metodelor moderne (mADN) pentru detectarea rapidă a speciilor alohtone şi identificarea căilor de acces, înainte de extinderea lor în zona costieră.</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7B519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AF5F5E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8E890C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D0678D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C57589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DEEED4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19FFE672" w14:textId="77777777" w:rsidTr="001925BA">
        <w:trPr>
          <w:trHeight w:val="440"/>
        </w:trPr>
        <w:tc>
          <w:tcPr>
            <w:tcW w:w="2541" w:type="dxa"/>
            <w:vMerge/>
            <w:tcBorders>
              <w:top w:val="single" w:sz="4" w:space="0" w:color="000000"/>
              <w:left w:val="single" w:sz="4" w:space="0" w:color="000000"/>
              <w:bottom w:val="single" w:sz="4" w:space="0" w:color="000000"/>
              <w:right w:val="single" w:sz="4" w:space="0" w:color="000000"/>
            </w:tcBorders>
            <w:vAlign w:val="center"/>
          </w:tcPr>
          <w:p w14:paraId="478799A1"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81D7EB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 xml:space="preserve"> Introducerea sistemelor de avertizare timpurie şi management al riscului în cazul pătrunderii de patogeni şi a planurilor de contingenţă pentru reducerea impactului acestora.</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9237E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77461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CC91B3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A265A5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C65508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5CFA52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5C516269" w14:textId="77777777" w:rsidTr="001925BA">
        <w:trPr>
          <w:trHeight w:val="440"/>
        </w:trPr>
        <w:tc>
          <w:tcPr>
            <w:tcW w:w="2541" w:type="dxa"/>
            <w:vMerge w:val="restart"/>
            <w:tcBorders>
              <w:top w:val="single" w:sz="4" w:space="0" w:color="000000"/>
              <w:left w:val="single" w:sz="8" w:space="0" w:color="000000"/>
              <w:bottom w:val="single" w:sz="8" w:space="0" w:color="000000"/>
              <w:right w:val="single" w:sz="8" w:space="0" w:color="000000"/>
            </w:tcBorders>
            <w:vAlign w:val="center"/>
          </w:tcPr>
          <w:p w14:paraId="09386102"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 xml:space="preserve">M4.1 Creșterea capacității de monitorizare a </w:t>
            </w:r>
            <w:r>
              <w:rPr>
                <w:rFonts w:eastAsia="Times New Roman" w:cs="Times New Roman"/>
                <w:sz w:val="20"/>
                <w:szCs w:val="20"/>
              </w:rPr>
              <w:t>calității</w:t>
            </w:r>
            <w:r w:rsidRPr="00B30FA0">
              <w:rPr>
                <w:rFonts w:eastAsia="Times New Roman" w:cs="Times New Roman"/>
                <w:sz w:val="20"/>
                <w:szCs w:val="20"/>
              </w:rPr>
              <w:t xml:space="preserve"> a</w:t>
            </w:r>
            <w:r>
              <w:rPr>
                <w:rFonts w:eastAsia="Times New Roman" w:cs="Times New Roman"/>
                <w:sz w:val="20"/>
                <w:szCs w:val="20"/>
              </w:rPr>
              <w:t>erului</w:t>
            </w:r>
            <w:r w:rsidRPr="00B30FA0">
              <w:rPr>
                <w:rFonts w:eastAsia="Times New Roman" w:cs="Times New Roman"/>
                <w:sz w:val="20"/>
                <w:szCs w:val="20"/>
              </w:rPr>
              <w:t>, precum și a depunerilor atmosferice</w:t>
            </w: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EE490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Realizare de studii pentru identificarea noilor locații de monitorizare a calității aerului</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74F12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RS /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353596E"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F9A8DA6"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7391E73"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5521971"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9A6BA9A"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4B39C65A" w14:textId="77777777" w:rsidTr="001925BA">
        <w:trPr>
          <w:trHeight w:val="329"/>
        </w:trPr>
        <w:tc>
          <w:tcPr>
            <w:tcW w:w="2541" w:type="dxa"/>
            <w:vMerge/>
            <w:tcBorders>
              <w:top w:val="single" w:sz="4" w:space="0" w:color="000000"/>
              <w:left w:val="single" w:sz="8" w:space="0" w:color="000000"/>
              <w:bottom w:val="single" w:sz="8" w:space="0" w:color="000000"/>
              <w:right w:val="single" w:sz="8" w:space="0" w:color="000000"/>
            </w:tcBorders>
            <w:vAlign w:val="center"/>
          </w:tcPr>
          <w:p w14:paraId="39394663"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4E218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Realizarea de proiecte pilot pentru monitorizarea depunerilor atmosferice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69F30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89DB82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5AE6AC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F42A1C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A45B24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ED4226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324B8B27" w14:textId="77777777" w:rsidTr="001925BA">
        <w:trPr>
          <w:trHeight w:val="346"/>
        </w:trPr>
        <w:tc>
          <w:tcPr>
            <w:tcW w:w="2541" w:type="dxa"/>
            <w:vMerge/>
            <w:tcBorders>
              <w:top w:val="single" w:sz="4" w:space="0" w:color="000000"/>
              <w:left w:val="single" w:sz="8" w:space="0" w:color="000000"/>
              <w:bottom w:val="single" w:sz="8" w:space="0" w:color="000000"/>
              <w:right w:val="single" w:sz="8" w:space="0" w:color="000000"/>
            </w:tcBorders>
            <w:vAlign w:val="center"/>
          </w:tcPr>
          <w:p w14:paraId="027B5639"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A76EE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Crearea unei rețele de monitorizare a depunerilor atmosferice în zona costieră</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571FA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365A12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CE364E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AA3AE3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45E5C5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308C3C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7B1F3510" w14:textId="77777777" w:rsidTr="001925BA">
        <w:trPr>
          <w:trHeight w:val="78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17261357"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M4.2 Extinderea și modernizarea infrastructurii de canalizare și epurare în partea nordică a zonei costiere, aferentă Deltei Dunării</w:t>
            </w: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C09E9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Extinderea și modernizarea infrastructurii de canalizare în partea nordică a zonei costiere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91B4B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2CFB05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4ACF93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E14CE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0504B5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367AB3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27FA82B6" w14:textId="77777777" w:rsidTr="001925BA">
        <w:trPr>
          <w:trHeight w:val="654"/>
        </w:trPr>
        <w:tc>
          <w:tcPr>
            <w:tcW w:w="2541" w:type="dxa"/>
            <w:vMerge/>
            <w:tcBorders>
              <w:top w:val="single" w:sz="8" w:space="0" w:color="000000"/>
              <w:left w:val="single" w:sz="8" w:space="0" w:color="000000"/>
              <w:bottom w:val="single" w:sz="8" w:space="0" w:color="000000"/>
              <w:right w:val="single" w:sz="8" w:space="0" w:color="000000"/>
            </w:tcBorders>
            <w:vAlign w:val="center"/>
          </w:tcPr>
          <w:p w14:paraId="7743A4D7"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17BA0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Modernizarea infrastructurii de epurare în partea nordică a zonei costiere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48640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A313C8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DEBC96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99B584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795808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D71208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335F38E0" w14:textId="77777777" w:rsidTr="001925BA">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507550AA"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lastRenderedPageBreak/>
              <w:t>M4.3 Dezvoltarea unui program pentru studierea principalelor surse, căi de transport și impactului contaminanților emergenți asupra faunei și omului, precum și dezvoltarea unui program de monitorizare a acestora</w:t>
            </w: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A46DB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Realizarea de studii privind bioacumularea, biomagnificarea și evaluarea riscului prezenței contaminanților emergenți în ecosistemele marine și dulcicole asupra faunei și sănătății omului</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11C4C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EB78C3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28C00F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00DC06C"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A9BCE06"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63B7E0C"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20435013" w14:textId="77777777" w:rsidTr="001925BA">
        <w:trPr>
          <w:trHeight w:val="286"/>
        </w:trPr>
        <w:tc>
          <w:tcPr>
            <w:tcW w:w="2541" w:type="dxa"/>
            <w:vMerge/>
            <w:tcBorders>
              <w:top w:val="single" w:sz="8" w:space="0" w:color="000000"/>
              <w:left w:val="single" w:sz="8" w:space="0" w:color="000000"/>
              <w:bottom w:val="single" w:sz="8" w:space="0" w:color="000000"/>
              <w:right w:val="single" w:sz="8" w:space="0" w:color="000000"/>
            </w:tcBorders>
            <w:vAlign w:val="center"/>
          </w:tcPr>
          <w:p w14:paraId="6715AAC9"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45D0D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 xml:space="preserve">Realizarea unui Registru al </w:t>
            </w:r>
            <w:r w:rsidRPr="000B5A70">
              <w:rPr>
                <w:rFonts w:eastAsia="Times New Roman" w:cs="Times New Roman"/>
                <w:sz w:val="20"/>
                <w:szCs w:val="20"/>
              </w:rPr>
              <w:t>contaminanților</w:t>
            </w:r>
            <w:r w:rsidRPr="00B30FA0">
              <w:rPr>
                <w:rFonts w:eastAsia="Times New Roman" w:cs="Times New Roman"/>
                <w:sz w:val="20"/>
                <w:szCs w:val="20"/>
              </w:rPr>
              <w:t xml:space="preserve"> emergenți;</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6895B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143E19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4318D4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C06DF6C"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EB61643"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A80F4FC"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36919732"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5163AB4A"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AF0D2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 xml:space="preserve">Dezvoltarea și testarea infrastructurii de monitorizare a </w:t>
            </w:r>
            <w:r w:rsidRPr="000B5A70">
              <w:rPr>
                <w:rFonts w:eastAsia="Times New Roman" w:cs="Times New Roman"/>
                <w:sz w:val="20"/>
                <w:szCs w:val="20"/>
              </w:rPr>
              <w:t>contaminanților</w:t>
            </w:r>
            <w:r w:rsidRPr="00B30FA0">
              <w:rPr>
                <w:rFonts w:eastAsia="Times New Roman" w:cs="Times New Roman"/>
                <w:sz w:val="20"/>
                <w:szCs w:val="20"/>
              </w:rPr>
              <w:t xml:space="preserve"> emergenți în mediul acvatic</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99424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F9069D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2396B5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FD6F93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5227C7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0D5C0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2F3959B5"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0A623AA6"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70B1D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Dezvoltarea programelor de monitorizare a contaminanților emergenți în mediul acvatic</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63868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82BF76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9BE091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A6FDB2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0371D3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D67B93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7A232BCE" w14:textId="77777777" w:rsidTr="001925BA">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46334FB8" w14:textId="77777777" w:rsidR="00670FD4" w:rsidRPr="00B30FA0" w:rsidRDefault="00670FD4" w:rsidP="001925BA">
            <w:pPr>
              <w:spacing w:after="0" w:line="240" w:lineRule="auto"/>
              <w:ind w:firstLine="42"/>
              <w:rPr>
                <w:rFonts w:eastAsia="Times New Roman" w:cs="Times New Roman"/>
                <w:sz w:val="20"/>
                <w:szCs w:val="20"/>
              </w:rPr>
            </w:pPr>
          </w:p>
          <w:p w14:paraId="39860CF4" w14:textId="77777777" w:rsidR="00670FD4" w:rsidRPr="00B30FA0" w:rsidRDefault="00670FD4" w:rsidP="001925BA">
            <w:pPr>
              <w:spacing w:after="0" w:line="240" w:lineRule="auto"/>
              <w:ind w:firstLine="42"/>
              <w:rPr>
                <w:rFonts w:eastAsia="Times New Roman" w:cs="Times New Roman"/>
                <w:sz w:val="20"/>
                <w:szCs w:val="20"/>
              </w:rPr>
            </w:pPr>
          </w:p>
          <w:p w14:paraId="66ABAE93" w14:textId="77777777" w:rsidR="00670FD4" w:rsidRPr="00B30FA0" w:rsidRDefault="00670FD4" w:rsidP="001925BA">
            <w:pPr>
              <w:spacing w:after="0" w:line="240" w:lineRule="auto"/>
              <w:ind w:firstLine="42"/>
              <w:rPr>
                <w:rFonts w:eastAsia="Times New Roman" w:cs="Times New Roman"/>
                <w:sz w:val="20"/>
                <w:szCs w:val="20"/>
              </w:rPr>
            </w:pPr>
          </w:p>
          <w:p w14:paraId="6355379C" w14:textId="77777777" w:rsidR="00670FD4" w:rsidRPr="00B30FA0" w:rsidRDefault="00670FD4" w:rsidP="001925BA">
            <w:pPr>
              <w:spacing w:after="0" w:line="240" w:lineRule="auto"/>
              <w:ind w:firstLine="42"/>
              <w:rPr>
                <w:rFonts w:eastAsia="Times New Roman" w:cs="Times New Roman"/>
                <w:sz w:val="20"/>
                <w:szCs w:val="20"/>
              </w:rPr>
            </w:pPr>
          </w:p>
          <w:p w14:paraId="57433F53"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M4.</w:t>
            </w:r>
            <w:r>
              <w:rPr>
                <w:rFonts w:eastAsia="Times New Roman" w:cs="Times New Roman"/>
                <w:sz w:val="20"/>
                <w:szCs w:val="20"/>
              </w:rPr>
              <w:t>4</w:t>
            </w:r>
            <w:r w:rsidRPr="00B30FA0">
              <w:rPr>
                <w:rFonts w:eastAsia="Times New Roman" w:cs="Times New Roman"/>
                <w:sz w:val="20"/>
                <w:szCs w:val="20"/>
              </w:rPr>
              <w:t xml:space="preserve"> Inițierea și implementarea de programe pentru îmbunătățirea infrastructurii de gestionare a deșeurilor</w:t>
            </w: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E1435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Realizarea programelor pentru creștere a gradului de colectare a deșeurilor în partea nordică a zonei costiere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E0776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B51A9B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6E8E8F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03EF02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990C60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2094ED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44AF2E60"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32546E87"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21121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Identificarea și aplicarea de soluții ecologice pentru reducerea cantității de deșeuri biodegradabile rezultate în mediul rural sau în zonele de case din mediul urban</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BF455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3D4A7F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03CD53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8CCB66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07EB7A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85875E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5EC94A0E"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0F92F976"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78DC8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Realizarea unor programe pentru extinderea infrastructurii de tratare a deșeurilor folosind soluții ecologice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B073B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B54236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5DFCE7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60051B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54CCDC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E7FFAE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338C7A76"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6B2AE8A1"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2B57C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Programe pentru dezvoltarea infrastructurii de tratare a deșeurilor provenite din construcții, care să asigure reutilizarea și reciclarea prin transformarea acestora în materiale sau materii secundare gata de utilizare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D27D4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31CD16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39B2B1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2D22D0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415A36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D29B18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159C4BF7" w14:textId="77777777" w:rsidTr="001925BA">
        <w:trPr>
          <w:trHeight w:val="440"/>
        </w:trPr>
        <w:tc>
          <w:tcPr>
            <w:tcW w:w="2541" w:type="dxa"/>
            <w:vMerge w:val="restart"/>
            <w:tcBorders>
              <w:top w:val="single" w:sz="8" w:space="0" w:color="000000"/>
              <w:left w:val="single" w:sz="8" w:space="0" w:color="000000"/>
              <w:right w:val="single" w:sz="8" w:space="0" w:color="000000"/>
            </w:tcBorders>
            <w:vAlign w:val="center"/>
          </w:tcPr>
          <w:p w14:paraId="2F42C25B"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M4.</w:t>
            </w:r>
            <w:r>
              <w:rPr>
                <w:rFonts w:eastAsia="Times New Roman" w:cs="Times New Roman"/>
                <w:sz w:val="20"/>
                <w:szCs w:val="20"/>
              </w:rPr>
              <w:t>5</w:t>
            </w:r>
            <w:r w:rsidRPr="00B30FA0">
              <w:rPr>
                <w:rFonts w:eastAsia="Times New Roman" w:cs="Times New Roman"/>
                <w:sz w:val="20"/>
                <w:szCs w:val="20"/>
              </w:rPr>
              <w:t xml:space="preserve"> Dezvoltarea infrastructurii verzi în zona carierelor active de calcare și șisturi verzi (zona Tașaul-Luminița)</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F26ED7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Realizarea de campanii de conștientizare a impactului negativ al activității de exploatare a calcarelor și șisturilor verzi în rândul operatorilor economici, administrației publice și altor factori interesați locali</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70778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CA6173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AD6448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91069F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5BE81B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883713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0C3D3403" w14:textId="77777777" w:rsidTr="001925BA">
        <w:trPr>
          <w:trHeight w:val="440"/>
        </w:trPr>
        <w:tc>
          <w:tcPr>
            <w:tcW w:w="2541" w:type="dxa"/>
            <w:vMerge/>
            <w:tcBorders>
              <w:top w:val="single" w:sz="8" w:space="0" w:color="000000"/>
              <w:left w:val="single" w:sz="8" w:space="0" w:color="000000"/>
              <w:right w:val="single" w:sz="8" w:space="0" w:color="000000"/>
            </w:tcBorders>
            <w:vAlign w:val="center"/>
          </w:tcPr>
          <w:p w14:paraId="281B008C"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EF0CF1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Realizarea de campanii de conștientizare și atragerea a publicului în acțiuni de monitorizare a sitului;</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45126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FDFAE9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33ABBE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F46E12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D38B8B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413F22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585DC3BE" w14:textId="77777777" w:rsidTr="001925BA">
        <w:trPr>
          <w:trHeight w:val="440"/>
        </w:trPr>
        <w:tc>
          <w:tcPr>
            <w:tcW w:w="2541" w:type="dxa"/>
            <w:vMerge/>
            <w:tcBorders>
              <w:top w:val="single" w:sz="8" w:space="0" w:color="000000"/>
              <w:left w:val="single" w:sz="8" w:space="0" w:color="000000"/>
              <w:right w:val="single" w:sz="8" w:space="0" w:color="000000"/>
            </w:tcBorders>
            <w:vAlign w:val="center"/>
          </w:tcPr>
          <w:p w14:paraId="2300FDE8"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819643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Inițierea și implementarea de proiecte de dezvoltare a infrastructurii verzi (perdele forestiere, ecrane de protecție împotriva zgomotului, reciclarea materialelor reziduale - resturi de piatră, etc.) pentru reducerea poluării generate de activitatea de minerit și activitățile conexe (transport)</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25FE3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995C62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1E018B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D21198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9DE429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EAC705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013BED95" w14:textId="77777777" w:rsidTr="001925BA">
        <w:trPr>
          <w:trHeight w:val="440"/>
        </w:trPr>
        <w:tc>
          <w:tcPr>
            <w:tcW w:w="2541" w:type="dxa"/>
            <w:vMerge/>
            <w:tcBorders>
              <w:top w:val="single" w:sz="8" w:space="0" w:color="000000"/>
              <w:left w:val="single" w:sz="8" w:space="0" w:color="000000"/>
              <w:right w:val="single" w:sz="8" w:space="0" w:color="000000"/>
            </w:tcBorders>
            <w:vAlign w:val="center"/>
          </w:tcPr>
          <w:p w14:paraId="202B3494"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48CE27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 xml:space="preserve">Testarea și definirea metodelor de pregătire a infrastructurii fizice a carierei în timpul proceselor de exploatare, pentru a facilita stabilirea planurilor de refacere care să crească serviciile ecosistemice și biodiversitatea în perioada </w:t>
            </w:r>
            <w:sdt>
              <w:sdtPr>
                <w:rPr>
                  <w:sz w:val="20"/>
                  <w:szCs w:val="20"/>
                </w:rPr>
                <w:tag w:val="goog_rdk_62"/>
                <w:id w:val="-1527713993"/>
              </w:sdtPr>
              <w:sdtContent>
                <w:r w:rsidRPr="00B30FA0">
                  <w:rPr>
                    <w:rFonts w:eastAsia="Times New Roman" w:cs="Times New Roman"/>
                    <w:color w:val="000000"/>
                    <w:sz w:val="20"/>
                    <w:szCs w:val="20"/>
                  </w:rPr>
                  <w:t>post-exploatare</w:t>
                </w:r>
              </w:sdtContent>
            </w:sdt>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D8BAC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48181E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61B4E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A65623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E7604E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0A7678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6CD9A5F7" w14:textId="77777777" w:rsidTr="001925BA">
        <w:trPr>
          <w:trHeight w:val="275"/>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73161570"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 xml:space="preserve">M5.1 </w:t>
            </w:r>
            <w:r>
              <w:rPr>
                <w:rFonts w:eastAsia="Times New Roman" w:cs="Times New Roman"/>
                <w:sz w:val="20"/>
                <w:szCs w:val="20"/>
              </w:rPr>
              <w:t>Gestionarea</w:t>
            </w:r>
            <w:r w:rsidRPr="00B30FA0">
              <w:rPr>
                <w:rFonts w:eastAsia="Times New Roman" w:cs="Times New Roman"/>
                <w:sz w:val="20"/>
                <w:szCs w:val="20"/>
              </w:rPr>
              <w:t xml:space="preserve"> siturilor contaminate și potențial contaminate din zona costieră</w:t>
            </w: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415F4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Actualizarea inventarului siturilor contaminate și potențial contaminate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EFFF7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928D45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680D5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8D396E0"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84FB690"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51B8C13"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7443E1B7"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74C0F89A"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0E202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 xml:space="preserve">Identificarea și aplicarea de noi soluții ecologice, inovative, pentru remedierea siturilor </w:t>
            </w:r>
            <w:r>
              <w:rPr>
                <w:rFonts w:eastAsia="Times New Roman" w:cs="Times New Roman"/>
                <w:sz w:val="20"/>
                <w:szCs w:val="20"/>
              </w:rPr>
              <w:t>contaminate</w:t>
            </w:r>
            <w:r w:rsidRPr="00B30FA0">
              <w:rPr>
                <w:rFonts w:eastAsia="Times New Roman" w:cs="Times New Roman"/>
                <w:sz w:val="20"/>
                <w:szCs w:val="20"/>
              </w:rPr>
              <w:t>, cât și a celor din proximitatea acestora</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F4943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3E7F61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4D811F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03518A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FFE964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4D9028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574E42B4"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6B372B67"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890D6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Creșterea capacității de monitorizare post remediere prin sisteme inteligente de supraveghere,control și investigare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D4BD9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E79AC5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CD5235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7BA11C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849EB1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6CBE64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2E0E871D" w14:textId="77777777" w:rsidTr="001925BA">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7061D877"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M5.2 Restaurarea ecologică a lacurilor urbane în scopul valorificării potențialului lor natural și turistic (lacurile Tăbăcărie, Costinești, Belona, Neptun, etc.)</w:t>
            </w: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BA4EB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Derularea de campanii de conștientizare a potențialului natural și turistic al lacurilor urbane și de atragere a societății civile în proiectele de restaurare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6A4AC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AC4543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8E0AA1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DE9E67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13BEA6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29B621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727823FE" w14:textId="77777777" w:rsidTr="001925BA">
        <w:trPr>
          <w:trHeight w:val="261"/>
        </w:trPr>
        <w:tc>
          <w:tcPr>
            <w:tcW w:w="2541" w:type="dxa"/>
            <w:vMerge/>
            <w:tcBorders>
              <w:top w:val="single" w:sz="8" w:space="0" w:color="000000"/>
              <w:left w:val="single" w:sz="8" w:space="0" w:color="000000"/>
              <w:bottom w:val="single" w:sz="8" w:space="0" w:color="000000"/>
              <w:right w:val="single" w:sz="8" w:space="0" w:color="000000"/>
            </w:tcBorders>
            <w:vAlign w:val="center"/>
          </w:tcPr>
          <w:p w14:paraId="7E6221F2"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BD4CE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Angrenarea cetățenilor în monitorizarea stării ecologice a lacurilor urbane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3B394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D10C44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746210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86D9F3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0812DF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6CD065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142F07B1"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0609CDEC"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2D99F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Identificarea și aplicarea soluțiilor bazate pe natură pentru reducerea/stoparea aportului de poluanți, materie organică și deșeuri în lacurile urbane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77B02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3ACCC5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26E93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ACE8A4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09B735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6A507F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7FF95141"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6B46C1ED"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8A9CE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Identificarea și testarea prin proiecte pilot a soluțiilor ecologice de restaurare a lacurilor urbane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B1404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EFBA3C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6C70E2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D7656C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FEC69D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BA40FA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2AC554E4" w14:textId="77777777" w:rsidTr="001925BA">
        <w:trPr>
          <w:trHeight w:val="110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1AAF37C8"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lastRenderedPageBreak/>
              <w:t>M5.3 Inițierea și implementarea programelor pentru îndepărtarea deșeurilor marine, din coloana de apă și de pe fundul mării</w:t>
            </w:r>
          </w:p>
        </w:tc>
        <w:tc>
          <w:tcPr>
            <w:tcW w:w="6095" w:type="dxa"/>
            <w:tcBorders>
              <w:top w:val="single" w:sz="4" w:space="0" w:color="000000"/>
              <w:left w:val="single" w:sz="4" w:space="0" w:color="000000"/>
              <w:right w:val="single" w:sz="4" w:space="0" w:color="000000"/>
            </w:tcBorders>
            <w:shd w:val="clear" w:color="auto" w:fill="auto"/>
            <w:tcMar>
              <w:top w:w="100" w:type="dxa"/>
              <w:left w:w="100" w:type="dxa"/>
              <w:bottom w:w="100" w:type="dxa"/>
              <w:right w:w="100" w:type="dxa"/>
            </w:tcMar>
          </w:tcPr>
          <w:p w14:paraId="4EFBAF3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Stabilirea mecanismelor de cooperare și dezvoltarea programelor de creștere a gradului de conștientizare în rândul comunităților de pescari cu privire la efectele negative ale deșeurilor marine asupra ecosistemului costier, în particular asupra resurselor vii;</w:t>
            </w:r>
          </w:p>
        </w:tc>
        <w:tc>
          <w:tcPr>
            <w:tcW w:w="992" w:type="dxa"/>
            <w:tcBorders>
              <w:top w:val="single" w:sz="8" w:space="0" w:color="000000"/>
              <w:left w:val="single" w:sz="8" w:space="0" w:color="000000"/>
              <w:right w:val="single" w:sz="8" w:space="0" w:color="000000"/>
            </w:tcBorders>
            <w:tcMar>
              <w:top w:w="100" w:type="dxa"/>
              <w:left w:w="100" w:type="dxa"/>
              <w:bottom w:w="100" w:type="dxa"/>
              <w:right w:w="100" w:type="dxa"/>
            </w:tcMar>
          </w:tcPr>
          <w:p w14:paraId="287E070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right w:val="single" w:sz="8" w:space="0" w:color="000000"/>
            </w:tcBorders>
            <w:shd w:val="clear" w:color="auto" w:fill="auto"/>
            <w:tcMar>
              <w:top w:w="100" w:type="dxa"/>
              <w:left w:w="100" w:type="dxa"/>
              <w:bottom w:w="100" w:type="dxa"/>
              <w:right w:w="100" w:type="dxa"/>
            </w:tcMar>
          </w:tcPr>
          <w:p w14:paraId="05E18CC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right w:val="single" w:sz="8" w:space="0" w:color="000000"/>
            </w:tcBorders>
            <w:shd w:val="clear" w:color="auto" w:fill="auto"/>
            <w:tcMar>
              <w:top w:w="100" w:type="dxa"/>
              <w:left w:w="100" w:type="dxa"/>
              <w:bottom w:w="100" w:type="dxa"/>
              <w:right w:w="100" w:type="dxa"/>
            </w:tcMar>
          </w:tcPr>
          <w:p w14:paraId="38E1E52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right w:val="single" w:sz="8" w:space="0" w:color="000000"/>
            </w:tcBorders>
            <w:shd w:val="clear" w:color="auto" w:fill="F2F2F2"/>
            <w:tcMar>
              <w:top w:w="100" w:type="dxa"/>
              <w:left w:w="100" w:type="dxa"/>
              <w:bottom w:w="100" w:type="dxa"/>
              <w:right w:w="100" w:type="dxa"/>
            </w:tcMar>
          </w:tcPr>
          <w:p w14:paraId="4D214B4F"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right w:val="single" w:sz="8" w:space="0" w:color="000000"/>
            </w:tcBorders>
            <w:shd w:val="clear" w:color="auto" w:fill="F2F2F2"/>
            <w:tcMar>
              <w:top w:w="100" w:type="dxa"/>
              <w:left w:w="100" w:type="dxa"/>
              <w:bottom w:w="100" w:type="dxa"/>
              <w:right w:w="100" w:type="dxa"/>
            </w:tcMar>
          </w:tcPr>
          <w:p w14:paraId="1152E161"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right w:val="single" w:sz="8" w:space="0" w:color="000000"/>
            </w:tcBorders>
            <w:shd w:val="clear" w:color="auto" w:fill="F2F2F2"/>
            <w:tcMar>
              <w:top w:w="100" w:type="dxa"/>
              <w:left w:w="100" w:type="dxa"/>
              <w:bottom w:w="100" w:type="dxa"/>
              <w:right w:w="100" w:type="dxa"/>
            </w:tcMar>
          </w:tcPr>
          <w:p w14:paraId="339D0B40"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69CF47A4"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6F5682F8"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EB639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Realizarea de proiecte / acțiuni pilot pentru îndepărtarea deșeurilor plutitoare și a celor scufundate, colectarea acestora și tratarea lor ulterioară, inclusiv reciclarea lor</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59AA9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BF26F4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EA3930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44CD2D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240F3F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0DB581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0FB1FA8A" w14:textId="77777777" w:rsidTr="001925BA">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4FFC3DE3"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M6.1 Aplicarea de soluții moderne, simple și cost-eficiente pentru monitorizarea efectelor eroziunii costiere</w:t>
            </w:r>
          </w:p>
          <w:p w14:paraId="1ADF091B" w14:textId="77777777" w:rsidR="00670FD4" w:rsidRPr="00B30FA0" w:rsidRDefault="00670FD4" w:rsidP="001925BA">
            <w:pPr>
              <w:spacing w:after="0" w:line="240" w:lineRule="auto"/>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6D09E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Dezvoltarea unui serviciu național operațional, automat și gratuit de monitorizare a liniei țărmului pe baza imaginilor satelitare cu acces liber și gratuite (precum Sentinel-2 sau Landsat 8/9)</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21CC7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6AED51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C30B81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413AFDD"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24E72C7"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695E655"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0ED466E0"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39E53854"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AED13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Implementarea sistemului național de monitorizare a liniei țărmului mării</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9C4D7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154DA6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F4C354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9A5C38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74B1C3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7861B5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553EA6B3" w14:textId="77777777" w:rsidTr="001925BA">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057B59AC"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M6.2 Îmbunătățirea managementului sedimentelor în Delta Dunării și pe țărmul românesc al Mării Negre</w:t>
            </w: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2BDB1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Dezvoltarea de instrumente moderne și cost eficiente de monitorizare a fluxului sedimentelor în interiorul Deltei Dunării, cât și pe întreg țărmul românesc al Mării Negre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81301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81EAC4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BC5375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7E8694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A1AD75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2C4716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50EC3504"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5F8E02A8"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08DAD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Crearea unor mecanisme de management al sedimentelor în Delta Dunării și pe țărmul românesc al Mării Negre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C16FC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3EB270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F44EE5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2776AC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A48F7F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C5E839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69C44363" w14:textId="77777777" w:rsidTr="001925BA">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10BAB498" w14:textId="77777777" w:rsidR="00670FD4" w:rsidRPr="00B30FA0" w:rsidRDefault="00670FD4" w:rsidP="001925BA">
            <w:pPr>
              <w:spacing w:after="0" w:line="240" w:lineRule="auto"/>
              <w:ind w:firstLine="42"/>
              <w:rPr>
                <w:rFonts w:eastAsia="Times New Roman" w:cs="Times New Roman"/>
                <w:sz w:val="20"/>
                <w:szCs w:val="20"/>
              </w:rPr>
            </w:pPr>
          </w:p>
          <w:p w14:paraId="65AEF266" w14:textId="77777777" w:rsidR="00670FD4" w:rsidRPr="00B30FA0" w:rsidRDefault="00670FD4" w:rsidP="001925BA">
            <w:pPr>
              <w:spacing w:after="0" w:line="240" w:lineRule="auto"/>
              <w:ind w:firstLine="42"/>
              <w:rPr>
                <w:rFonts w:eastAsia="Times New Roman" w:cs="Times New Roman"/>
                <w:sz w:val="20"/>
                <w:szCs w:val="20"/>
              </w:rPr>
            </w:pPr>
          </w:p>
          <w:p w14:paraId="03962254" w14:textId="77777777" w:rsidR="00670FD4" w:rsidRPr="00B30FA0" w:rsidRDefault="00670FD4" w:rsidP="001925BA">
            <w:pPr>
              <w:spacing w:after="0" w:line="240" w:lineRule="auto"/>
              <w:ind w:firstLine="42"/>
              <w:rPr>
                <w:rFonts w:eastAsia="Times New Roman" w:cs="Times New Roman"/>
                <w:sz w:val="20"/>
                <w:szCs w:val="20"/>
              </w:rPr>
            </w:pPr>
          </w:p>
          <w:p w14:paraId="31AF99E1" w14:textId="77777777" w:rsidR="00670FD4" w:rsidRPr="00B30FA0" w:rsidRDefault="00670FD4" w:rsidP="001925BA">
            <w:pPr>
              <w:spacing w:after="0" w:line="240" w:lineRule="auto"/>
              <w:ind w:firstLine="42"/>
              <w:rPr>
                <w:rFonts w:eastAsia="Times New Roman" w:cs="Times New Roman"/>
                <w:sz w:val="20"/>
                <w:szCs w:val="20"/>
              </w:rPr>
            </w:pPr>
          </w:p>
          <w:p w14:paraId="38AF0A68"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lastRenderedPageBreak/>
              <w:t>M6.3 Realizarea unei evaluări detaliate a vulnerabilității zonei de coastă la furtuni extreme, identificarea și analizarea riscurilor potențiale și stabilirea de măsuri prioritare de prevenire, atenuare, adaptare și remediere</w:t>
            </w: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2EFE1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lastRenderedPageBreak/>
              <w:t>Extinderea spațială a rețelei de maregrafe și anemografe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D5943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BA2D04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01C06C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E3D173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8AFD2A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C30088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52968113"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295A2214"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DA2F7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Dezvoltarea de sisteme inteligente de observații meteorologice, hidrologice și hidrografice locale ca suport pentru evaluarea riscurilor</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5A8AD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E8C576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903103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591241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C2306C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6C7305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4B2E5DF8"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72E29F53"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0722C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Crearea de perdele forestiere împotriva vânturilor puternice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CEB87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487644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91FCB3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3C3F6B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FDD90F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20E570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328E2923"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4CD7E18A"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14:paraId="10F43AE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Consolidarea infrastructurii existente pentru a suporta impactul furtunilor severe pe baza celor mai recente date privind fenomenele extreme și valurile de furtună</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85A77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6761C0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C1E214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AF0118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6DDA61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0387FD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118AF035"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12CCF41E"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nil"/>
              <w:left w:val="nil"/>
              <w:bottom w:val="single" w:sz="8" w:space="0" w:color="000000"/>
              <w:right w:val="single" w:sz="5" w:space="0" w:color="000000"/>
            </w:tcBorders>
            <w:shd w:val="clear" w:color="auto" w:fill="auto"/>
            <w:tcMar>
              <w:top w:w="100" w:type="dxa"/>
              <w:left w:w="100" w:type="dxa"/>
              <w:bottom w:w="100" w:type="dxa"/>
              <w:right w:w="100" w:type="dxa"/>
            </w:tcMar>
          </w:tcPr>
          <w:p w14:paraId="5BBDD28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Protejarea surselor de apă împotriva intruziunii apei sărate (unde este cazul - localități din Delta Dunării)</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43592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EBFA5D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949712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1860B4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E6A97A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A48AFB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756D6D3B" w14:textId="77777777" w:rsidTr="001925BA">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1A2DCF1D"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M6.4 Realizarea unei evaluări detaliate a vulnerabilității zonei de coastă la secetă, identificarea și analizarea riscurilor potențiale și stabilirea de măsuri prioritare de prevenire, atenuare, adaptare și remediere</w:t>
            </w:r>
          </w:p>
        </w:tc>
        <w:tc>
          <w:tcPr>
            <w:tcW w:w="6095" w:type="dxa"/>
            <w:tcBorders>
              <w:top w:val="single" w:sz="8" w:space="0" w:color="000000"/>
              <w:left w:val="nil"/>
              <w:bottom w:val="single" w:sz="8" w:space="0" w:color="000000"/>
              <w:right w:val="single" w:sz="5" w:space="0" w:color="000000"/>
            </w:tcBorders>
            <w:shd w:val="clear" w:color="auto" w:fill="auto"/>
            <w:tcMar>
              <w:top w:w="100" w:type="dxa"/>
              <w:left w:w="100" w:type="dxa"/>
              <w:bottom w:w="100" w:type="dxa"/>
              <w:right w:w="100" w:type="dxa"/>
            </w:tcMar>
          </w:tcPr>
          <w:p w14:paraId="6A6F454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Îmbunătățirea sistemului de avertizare timpurie și notificare pentru secetă</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C29CE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A09FC0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C171FB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E27A025"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13772FF"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7438C61"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221F1833"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0204645A"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nil"/>
              <w:bottom w:val="single" w:sz="8" w:space="0" w:color="000000"/>
              <w:right w:val="single" w:sz="5" w:space="0" w:color="000000"/>
            </w:tcBorders>
            <w:shd w:val="clear" w:color="auto" w:fill="auto"/>
            <w:tcMar>
              <w:top w:w="100" w:type="dxa"/>
              <w:left w:w="100" w:type="dxa"/>
              <w:bottom w:w="100" w:type="dxa"/>
              <w:right w:w="100" w:type="dxa"/>
            </w:tcMar>
          </w:tcPr>
          <w:p w14:paraId="7D8A842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Îmbunătățirea și eficientizarea sistemului de alimentare cu apă, incluzand aici realizarea/refacerea infrastructurii privind asigurarea apei pentru irigații;</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FD5DA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3FEE68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4DD88A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1CF50F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961203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E1CCE3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4B99F4D2"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1DF033AC"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nil"/>
              <w:bottom w:val="single" w:sz="8" w:space="0" w:color="000000"/>
              <w:right w:val="single" w:sz="5" w:space="0" w:color="000000"/>
            </w:tcBorders>
            <w:shd w:val="clear" w:color="auto" w:fill="auto"/>
            <w:tcMar>
              <w:top w:w="100" w:type="dxa"/>
              <w:left w:w="100" w:type="dxa"/>
              <w:bottom w:w="100" w:type="dxa"/>
              <w:right w:w="100" w:type="dxa"/>
            </w:tcMar>
          </w:tcPr>
          <w:p w14:paraId="22FB0A7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 xml:space="preserve">Utilizarea soiurilor de culturi </w:t>
            </w:r>
            <w:sdt>
              <w:sdtPr>
                <w:rPr>
                  <w:sz w:val="20"/>
                  <w:szCs w:val="20"/>
                </w:rPr>
                <w:tag w:val="goog_rdk_63"/>
                <w:id w:val="837583097"/>
              </w:sdtPr>
              <w:sdtContent>
                <w:r w:rsidRPr="00B30FA0">
                  <w:rPr>
                    <w:rFonts w:eastAsia="Times New Roman" w:cs="Times New Roman"/>
                    <w:sz w:val="20"/>
                    <w:szCs w:val="20"/>
                  </w:rPr>
                  <w:t>rezistente</w:t>
                </w:r>
              </w:sdtContent>
            </w:sdt>
            <w:r w:rsidRPr="00B30FA0">
              <w:rPr>
                <w:rFonts w:eastAsia="Times New Roman" w:cs="Times New Roman"/>
                <w:sz w:val="20"/>
                <w:szCs w:val="20"/>
              </w:rPr>
              <w:t xml:space="preserve"> la secetă și temperaturi ridicate;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CDBE9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16742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3723A2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02DE96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C5FB1D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E3753E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48844353"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6C51EF75"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nil"/>
              <w:bottom w:val="single" w:sz="8" w:space="0" w:color="000000"/>
              <w:right w:val="single" w:sz="5" w:space="0" w:color="000000"/>
            </w:tcBorders>
            <w:shd w:val="clear" w:color="auto" w:fill="auto"/>
            <w:tcMar>
              <w:top w:w="100" w:type="dxa"/>
              <w:left w:w="100" w:type="dxa"/>
              <w:bottom w:w="100" w:type="dxa"/>
              <w:right w:w="100" w:type="dxa"/>
            </w:tcMar>
          </w:tcPr>
          <w:p w14:paraId="1E5C4D2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Înființarea de perdele forestiere pentru obținerea unor condiții de microclimat favorabil culturilor agricole și pentru protecția calității solurilor de pe terenurile agricole;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09599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FBED01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64110B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92A1B1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F5DEB1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110B1D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298368BB" w14:textId="77777777" w:rsidTr="001925BA">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1517B167" w14:textId="77777777" w:rsidR="00670FD4" w:rsidRPr="00B30FA0" w:rsidRDefault="00670FD4" w:rsidP="001925BA">
            <w:pPr>
              <w:spacing w:after="0" w:line="240" w:lineRule="auto"/>
              <w:ind w:firstLine="42"/>
              <w:rPr>
                <w:rFonts w:eastAsia="Times New Roman" w:cs="Times New Roman"/>
                <w:sz w:val="20"/>
                <w:szCs w:val="20"/>
              </w:rPr>
            </w:pPr>
          </w:p>
          <w:p w14:paraId="48FD859F" w14:textId="77777777" w:rsidR="00670FD4" w:rsidRPr="00B30FA0" w:rsidRDefault="00670FD4" w:rsidP="001925BA">
            <w:pPr>
              <w:spacing w:after="0" w:line="240" w:lineRule="auto"/>
              <w:ind w:firstLine="42"/>
              <w:rPr>
                <w:rFonts w:eastAsia="Times New Roman" w:cs="Times New Roman"/>
                <w:sz w:val="20"/>
                <w:szCs w:val="20"/>
              </w:rPr>
            </w:pPr>
          </w:p>
          <w:p w14:paraId="40FC105C"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 xml:space="preserve">M6.5 Realizarea unei evaluări detaliate a vulnerabilității zonei de coastă la inundații, identificarea și analizarea riscurilor potențiale și stabilirea de măsuri prioritare </w:t>
            </w:r>
            <w:r w:rsidRPr="00B30FA0">
              <w:rPr>
                <w:rFonts w:eastAsia="Times New Roman" w:cs="Times New Roman"/>
                <w:sz w:val="20"/>
                <w:szCs w:val="20"/>
              </w:rPr>
              <w:lastRenderedPageBreak/>
              <w:t>de prevenire, atenuare, adaptare și remediere</w:t>
            </w:r>
          </w:p>
        </w:tc>
        <w:tc>
          <w:tcPr>
            <w:tcW w:w="6095" w:type="dxa"/>
            <w:tcBorders>
              <w:top w:val="single" w:sz="8" w:space="0" w:color="000000"/>
              <w:left w:val="nil"/>
              <w:bottom w:val="single" w:sz="8" w:space="0" w:color="000000"/>
              <w:right w:val="single" w:sz="5" w:space="0" w:color="000000"/>
            </w:tcBorders>
            <w:shd w:val="clear" w:color="auto" w:fill="auto"/>
            <w:tcMar>
              <w:top w:w="100" w:type="dxa"/>
              <w:left w:w="100" w:type="dxa"/>
              <w:bottom w:w="100" w:type="dxa"/>
              <w:right w:w="100" w:type="dxa"/>
            </w:tcMar>
          </w:tcPr>
          <w:p w14:paraId="210C6CF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lastRenderedPageBreak/>
              <w:t>Îmbunătățirea sistemului de avertizare timpurie și notificare pentru inundații</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BD2DD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895C4A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4A682F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2FA9246"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1CA53C9"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9FCFD04"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1BB23B75"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3155A573"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nil"/>
              <w:bottom w:val="single" w:sz="8" w:space="0" w:color="000000"/>
              <w:right w:val="single" w:sz="5" w:space="0" w:color="000000"/>
            </w:tcBorders>
            <w:shd w:val="clear" w:color="auto" w:fill="auto"/>
            <w:tcMar>
              <w:top w:w="100" w:type="dxa"/>
              <w:left w:w="100" w:type="dxa"/>
              <w:bottom w:w="100" w:type="dxa"/>
              <w:right w:w="100" w:type="dxa"/>
            </w:tcMar>
          </w:tcPr>
          <w:p w14:paraId="3DB90C9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Îmbunătățirea sistemelor de drenaj (în localități, infrastructură rutieră, feroviară, etc.)</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25A2B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1E07C2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C08DCF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B12751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E226FB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A236A4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7ABCFEA1"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1F9FBA6B"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nil"/>
              <w:bottom w:val="single" w:sz="8" w:space="0" w:color="000000"/>
              <w:right w:val="single" w:sz="5" w:space="0" w:color="000000"/>
            </w:tcBorders>
            <w:shd w:val="clear" w:color="auto" w:fill="auto"/>
            <w:tcMar>
              <w:top w:w="100" w:type="dxa"/>
              <w:left w:w="100" w:type="dxa"/>
              <w:bottom w:w="100" w:type="dxa"/>
              <w:right w:w="100" w:type="dxa"/>
            </w:tcMar>
          </w:tcPr>
          <w:p w14:paraId="4DBF563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Împădurirea zonelor degradate cu productivitate scăzută, precum și ameliorarea suprafețelor forestiere degradate în vederea producerii efectelor antieroziune (combinarea măsurilor și lucrărilor biologice, biotehnice și tehnice)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5B506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A29344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9C730A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9A16A1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0704A9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E9CF2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55C4FF7F"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3F81632B"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nil"/>
              <w:bottom w:val="single" w:sz="8" w:space="0" w:color="000000"/>
              <w:right w:val="single" w:sz="5" w:space="0" w:color="000000"/>
            </w:tcBorders>
            <w:shd w:val="clear" w:color="auto" w:fill="auto"/>
            <w:tcMar>
              <w:top w:w="100" w:type="dxa"/>
              <w:left w:w="100" w:type="dxa"/>
              <w:bottom w:w="100" w:type="dxa"/>
              <w:right w:w="100" w:type="dxa"/>
            </w:tcMar>
          </w:tcPr>
          <w:p w14:paraId="61C64C0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Lucrări și măsuri care vizează protecția împotriva inundațiilor, protecția împotriva eroziunii cauzate de apă, vânt și torenți, drenarea și eliminarea consecințelor unor astfel de impacturi ale inundațiilor (împăduriri, plantare de iarbă, stuf, terasare, curățarea albiei etc.)</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6069F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CECB8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862D1D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219BA4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00BA3C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996B5B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23F30926"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018A8DD2"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nil"/>
              <w:bottom w:val="single" w:sz="8" w:space="0" w:color="000000"/>
              <w:right w:val="single" w:sz="5" w:space="0" w:color="000000"/>
            </w:tcBorders>
            <w:shd w:val="clear" w:color="auto" w:fill="auto"/>
            <w:tcMar>
              <w:top w:w="100" w:type="dxa"/>
              <w:left w:w="100" w:type="dxa"/>
              <w:bottom w:w="100" w:type="dxa"/>
              <w:right w:w="100" w:type="dxa"/>
            </w:tcMar>
          </w:tcPr>
          <w:p w14:paraId="3B6F6D3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Impunerea de interdicții de: defrișarea și tăierea pădurilor în zonele erodate; denudarea zonelor; nivelarea necontrolată a terenurilor necultivate; umplerea izvoarelor; construirea de structuri care ar putea pune în pericol stabilitatea terenului și întreprinderea altor acțiuni care duc la eroziune și apariția torenților</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CBE564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RS / RF</w:t>
            </w:r>
          </w:p>
          <w:p w14:paraId="6D0027DF" w14:textId="77777777" w:rsidR="00670FD4" w:rsidRPr="00B30FA0" w:rsidRDefault="00670FD4" w:rsidP="001925BA">
            <w:pPr>
              <w:ind w:firstLine="0"/>
              <w:rPr>
                <w:rFonts w:eastAsia="Times New Roman" w:cs="Times New Roman"/>
                <w:sz w:val="20"/>
                <w:szCs w:val="20"/>
              </w:rPr>
            </w:pPr>
          </w:p>
          <w:p w14:paraId="3A06868E" w14:textId="77777777" w:rsidR="00670FD4" w:rsidRPr="00B30FA0" w:rsidRDefault="00670FD4" w:rsidP="001925BA">
            <w:pPr>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764C8D5"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07965A6"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C3D7C14"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DCDDEE3"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DEC7936"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4B95EF84" w14:textId="77777777" w:rsidTr="001925BA">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3DB2CC73"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M7.1 Stimularea întreprinderilor care obțin eticheta ecologică pentru activitatea de cazare turistică</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F5A22D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Realizarea de campanii de promovare și informare a deținătorilor și managerilor structurilor de primire turistică asupra criteriilor pentru încadrarea în program și ale avantajelor obținerii “Eticheta ecologică în turism“</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FF8058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8F9AB7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D33EBB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BE7A70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0FE6FB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C10623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239B5DC1"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521272B2"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8C6E50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Inițierea și aprobarea, prin Hotărâre de Guvern, a unui Program de stimulare a întreprinderilor din turism care au obținut, urmare investițiilor realizate, “Eticheta ecologică în turism“.</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14D8A5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6C055E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BABC71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801D78E"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9B75BBF"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A477D35"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589A0285" w14:textId="77777777" w:rsidTr="001925BA">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1A688690"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M7.2 Stimularea operatorilor de plaje și de porturi de agrement care reușesc să obțină distincția Blue Flag</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6FF06C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Realizarea de campanii de promovare și informare a antreprenorilor cu privire la criteriile pentru încadrarea în program și avantajele programului</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0B49AB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B9F8FA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356F69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A3E376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FDF2CC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FC58C0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0E2FDF36"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275F8CA6"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7A3781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Realizarea de campanii de promovare a plajelor și porturilor de agrement care au obținut distincția Blue Flag</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5432EF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D6DE2C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BA1710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B796AF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C0853E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68883A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5EC8384A"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5D92D4E9"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4FED49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Inițierea și aprobarea, prin Hotărâre de Guvern, a unui Program de stimulare a operatorilor din turism care au obținut, urmare investițiilor realizate, distincția Blue Flag.</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F2FB9C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4F6848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46C6E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64829B6"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974F6A6"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72703C3"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405A30EC" w14:textId="77777777" w:rsidTr="001925BA">
        <w:trPr>
          <w:trHeight w:val="589"/>
        </w:trPr>
        <w:tc>
          <w:tcPr>
            <w:tcW w:w="2541" w:type="dxa"/>
            <w:vMerge w:val="restart"/>
            <w:tcBorders>
              <w:top w:val="single" w:sz="8" w:space="0" w:color="000000"/>
              <w:left w:val="single" w:sz="8" w:space="0" w:color="000000"/>
              <w:right w:val="single" w:sz="8" w:space="0" w:color="000000"/>
            </w:tcBorders>
            <w:vAlign w:val="center"/>
          </w:tcPr>
          <w:p w14:paraId="422450AA"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 xml:space="preserve">M7.3 Inițierea și implementarea unui program </w:t>
            </w:r>
            <w:r w:rsidRPr="00B30FA0">
              <w:rPr>
                <w:rFonts w:eastAsia="Times New Roman" w:cs="Times New Roman"/>
                <w:sz w:val="20"/>
                <w:szCs w:val="20"/>
              </w:rPr>
              <w:lastRenderedPageBreak/>
              <w:t>de dezvoltare a turismului subacvatic</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637652D"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lastRenderedPageBreak/>
              <w:t>Revizuirea legislației privind reglementarea activităților de scufundare în scop recreativ și științific</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631138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RS / RF</w:t>
            </w:r>
          </w:p>
          <w:p w14:paraId="73C764B4"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36F49D9"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F70D86F"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72BE28E"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99F3F51"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D4D0F8B"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4A9D8822" w14:textId="77777777" w:rsidTr="001925BA">
        <w:trPr>
          <w:trHeight w:val="440"/>
        </w:trPr>
        <w:tc>
          <w:tcPr>
            <w:tcW w:w="2541" w:type="dxa"/>
            <w:vMerge/>
            <w:tcBorders>
              <w:top w:val="single" w:sz="8" w:space="0" w:color="000000"/>
              <w:left w:val="single" w:sz="8" w:space="0" w:color="000000"/>
              <w:right w:val="single" w:sz="8" w:space="0" w:color="000000"/>
            </w:tcBorders>
            <w:vAlign w:val="center"/>
          </w:tcPr>
          <w:p w14:paraId="5F139716"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D982087"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Realizarea de campanii de conștientizare a importanței protejării și conservării patrimoniului cultural subacvatic;</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024A65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90E6CD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9732D8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2A68CA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A6FB3C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A506E2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650758F0" w14:textId="77777777" w:rsidTr="001925BA">
        <w:trPr>
          <w:trHeight w:val="440"/>
        </w:trPr>
        <w:tc>
          <w:tcPr>
            <w:tcW w:w="2541" w:type="dxa"/>
            <w:vMerge/>
            <w:tcBorders>
              <w:top w:val="single" w:sz="8" w:space="0" w:color="000000"/>
              <w:left w:val="single" w:sz="8" w:space="0" w:color="000000"/>
              <w:right w:val="single" w:sz="8" w:space="0" w:color="000000"/>
            </w:tcBorders>
            <w:vAlign w:val="center"/>
          </w:tcPr>
          <w:p w14:paraId="187C5745"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52CC083"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Realizarea de campanii pentru promovarea turismului subacvatic la litoralul românesc</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0E2689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8D40EC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A48980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DFE12C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724016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B57092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08F11D7B" w14:textId="77777777" w:rsidTr="001925BA">
        <w:trPr>
          <w:trHeight w:val="440"/>
        </w:trPr>
        <w:tc>
          <w:tcPr>
            <w:tcW w:w="2541" w:type="dxa"/>
            <w:vMerge/>
            <w:tcBorders>
              <w:top w:val="single" w:sz="8" w:space="0" w:color="000000"/>
              <w:left w:val="single" w:sz="8" w:space="0" w:color="000000"/>
              <w:right w:val="single" w:sz="8" w:space="0" w:color="000000"/>
            </w:tcBorders>
            <w:vAlign w:val="center"/>
          </w:tcPr>
          <w:p w14:paraId="65EBD05E"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2A5968B"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Inițierea și implementarea de programe de pregătire / specializare pentru ghizii turistici (scuba - diving, arheologie subacvatică, istorie, etc);</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58D17A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0D1549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9A7B09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12DD15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5C3E91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D1067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4C569AD7" w14:textId="77777777" w:rsidTr="001925BA">
        <w:trPr>
          <w:trHeight w:val="440"/>
        </w:trPr>
        <w:tc>
          <w:tcPr>
            <w:tcW w:w="2541" w:type="dxa"/>
            <w:vMerge/>
            <w:tcBorders>
              <w:top w:val="single" w:sz="8" w:space="0" w:color="000000"/>
              <w:left w:val="single" w:sz="8" w:space="0" w:color="000000"/>
              <w:right w:val="single" w:sz="8" w:space="0" w:color="000000"/>
            </w:tcBorders>
            <w:vAlign w:val="center"/>
          </w:tcPr>
          <w:p w14:paraId="2504B7E6"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10FBF95"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Inițierea și implementarea de proiecte pentru identificarea rutelor turistice subacvatice și interconectarea lor la siturile culturale terestre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435867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474DDD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2708EE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326F40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86DA98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20CB3B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4CF28E78" w14:textId="77777777" w:rsidTr="001925BA">
        <w:trPr>
          <w:trHeight w:val="440"/>
        </w:trPr>
        <w:tc>
          <w:tcPr>
            <w:tcW w:w="2541" w:type="dxa"/>
            <w:vMerge/>
            <w:tcBorders>
              <w:top w:val="single" w:sz="8" w:space="0" w:color="000000"/>
              <w:left w:val="single" w:sz="8" w:space="0" w:color="000000"/>
              <w:right w:val="single" w:sz="8" w:space="0" w:color="000000"/>
            </w:tcBorders>
            <w:vAlign w:val="center"/>
          </w:tcPr>
          <w:p w14:paraId="317F0884"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17684B2"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Inițierea și implementarea de proiecte de restaurare a siturilor și obiectelor subacvatice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ACD8B3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A627BD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F35F69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441F8F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1F9DE9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9DD618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2A8E6829" w14:textId="77777777" w:rsidTr="001925BA">
        <w:trPr>
          <w:trHeight w:val="440"/>
        </w:trPr>
        <w:tc>
          <w:tcPr>
            <w:tcW w:w="2541" w:type="dxa"/>
            <w:vMerge w:val="restart"/>
            <w:tcBorders>
              <w:top w:val="single" w:sz="8" w:space="0" w:color="000000"/>
              <w:left w:val="single" w:sz="8" w:space="0" w:color="000000"/>
              <w:right w:val="single" w:sz="8" w:space="0" w:color="000000"/>
            </w:tcBorders>
            <w:vAlign w:val="center"/>
          </w:tcPr>
          <w:p w14:paraId="10506E0F"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M7.4 Reabilitarea stocurilor de pești cu valoare comercială, încurajarea și susținerea implementării procedurilor/tehnicilor și tehnologiilor de pescuit sustenabil prin acordarea de stimulente</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89AEE77"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Reabilitarea ecologică a zonelor de reproducere și creștere a stadiilor timpurii, pentru refacerea stocurilor și rutelor de migraţie a peştilor și pentru decolmatarea căilor de acces</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ABB543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F9A03D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2931F3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122147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378FB7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354E2D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77F0144C" w14:textId="77777777" w:rsidTr="001925BA">
        <w:trPr>
          <w:trHeight w:val="440"/>
        </w:trPr>
        <w:tc>
          <w:tcPr>
            <w:tcW w:w="2541" w:type="dxa"/>
            <w:vMerge/>
            <w:tcBorders>
              <w:top w:val="single" w:sz="8" w:space="0" w:color="000000"/>
              <w:left w:val="single" w:sz="8" w:space="0" w:color="000000"/>
              <w:right w:val="single" w:sz="8" w:space="0" w:color="000000"/>
            </w:tcBorders>
            <w:vAlign w:val="center"/>
          </w:tcPr>
          <w:p w14:paraId="343EA684"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286E394" w14:textId="77777777" w:rsidR="00670FD4" w:rsidRPr="00B30FA0" w:rsidRDefault="00670FD4" w:rsidP="001925BA">
            <w:pPr>
              <w:ind w:firstLine="0"/>
              <w:rPr>
                <w:rFonts w:eastAsia="Times New Roman" w:cs="Times New Roman"/>
                <w:color w:val="000000"/>
                <w:sz w:val="20"/>
                <w:szCs w:val="20"/>
              </w:rPr>
            </w:pPr>
            <w:r w:rsidRPr="00B30FA0">
              <w:rPr>
                <w:rFonts w:eastAsia="Times New Roman" w:cs="Times New Roman"/>
                <w:color w:val="000000"/>
                <w:sz w:val="20"/>
                <w:szCs w:val="20"/>
              </w:rPr>
              <w:t>Îmbunătățirea/corelarea legislaţiei naţionale în acord cu legislația europeană, privind:</w:t>
            </w:r>
          </w:p>
          <w:p w14:paraId="6BD5857F" w14:textId="77777777" w:rsidR="00670FD4" w:rsidRPr="00B30FA0" w:rsidRDefault="00670FD4" w:rsidP="001925BA">
            <w:pPr>
              <w:ind w:firstLine="0"/>
              <w:rPr>
                <w:rFonts w:eastAsia="Times New Roman" w:cs="Times New Roman"/>
                <w:color w:val="000000"/>
                <w:sz w:val="20"/>
                <w:szCs w:val="20"/>
              </w:rPr>
            </w:pPr>
            <w:r w:rsidRPr="00B30FA0">
              <w:rPr>
                <w:rFonts w:eastAsia="Times New Roman" w:cs="Times New Roman"/>
                <w:color w:val="000000"/>
                <w:sz w:val="20"/>
                <w:szCs w:val="20"/>
              </w:rPr>
              <w:t>i) folosirea uneltelor de pescuit, precum plasele monofilament, combaterea, cu măsuri reale, a braconajului,</w:t>
            </w:r>
          </w:p>
          <w:p w14:paraId="796F4614" w14:textId="77777777" w:rsidR="00670FD4" w:rsidRPr="00B30FA0" w:rsidRDefault="00670FD4" w:rsidP="001925BA">
            <w:pPr>
              <w:ind w:firstLine="0"/>
              <w:rPr>
                <w:rFonts w:eastAsia="Times New Roman" w:cs="Times New Roman"/>
                <w:color w:val="000000"/>
                <w:sz w:val="20"/>
                <w:szCs w:val="20"/>
              </w:rPr>
            </w:pPr>
            <w:r w:rsidRPr="00B30FA0">
              <w:rPr>
                <w:rFonts w:eastAsia="Times New Roman" w:cs="Times New Roman"/>
                <w:color w:val="000000"/>
                <w:sz w:val="20"/>
                <w:szCs w:val="20"/>
              </w:rPr>
              <w:t>ii) consultarea reprezentanţilor din pescării în elaborarea de politici care influenţează domeniul pescaresc,</w:t>
            </w:r>
          </w:p>
          <w:p w14:paraId="3CE071AA"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iii) protejarea intereselor pescarilor autohtoni și acordarea de compensaţii financiare în perioade nefavorabile, îmbunătăţirea condiţiilor de muncă ale pescarilor</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9755F1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6CE21D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CF5143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114629C"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617C719"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93DEE6A"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39A3247E" w14:textId="77777777" w:rsidTr="001925BA">
        <w:trPr>
          <w:trHeight w:val="440"/>
        </w:trPr>
        <w:tc>
          <w:tcPr>
            <w:tcW w:w="2541" w:type="dxa"/>
            <w:vMerge/>
            <w:tcBorders>
              <w:top w:val="single" w:sz="8" w:space="0" w:color="000000"/>
              <w:left w:val="single" w:sz="8" w:space="0" w:color="000000"/>
              <w:right w:val="single" w:sz="8" w:space="0" w:color="000000"/>
            </w:tcBorders>
            <w:vAlign w:val="center"/>
          </w:tcPr>
          <w:p w14:paraId="5047A5DD"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7B2EBAB"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Crearea unui fond de garantare pentru sectorul operaţional de pescuit</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607FDE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BA4474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84F701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A8D1C5E"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2862A72"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01751A0"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0A0130A1" w14:textId="77777777" w:rsidTr="001925BA">
        <w:trPr>
          <w:trHeight w:val="440"/>
        </w:trPr>
        <w:tc>
          <w:tcPr>
            <w:tcW w:w="2541" w:type="dxa"/>
            <w:vMerge/>
            <w:tcBorders>
              <w:top w:val="single" w:sz="8" w:space="0" w:color="000000"/>
              <w:left w:val="single" w:sz="8" w:space="0" w:color="000000"/>
              <w:right w:val="single" w:sz="8" w:space="0" w:color="000000"/>
            </w:tcBorders>
            <w:vAlign w:val="center"/>
          </w:tcPr>
          <w:p w14:paraId="42BBC68C"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8BCBB5B"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Alocarea de terenuri care să servească amenajării de adăposturi pescăreşti în vederea reactivării pescuitului costier la scară redusă</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B6C6B6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960092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44B2D3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312D5AC"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49C0BE4"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180EC97"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2876B3E1" w14:textId="77777777" w:rsidTr="001925BA">
        <w:trPr>
          <w:trHeight w:val="440"/>
        </w:trPr>
        <w:tc>
          <w:tcPr>
            <w:tcW w:w="2541" w:type="dxa"/>
            <w:vMerge/>
            <w:tcBorders>
              <w:top w:val="single" w:sz="8" w:space="0" w:color="000000"/>
              <w:left w:val="single" w:sz="8" w:space="0" w:color="000000"/>
              <w:right w:val="single" w:sz="8" w:space="0" w:color="000000"/>
            </w:tcBorders>
            <w:vAlign w:val="center"/>
          </w:tcPr>
          <w:p w14:paraId="6AB346CF"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AB0677C"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Realizarea de campanii de conștientizare și de instruire a pescarilor și piscicultorilor</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C7EFCA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EAF6F3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B4A043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1919D0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41318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2155BF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7D69BC7D" w14:textId="77777777" w:rsidTr="001925BA">
        <w:trPr>
          <w:trHeight w:val="440"/>
        </w:trPr>
        <w:tc>
          <w:tcPr>
            <w:tcW w:w="2541" w:type="dxa"/>
            <w:vMerge/>
            <w:tcBorders>
              <w:top w:val="single" w:sz="8" w:space="0" w:color="000000"/>
              <w:left w:val="single" w:sz="8" w:space="0" w:color="000000"/>
              <w:right w:val="single" w:sz="8" w:space="0" w:color="000000"/>
            </w:tcBorders>
            <w:vAlign w:val="center"/>
          </w:tcPr>
          <w:p w14:paraId="6CDF96B4"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8A55AAB"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Stimularea activităţii de cercetare în domeniul piscicol.</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A9445E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549E14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E54CD3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650AD9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01F425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A417D1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31CE3ACB" w14:textId="77777777" w:rsidTr="001925BA">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5C710A62"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M7.5 Dezvoltarea infrastructurii pescărești și utilizarea de mijloace de pescuit prietenoase cu mediul pentru evitarea deteriorării substratului marin și diminuarea presiunii asupra mediului</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7A83EEB"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Elaborarea și implementarea programelor pentru modernizarea ambarcaţiunilor de pescuit, dotarea cu echipamente de navigaţie şi plase de pescuit specializate, diferenţiat pe specii de peşte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C82BE1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EC3A15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210914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0A1CCA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A35BCB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5042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511197D1"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4FB24EAB"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680D68F"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Elaborarea și implementarea programelor privind modernizarea uneltelor de pescuit, respectiv achiziţia de noi unelte, schimbarea motoarelor ambarcaţiunilor</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7B3D6A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93ED96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B270D4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434190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DB0238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94F44D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6CF13BAA"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2AFA1C59"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81E39A1"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Îmbunătățirea bazei logistice prin retehnologizare şi modernizarea infrastructurii, achiziționarea de echipamente moderne și soft-uri specializate pentru standardizarea metodelor de pescuit și procesarea datelor de producție.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A95B14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BBEB7D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E9EFAF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40F6D9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EEBFDB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E722B3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2625DD32" w14:textId="77777777" w:rsidTr="001925BA">
        <w:trPr>
          <w:trHeight w:val="440"/>
        </w:trPr>
        <w:tc>
          <w:tcPr>
            <w:tcW w:w="2541" w:type="dxa"/>
            <w:vMerge w:val="restart"/>
            <w:tcBorders>
              <w:top w:val="single" w:sz="8" w:space="0" w:color="000000"/>
              <w:left w:val="single" w:sz="8" w:space="0" w:color="000000"/>
              <w:right w:val="single" w:sz="8" w:space="0" w:color="000000"/>
            </w:tcBorders>
            <w:vAlign w:val="center"/>
          </w:tcPr>
          <w:p w14:paraId="7D8AE2AA"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M7.6 Dezvoltarea acvaculturii costiere (marine, terestre) prietenoase cu mediul</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42681FA"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Identificarea și concesionarea zonelor și selectarea speciilor pretabile pentru acvacultură</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455352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RS /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3E4F123"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10388A1"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F9D7C2E"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7B1B592"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78F791C"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633FCFE5" w14:textId="77777777" w:rsidTr="001925BA">
        <w:trPr>
          <w:trHeight w:val="440"/>
        </w:trPr>
        <w:tc>
          <w:tcPr>
            <w:tcW w:w="2541" w:type="dxa"/>
            <w:vMerge/>
            <w:tcBorders>
              <w:top w:val="single" w:sz="8" w:space="0" w:color="000000"/>
              <w:left w:val="single" w:sz="8" w:space="0" w:color="000000"/>
              <w:right w:val="single" w:sz="8" w:space="0" w:color="000000"/>
            </w:tcBorders>
            <w:vAlign w:val="center"/>
          </w:tcPr>
          <w:p w14:paraId="15A39F95"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12DD77E"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Implementarea standardelor de calitate pentru peştele de consum livrat în stare vie, în special în cazul aplicării unor tehnologii ecologice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6B0D7B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95134C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B622B8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02BC7B5"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A994E6A"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661DBF3"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6CD44C5B" w14:textId="77777777" w:rsidTr="001925BA">
        <w:trPr>
          <w:trHeight w:val="440"/>
        </w:trPr>
        <w:tc>
          <w:tcPr>
            <w:tcW w:w="2541" w:type="dxa"/>
            <w:vMerge/>
            <w:tcBorders>
              <w:top w:val="single" w:sz="8" w:space="0" w:color="000000"/>
              <w:left w:val="single" w:sz="8" w:space="0" w:color="000000"/>
              <w:right w:val="single" w:sz="8" w:space="0" w:color="000000"/>
            </w:tcBorders>
            <w:vAlign w:val="center"/>
          </w:tcPr>
          <w:p w14:paraId="22175D22"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55CAC21"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Dezvoltarea/consolidarea infrastructurii specifice, inclusiv crearea și dezvoltarea de puncte de debarcare numai pentru acvacultură</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F44527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B1C8F6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1B612C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0FA096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3464F2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B56D27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36483B91" w14:textId="77777777" w:rsidTr="001925BA">
        <w:trPr>
          <w:trHeight w:val="440"/>
        </w:trPr>
        <w:tc>
          <w:tcPr>
            <w:tcW w:w="2541" w:type="dxa"/>
            <w:vMerge/>
            <w:tcBorders>
              <w:top w:val="single" w:sz="8" w:space="0" w:color="000000"/>
              <w:left w:val="single" w:sz="8" w:space="0" w:color="000000"/>
              <w:right w:val="single" w:sz="8" w:space="0" w:color="000000"/>
            </w:tcBorders>
            <w:vAlign w:val="center"/>
          </w:tcPr>
          <w:p w14:paraId="2782434F"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B5CF81A"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Implementarea sistemului de trasabilitate pentru produsele pescuite și cultivate, suport pentru sistemul integrat de monitorizare a traseului complet de la capturare până la consumatorul final</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8A6E57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5BD24C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437A78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622AE5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B87710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60844E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152B3F53" w14:textId="77777777" w:rsidTr="001925BA">
        <w:trPr>
          <w:trHeight w:val="440"/>
        </w:trPr>
        <w:tc>
          <w:tcPr>
            <w:tcW w:w="2541" w:type="dxa"/>
            <w:vMerge/>
            <w:tcBorders>
              <w:top w:val="single" w:sz="8" w:space="0" w:color="000000"/>
              <w:left w:val="single" w:sz="8" w:space="0" w:color="000000"/>
              <w:right w:val="single" w:sz="8" w:space="0" w:color="000000"/>
            </w:tcBorders>
            <w:vAlign w:val="center"/>
          </w:tcPr>
          <w:p w14:paraId="0C220804"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09A28DE"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Implementarea unor programe de prevenţie şi tratament în cadrul unor reţele specializate pentru monitorizarea calităţii apei şi bolilor la peşti cu impact cantitativ şi calitativ asupra produsului final</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51E94F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145395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B5C39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31DD49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A71B4D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3486F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7E4A5379" w14:textId="77777777" w:rsidTr="001925BA">
        <w:trPr>
          <w:trHeight w:val="440"/>
        </w:trPr>
        <w:tc>
          <w:tcPr>
            <w:tcW w:w="2541" w:type="dxa"/>
            <w:vMerge/>
            <w:tcBorders>
              <w:top w:val="single" w:sz="8" w:space="0" w:color="000000"/>
              <w:left w:val="single" w:sz="8" w:space="0" w:color="000000"/>
              <w:right w:val="single" w:sz="8" w:space="0" w:color="000000"/>
            </w:tcBorders>
            <w:vAlign w:val="center"/>
          </w:tcPr>
          <w:p w14:paraId="37291B76"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F0F3C35"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Elaborarea și implementarea de măsuri fiscale care să asigurare producţia în cazul unor calamităţi naturale.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6859BE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EBA3D1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9C75FB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0AFFC0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A6528E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5DF303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2DDB0A20" w14:textId="77777777" w:rsidTr="001925BA">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04713575"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M7.7 Reabilitarea activităților tradiționale și valorificarea resursei stuficole din Delta Dunării</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61C7D95"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Realizarea de campanii de conștientizare a populației locale și turiștilor cu privire la beneficiile reabilitării activităților tradiționale de valorificare a stufului, de noi oportunități de valorificare a resursei stuficole, alături de beneficiile economice pe care aceste oportunități le implică</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E0A79D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2F04C1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7A3462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DC60F9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25014A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5342E2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40C77DF7"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47202872"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7BC6772"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Inițiere și implementare de proiecte pilot pentru producerea de energie din stuf</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1D9459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74EE4F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8B33D1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F3B4EE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14EF2E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CCA1D0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267563C2"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403834F6"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7549F1A"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Realizarea de cursuri de instruire în tehnici de construcție cu materiale din stuf adresate comunității locale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4688B3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9B10CC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844F62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8A5172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076283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FF1487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34019D03"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0080C63F"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7421E46"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Inițierea și implementarea de proiecte pentru valorificarea stufului ca materiale în construcția de locuințe tradiționale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E9056E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26270F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594DBF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AC6A47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19F282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1D3C38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2256454B"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3CF15D0D"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28B87DA"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Inițierea și implementarea de proiecte pilot pentru valorificarea resursei stuficole în industria modei și de design, promovarea acestui tip de valorificare prin organizarea de târguri, expoziții, etc.</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DE77EA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4F298F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9E2524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7C64B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131577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CF4470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5E5E2B0E"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62AD1A72"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5DC7D34"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Implementarea de proiecte pentru restaurarea zonelor de stufăriș afectate de degradare sau distrugere.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6BBFC0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4C12F2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239C58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D5AA86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9FB364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55E513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65F1BF04" w14:textId="77777777" w:rsidTr="001925BA">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5DA698E4" w14:textId="77777777" w:rsidR="00670FD4" w:rsidRPr="00B30FA0" w:rsidRDefault="00670FD4" w:rsidP="001925BA">
            <w:pPr>
              <w:spacing w:after="0" w:line="240" w:lineRule="auto"/>
              <w:ind w:firstLine="42"/>
              <w:rPr>
                <w:rFonts w:eastAsia="Times New Roman" w:cs="Times New Roman"/>
                <w:sz w:val="20"/>
                <w:szCs w:val="20"/>
              </w:rPr>
            </w:pPr>
          </w:p>
          <w:p w14:paraId="5B4456BE" w14:textId="77777777" w:rsidR="00670FD4" w:rsidRPr="00B30FA0" w:rsidRDefault="00670FD4" w:rsidP="001925BA">
            <w:pPr>
              <w:spacing w:after="0" w:line="240" w:lineRule="auto"/>
              <w:ind w:firstLine="42"/>
              <w:rPr>
                <w:rFonts w:eastAsia="Times New Roman" w:cs="Times New Roman"/>
                <w:sz w:val="20"/>
                <w:szCs w:val="20"/>
              </w:rPr>
            </w:pPr>
          </w:p>
          <w:p w14:paraId="67C090C9" w14:textId="77777777" w:rsidR="00670FD4" w:rsidRPr="00B30FA0" w:rsidRDefault="00670FD4" w:rsidP="001925BA">
            <w:pPr>
              <w:spacing w:after="0" w:line="240" w:lineRule="auto"/>
              <w:ind w:firstLine="42"/>
              <w:rPr>
                <w:rFonts w:eastAsia="Times New Roman" w:cs="Times New Roman"/>
                <w:sz w:val="20"/>
                <w:szCs w:val="20"/>
              </w:rPr>
            </w:pPr>
          </w:p>
          <w:p w14:paraId="617F6016"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M7.8 Aplicarea de către producătorii locali a noilor politici agricole</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E960980"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Implementarea de soluții moderne, inovative pentru eficientizarea producției agricole (utilizarea teledetecției în colectarea datelor spațiale, utilizarea dronelor pentru supraveghere, evaluare, măsurători sau pentru aplicarea de soluții/substanțe (ex. fertilizanți, pesticide), utilizarea softurilor pentru controlul și gestionarea eficientă a echipamentelor și a materialelor din ferme, etc)</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CF767B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A52A6D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FD6FA9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557679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52CE5D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67948F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79EBB3E1"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0639E3A2"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5DE75E5"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Implementarea unor programe de gestiune computerizată în special pentru fermele mici și mijlocii</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25DCD4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399C73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D7D0E8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1A43B8D"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48D3B28"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9234A72"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563C3044"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6260AEFB"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225B0EC"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Programe de sprijin pentru asocierea comunităților de fermieri din zona costieră pentru creșterea eficienței în desfacerea produselor pe plan local</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B010A2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1EE56E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F88975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62299A8"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86D8C96"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DB72611"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31450261"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5E149597"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6BBA97B"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Organizarea periodică de întâlniri între fermieri și alți antreprenori (operatori de turism, reprezentanți ai altor comunități de afaceri, reprezentanți ai comunităților locale) prin care să fie promovate ideile, schimburile și care să întărească comunitatea de afaceri din zona costieră, cu beneficii pentru toată zona litorală.</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861B58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7E518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409FB7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E00B4C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C24517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856494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6AF423F2" w14:textId="77777777" w:rsidTr="001925BA">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3F790CD1"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M7.9 Implementarea proiectelor de transport fluvial verde în Delta Dunării</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1ED9601"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Realizarea de campanii de conștientizare a operatorilor de transport fluvial, a operatorilor turistici, precum și a asociațiilor de pescari privind efectele negative ale transportului fluvial cu combustibili convenționali asupra stării ecosistemului deltaic și a serviciilor furnizate de către acesta comunității locale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2A0634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0E70F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B1188F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ABFD9D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D143DA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C8F27B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154AE0F1"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3313F426"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F8A2BC0"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Inițierea și implementarea unor proiecte pilot pentru testarea unor soluțiii de transport bazat pe surse neconvenționale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2BD255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D4E441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E97C74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FC4D83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DA7A5A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389B75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716BC255"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74A445B4"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D130785"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Identificarea unor mecanisme financiare de stimulare a folosirii ambarcațiunilor ce folosesc combustibili neconvenționali (“transportului verde”)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E14605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RS /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EC0E071"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86F2C0A"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BF93F12"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3F55B4C"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6BC5092"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11BFEE6C"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4E0B3A27"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FC2CD00"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Identificarea unor mecanisme financiare de stimulare a operatorilor de transport, turistici și pescarilor pentru scoaterea din uz a ambarcațiunilor cu motoare vechi, poluante.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F3F42E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RS /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8F58F54"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F8837F8"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7D8169C"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7E83FA0"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3DDDEFA"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79BD9A83" w14:textId="77777777" w:rsidTr="001925BA">
        <w:trPr>
          <w:trHeight w:val="440"/>
        </w:trPr>
        <w:tc>
          <w:tcPr>
            <w:tcW w:w="2541" w:type="dxa"/>
            <w:vMerge w:val="restart"/>
            <w:tcBorders>
              <w:top w:val="single" w:sz="8" w:space="0" w:color="000000"/>
              <w:left w:val="single" w:sz="8" w:space="0" w:color="000000"/>
              <w:right w:val="single" w:sz="8" w:space="0" w:color="000000"/>
            </w:tcBorders>
            <w:vAlign w:val="center"/>
          </w:tcPr>
          <w:p w14:paraId="0B2A514C"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M7.10 Dezvoltarea porturilor “verzi” la litoralul românesc al Mării Negre</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17D7C97"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Implementarea unor proiecte pentru realizarea unui design ecologic al porturilor, care include perdele forestiere, ce contribuie la reducerea poluării atmosferice.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6219E9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2CE233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92A6B9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B6D916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570640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3BA362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74894ED7" w14:textId="77777777" w:rsidTr="001925BA">
        <w:trPr>
          <w:trHeight w:val="440"/>
        </w:trPr>
        <w:tc>
          <w:tcPr>
            <w:tcW w:w="2541" w:type="dxa"/>
            <w:vMerge/>
            <w:tcBorders>
              <w:top w:val="single" w:sz="8" w:space="0" w:color="000000"/>
              <w:left w:val="single" w:sz="8" w:space="0" w:color="000000"/>
              <w:right w:val="single" w:sz="8" w:space="0" w:color="000000"/>
            </w:tcBorders>
            <w:vAlign w:val="center"/>
          </w:tcPr>
          <w:p w14:paraId="79DD93F0"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481643C"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Implementarea proiectelor privind utilizarea surselor de energie regenerabilă în operațiunile și activitățile portuare (inclusiv transport).</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2EF29F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C2AA0B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650D4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1BA895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C3301A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BD34EF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527A427A" w14:textId="77777777" w:rsidTr="001925BA">
        <w:trPr>
          <w:trHeight w:val="440"/>
        </w:trPr>
        <w:tc>
          <w:tcPr>
            <w:tcW w:w="2541" w:type="dxa"/>
            <w:vMerge/>
            <w:tcBorders>
              <w:top w:val="single" w:sz="8" w:space="0" w:color="000000"/>
              <w:left w:val="single" w:sz="8" w:space="0" w:color="000000"/>
              <w:right w:val="single" w:sz="8" w:space="0" w:color="000000"/>
            </w:tcBorders>
            <w:vAlign w:val="center"/>
          </w:tcPr>
          <w:p w14:paraId="52A28AB6"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0B044A7"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Identificarea și aplicarea de soluții moderne pentru tratarea și reciclarea deșeurilor de la nave, precum și a celor rezultate din diverse activități portuare.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546A10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19C1B4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CD034B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A8203F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8E0597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1D48EE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1EA7A602" w14:textId="77777777" w:rsidTr="001925BA">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37551C03"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M7.11 Evaluarea potențialului de valorificare a resurselor energetice regenerabile din zonă: energia eoliană, “inshore” și „offshore”, energia valurilor, fotovoltaică, etc.</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72079D4"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Elaborarea și implementarea de studii / proiecte pilot privind evaluarea potențialului de valorificare a energiei eoliene, energiei valurilor și fotovoltaice din zona costieră.</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3EE9295" w14:textId="77777777" w:rsidR="00670FD4" w:rsidRPr="00B30FA0" w:rsidRDefault="00670FD4" w:rsidP="001925BA">
            <w:pPr>
              <w:spacing w:after="0" w:line="240" w:lineRule="auto"/>
              <w:ind w:firstLine="0"/>
              <w:rPr>
                <w:rFonts w:eastAsia="Times New Roman" w:cs="Times New Roman"/>
                <w:sz w:val="20"/>
                <w:szCs w:val="20"/>
              </w:rPr>
            </w:pPr>
            <w:r w:rsidRPr="00B27196">
              <w:rPr>
                <w:rFonts w:eastAsia="Times New Roman" w:cs="Times New Roman"/>
                <w:sz w:val="20"/>
                <w:szCs w:val="20"/>
              </w:rPr>
              <w:t>RS /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427A2C6E"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64074AAE"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06C8E36F"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63C9D437"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50DF3957"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47450664"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209867AE"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1CE4698"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 xml:space="preserve">Realizarea de campanii pentru susţinerea şi promovarea producţiei de energie din surse alternative, regenerabile şi nepoluante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176FA8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C75E78F"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2411C9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w:t>
            </w:r>
            <w:r>
              <w:rPr>
                <w:rFonts w:eastAsia="Times New Roman" w:cs="Times New Roman"/>
                <w:sz w:val="20"/>
                <w:szCs w:val="20"/>
              </w:rPr>
              <w:t>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66F36755"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22D01FD7"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25624D87"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541223BA"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3E12F5B5"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868F040" w14:textId="77777777" w:rsidR="00670FD4" w:rsidRPr="00B30FA0" w:rsidRDefault="00670FD4" w:rsidP="001925BA">
            <w:pPr>
              <w:spacing w:after="0" w:line="240" w:lineRule="auto"/>
              <w:ind w:firstLine="0"/>
              <w:rPr>
                <w:rFonts w:eastAsia="Times New Roman" w:cs="Times New Roman"/>
                <w:color w:val="000000"/>
                <w:sz w:val="20"/>
                <w:szCs w:val="20"/>
              </w:rPr>
            </w:pPr>
            <w:r w:rsidRPr="00B27196">
              <w:rPr>
                <w:rFonts w:eastAsia="Times New Roman" w:cs="Times New Roman"/>
                <w:color w:val="000000"/>
                <w:sz w:val="20"/>
                <w:szCs w:val="20"/>
              </w:rPr>
              <w:t>Sprijinirea instituțiilor și infrastructurilor de cercetare-dezvoltare de interes național și European pentru studierea resurselor energetice regenerabile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CD5BCB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EB6714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825A4A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w:t>
            </w:r>
            <w:r>
              <w:rPr>
                <w:rFonts w:eastAsia="Times New Roman" w:cs="Times New Roman"/>
                <w:sz w:val="20"/>
                <w:szCs w:val="20"/>
              </w:rPr>
              <w:t>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772AD3BD"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4109EC87"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4C3BC0E"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62A7D5D3" w14:textId="77777777" w:rsidTr="001925BA">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56F16AB7"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M7.12 Susținerea și dezvoltarea de noi instrumente pentru transferul cunoștințelor din cercetare spre business în sectoarele Economiei Albastre</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697C7A6"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Intensificarea finanțării cercetării-inovării, în special prin implementarea platformelor de parteneriate între autorități locale, mediu de afaceri, universități și institute de cercetare, precum și a unor HUB-uri/platforme naṭionale de inovare orientate pe Blue Economy</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7D2E4A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099A63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18B636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B70455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D2046C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A4776D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52079A91"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5BC2DBD0"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D77A46F"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Dezvoltarea mecanismelor de valorificare rezultatelor cercetării prin transfer tehnologic.</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1EC296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BFDA15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C23A50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E7DF0E6"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08FAA28"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27F8B15"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3081F95A" w14:textId="77777777" w:rsidTr="001925BA">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08C182C6"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lastRenderedPageBreak/>
              <w:t>M7.13 Consolidarea infrastructurii antreprenoriale locale</w:t>
            </w:r>
          </w:p>
        </w:tc>
        <w:tc>
          <w:tcPr>
            <w:tcW w:w="60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2C28E18"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Organizarea de cursuri pentru specializarea trainerilor;</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CD1EFF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CF0520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A88431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882B40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94249B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F13AA8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392CAED5" w14:textId="77777777" w:rsidTr="001925BA">
        <w:trPr>
          <w:trHeight w:val="586"/>
        </w:trPr>
        <w:tc>
          <w:tcPr>
            <w:tcW w:w="2541" w:type="dxa"/>
            <w:vMerge/>
            <w:tcBorders>
              <w:top w:val="single" w:sz="8" w:space="0" w:color="000000"/>
              <w:left w:val="single" w:sz="8" w:space="0" w:color="000000"/>
              <w:bottom w:val="single" w:sz="8" w:space="0" w:color="000000"/>
              <w:right w:val="single" w:sz="8" w:space="0" w:color="000000"/>
            </w:tcBorders>
            <w:vAlign w:val="center"/>
          </w:tcPr>
          <w:p w14:paraId="0547B25D"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A9243E6" w14:textId="77777777" w:rsidR="00670FD4" w:rsidRPr="00B30FA0" w:rsidRDefault="00670FD4" w:rsidP="001925BA">
            <w:pPr>
              <w:pBdr>
                <w:top w:val="nil"/>
                <w:left w:val="nil"/>
                <w:bottom w:val="nil"/>
                <w:right w:val="nil"/>
                <w:between w:val="nil"/>
              </w:pBd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 xml:space="preserve">Implementarea programelor de asistență /suport pentru antreprenori și ceilalți actori implicați în dezvoltarea verde a zonei </w:t>
            </w:r>
          </w:p>
          <w:p w14:paraId="4843852D" w14:textId="77777777" w:rsidR="00670FD4" w:rsidRPr="00B30FA0" w:rsidRDefault="00670FD4" w:rsidP="001925BA">
            <w:pPr>
              <w:spacing w:after="0" w:line="240" w:lineRule="auto"/>
              <w:ind w:firstLine="0"/>
              <w:rPr>
                <w:rFonts w:eastAsia="Times New Roman" w:cs="Times New Roman"/>
                <w:color w:val="000000"/>
                <w:sz w:val="20"/>
                <w:szCs w:val="20"/>
              </w:rPr>
            </w:pP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158F92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D5AEC9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4322E4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42604B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190307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3A0C18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2B9AF82F" w14:textId="77777777" w:rsidTr="001925BA">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023BFEF8"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B11E8C"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Implementarea de programe pentru pregătirea și monitorizarea (prin programe europene suport) implementării proiectelor</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FEDD26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1ACA4D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73C783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5DD957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0BC309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EA06DA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4C6BFCE6" w14:textId="77777777" w:rsidTr="001925BA">
        <w:trPr>
          <w:trHeight w:val="440"/>
        </w:trPr>
        <w:tc>
          <w:tcPr>
            <w:tcW w:w="2541" w:type="dxa"/>
            <w:vMerge w:val="restart"/>
            <w:tcBorders>
              <w:top w:val="single" w:sz="8" w:space="0" w:color="000000"/>
              <w:left w:val="single" w:sz="8" w:space="0" w:color="000000"/>
              <w:right w:val="single" w:sz="8" w:space="0" w:color="000000"/>
            </w:tcBorders>
            <w:vAlign w:val="center"/>
          </w:tcPr>
          <w:p w14:paraId="732FE11D"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M8.1 Crearea unui cadru coerent, integrat și sinergic de planificare spațială specific pentru teritoriul transfrontalier și regional</w:t>
            </w:r>
          </w:p>
        </w:tc>
        <w:tc>
          <w:tcPr>
            <w:tcW w:w="6095"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14:paraId="0EDBFEAA"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sz w:val="20"/>
                <w:szCs w:val="20"/>
              </w:rPr>
              <w:t>Elaborarea / actualizarea metodologiei de elaborare a planurilor de amenajare a teritoriului zonal transfrontalier și interjudețean</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8C56D3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8FCA0D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B23BB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6AA4B8D"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E213929"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B9ACB0A"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7D3C3D34" w14:textId="77777777" w:rsidTr="001925BA">
        <w:trPr>
          <w:trHeight w:val="660"/>
        </w:trPr>
        <w:tc>
          <w:tcPr>
            <w:tcW w:w="2541" w:type="dxa"/>
            <w:vMerge/>
            <w:tcBorders>
              <w:top w:val="single" w:sz="8" w:space="0" w:color="000000"/>
              <w:left w:val="single" w:sz="8" w:space="0" w:color="000000"/>
              <w:right w:val="single" w:sz="8" w:space="0" w:color="000000"/>
            </w:tcBorders>
            <w:vAlign w:val="center"/>
          </w:tcPr>
          <w:p w14:paraId="65D1DB38"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nil"/>
              <w:left w:val="nil"/>
              <w:bottom w:val="single" w:sz="4" w:space="0" w:color="000000"/>
              <w:right w:val="single" w:sz="5" w:space="0" w:color="000000"/>
            </w:tcBorders>
            <w:shd w:val="clear" w:color="auto" w:fill="auto"/>
            <w:tcMar>
              <w:top w:w="100" w:type="dxa"/>
              <w:left w:w="100" w:type="dxa"/>
              <w:bottom w:w="100" w:type="dxa"/>
              <w:right w:w="100" w:type="dxa"/>
            </w:tcMar>
          </w:tcPr>
          <w:p w14:paraId="3ED3E11D"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Inițierea și elaborarea de strategii și planuri de dezvoltare spațială în zonele transfrontaliere și în zona costieră a Mării Negre</w:t>
            </w:r>
          </w:p>
          <w:p w14:paraId="616FF358" w14:textId="77777777" w:rsidR="00670FD4" w:rsidRPr="00B30FA0" w:rsidRDefault="00670FD4" w:rsidP="001925BA">
            <w:pPr>
              <w:spacing w:after="0" w:line="240" w:lineRule="auto"/>
              <w:ind w:firstLine="0"/>
              <w:rPr>
                <w:rFonts w:eastAsia="Times New Roman" w:cs="Times New Roman"/>
                <w:color w:val="000000"/>
                <w:sz w:val="20"/>
                <w:szCs w:val="20"/>
              </w:rPr>
            </w:pPr>
            <w:r w:rsidRPr="00B30FA0">
              <w:rPr>
                <w:rFonts w:eastAsia="Times New Roman" w:cs="Times New Roman"/>
                <w:sz w:val="20"/>
                <w:szCs w:val="20"/>
              </w:rPr>
              <w:t xml:space="preserve"> </w:t>
            </w:r>
          </w:p>
        </w:tc>
        <w:tc>
          <w:tcPr>
            <w:tcW w:w="992"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1ED760B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47A54B7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2B4C833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3152F2A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5632EAE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7A6B30CE"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17815622" w14:textId="77777777" w:rsidTr="001925BA">
        <w:trPr>
          <w:trHeight w:val="440"/>
        </w:trPr>
        <w:tc>
          <w:tcPr>
            <w:tcW w:w="2541" w:type="dxa"/>
            <w:vMerge w:val="restart"/>
            <w:tcBorders>
              <w:top w:val="single" w:sz="4" w:space="0" w:color="000000"/>
              <w:left w:val="single" w:sz="4" w:space="0" w:color="000000"/>
              <w:right w:val="single" w:sz="4" w:space="0" w:color="000000"/>
            </w:tcBorders>
            <w:vAlign w:val="center"/>
          </w:tcPr>
          <w:p w14:paraId="0B04E32A"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t>M8.2 Crearea unui cadru coerent și integrat de planificare spațială la nivel zonal și local</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58B6BB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Elaborarea și aprobarea unui regulament cadru de urbanism pentru zona costieră</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0AF504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0A85C2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5E36D1B"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50DD55BC"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562EFE96"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63E9B2E8"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343450B7" w14:textId="77777777" w:rsidTr="001925BA">
        <w:trPr>
          <w:trHeight w:val="440"/>
        </w:trPr>
        <w:tc>
          <w:tcPr>
            <w:tcW w:w="2541" w:type="dxa"/>
            <w:vMerge/>
            <w:tcBorders>
              <w:top w:val="single" w:sz="4" w:space="0" w:color="000000"/>
              <w:left w:val="single" w:sz="4" w:space="0" w:color="000000"/>
              <w:right w:val="single" w:sz="4" w:space="0" w:color="000000"/>
            </w:tcBorders>
            <w:vAlign w:val="center"/>
          </w:tcPr>
          <w:p w14:paraId="57D226C0"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42569C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Elaborarea / actualizarea metodologiei de elaborare a planurilor de amenajare a teritoriului zonal metropolitan / intercomunitar.</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A577220"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7C1FB0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C75D3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164FA029"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07BFF993"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6AD6241D"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5069B0D3" w14:textId="77777777" w:rsidTr="001925BA">
        <w:trPr>
          <w:trHeight w:val="440"/>
        </w:trPr>
        <w:tc>
          <w:tcPr>
            <w:tcW w:w="2541" w:type="dxa"/>
            <w:vMerge/>
            <w:tcBorders>
              <w:top w:val="single" w:sz="4" w:space="0" w:color="000000"/>
              <w:left w:val="single" w:sz="4" w:space="0" w:color="000000"/>
              <w:right w:val="single" w:sz="4" w:space="0" w:color="000000"/>
            </w:tcBorders>
            <w:vAlign w:val="center"/>
          </w:tcPr>
          <w:p w14:paraId="560950C6"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E6CA30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Inițierea și elaborarea de documentații de planificare spațială pentru zonele metropolitane, periurbane și rurale din zona costieră (planuri zonale metropolitane, periurbane, intercomunale, planuri urbanistice generale pentru municipii, orașe și comune)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8B7415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952CC3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870845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F91BFD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5798AD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2CF93E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193AE641" w14:textId="77777777" w:rsidTr="001925BA">
        <w:trPr>
          <w:trHeight w:val="440"/>
        </w:trPr>
        <w:tc>
          <w:tcPr>
            <w:tcW w:w="2541" w:type="dxa"/>
            <w:vMerge/>
            <w:tcBorders>
              <w:top w:val="single" w:sz="4" w:space="0" w:color="000000"/>
              <w:left w:val="single" w:sz="4" w:space="0" w:color="000000"/>
              <w:bottom w:val="single" w:sz="4" w:space="0" w:color="000000"/>
              <w:right w:val="single" w:sz="4" w:space="0" w:color="000000"/>
            </w:tcBorders>
            <w:vAlign w:val="center"/>
          </w:tcPr>
          <w:p w14:paraId="01B1796E" w14:textId="77777777" w:rsidR="00670FD4" w:rsidRPr="00B30FA0" w:rsidRDefault="00670FD4" w:rsidP="001925BA">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08C1E39"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Inițierea și elaborarea de planuri urbanistice zonale în zone cu caracter prioritar / zone sensibile pentru unitățile teritoriale de reglementare (UTR) adiacente liniei țărmului</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A70191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97F9AE3"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F65E94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3B246F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9586DB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07590A5"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670FD4" w14:paraId="3E0BA905" w14:textId="77777777" w:rsidTr="001925BA">
        <w:trPr>
          <w:trHeight w:val="440"/>
        </w:trPr>
        <w:tc>
          <w:tcPr>
            <w:tcW w:w="2541" w:type="dxa"/>
            <w:vMerge w:val="restart"/>
            <w:tcBorders>
              <w:top w:val="single" w:sz="4" w:space="0" w:color="000000"/>
              <w:left w:val="single" w:sz="4" w:space="0" w:color="000000"/>
              <w:bottom w:val="single" w:sz="4" w:space="0" w:color="000000"/>
              <w:right w:val="single" w:sz="4" w:space="0" w:color="000000"/>
            </w:tcBorders>
            <w:vAlign w:val="center"/>
          </w:tcPr>
          <w:p w14:paraId="03A01D10" w14:textId="77777777" w:rsidR="00670FD4" w:rsidRPr="00B30FA0" w:rsidRDefault="00670FD4" w:rsidP="001925BA">
            <w:pPr>
              <w:spacing w:after="0" w:line="240" w:lineRule="auto"/>
              <w:ind w:firstLine="42"/>
              <w:rPr>
                <w:rFonts w:eastAsia="Times New Roman" w:cs="Times New Roman"/>
                <w:sz w:val="20"/>
                <w:szCs w:val="20"/>
              </w:rPr>
            </w:pPr>
            <w:r w:rsidRPr="00B30FA0">
              <w:rPr>
                <w:rFonts w:eastAsia="Times New Roman" w:cs="Times New Roman"/>
                <w:sz w:val="20"/>
                <w:szCs w:val="20"/>
              </w:rPr>
              <w:lastRenderedPageBreak/>
              <w:t>M8.3 Crearea unui mecanism eficient de implementare, monitorizare și verificare a instrumentelor de planificare spațială în zona costieră</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087B34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Revizuirea procedurilor de avizare / aprobare a documentațiilor de amenajarea teritoriului și urbanism)</w:t>
            </w:r>
          </w:p>
        </w:tc>
        <w:tc>
          <w:tcPr>
            <w:tcW w:w="992" w:type="dxa"/>
            <w:tcBorders>
              <w:top w:val="single" w:sz="8" w:space="0" w:color="000000"/>
              <w:left w:val="single" w:sz="4" w:space="0" w:color="000000"/>
              <w:bottom w:val="single" w:sz="8" w:space="0" w:color="000000"/>
              <w:right w:val="single" w:sz="8" w:space="0" w:color="000000"/>
            </w:tcBorders>
            <w:shd w:val="clear" w:color="auto" w:fill="auto"/>
            <w:tcMar>
              <w:top w:w="100" w:type="dxa"/>
              <w:left w:w="100" w:type="dxa"/>
              <w:bottom w:w="100" w:type="dxa"/>
              <w:right w:w="100" w:type="dxa"/>
            </w:tcMar>
          </w:tcPr>
          <w:p w14:paraId="60F6453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2C98027"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7465512"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03A8BE1"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114DF47"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8C6648A"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1266DBDF" w14:textId="77777777" w:rsidTr="001925BA">
        <w:trPr>
          <w:trHeight w:val="440"/>
        </w:trPr>
        <w:tc>
          <w:tcPr>
            <w:tcW w:w="2541" w:type="dxa"/>
            <w:vMerge/>
            <w:tcBorders>
              <w:top w:val="single" w:sz="4" w:space="0" w:color="000000"/>
              <w:left w:val="single" w:sz="4" w:space="0" w:color="000000"/>
              <w:bottom w:val="single" w:sz="4" w:space="0" w:color="000000"/>
              <w:right w:val="single" w:sz="4" w:space="0" w:color="000000"/>
            </w:tcBorders>
            <w:vAlign w:val="center"/>
          </w:tcPr>
          <w:p w14:paraId="60600912" w14:textId="77777777" w:rsidR="00670FD4" w:rsidRDefault="00670FD4" w:rsidP="001925BA">
            <w:pPr>
              <w:widowControl w:val="0"/>
              <w:pBdr>
                <w:top w:val="nil"/>
                <w:left w:val="nil"/>
                <w:bottom w:val="nil"/>
                <w:right w:val="nil"/>
                <w:between w:val="nil"/>
              </w:pBdr>
              <w:spacing w:after="0"/>
              <w:rPr>
                <w:rFonts w:eastAsia="Times New Roman" w:cs="Times New Roman"/>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F48D2BA"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Crearea unui sistem de informare și comunicare eficient între administrațiile locale din zona costieră în domeniul planificării spațiale</w:t>
            </w:r>
          </w:p>
        </w:tc>
        <w:tc>
          <w:tcPr>
            <w:tcW w:w="992" w:type="dxa"/>
            <w:tcBorders>
              <w:top w:val="single" w:sz="8" w:space="0" w:color="000000"/>
              <w:left w:val="single" w:sz="4" w:space="0" w:color="000000"/>
              <w:bottom w:val="single" w:sz="8" w:space="0" w:color="000000"/>
              <w:right w:val="single" w:sz="8" w:space="0" w:color="000000"/>
            </w:tcBorders>
            <w:shd w:val="clear" w:color="auto" w:fill="auto"/>
            <w:tcMar>
              <w:top w:w="100" w:type="dxa"/>
              <w:left w:w="100" w:type="dxa"/>
              <w:bottom w:w="100" w:type="dxa"/>
              <w:right w:w="100" w:type="dxa"/>
            </w:tcMar>
          </w:tcPr>
          <w:p w14:paraId="07C9059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5E80111"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07DBE2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2F46A89"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5A7BC33"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EEBAD5E" w14:textId="77777777" w:rsidR="00670FD4" w:rsidRPr="00B30FA0" w:rsidRDefault="00670FD4" w:rsidP="001925BA">
            <w:pPr>
              <w:spacing w:after="0" w:line="240" w:lineRule="auto"/>
              <w:ind w:firstLine="0"/>
              <w:rPr>
                <w:rFonts w:eastAsia="Times New Roman" w:cs="Times New Roman"/>
                <w:sz w:val="20"/>
                <w:szCs w:val="20"/>
              </w:rPr>
            </w:pPr>
          </w:p>
        </w:tc>
      </w:tr>
      <w:tr w:rsidR="00670FD4" w14:paraId="21E761E8" w14:textId="77777777" w:rsidTr="001925BA">
        <w:trPr>
          <w:trHeight w:val="1180"/>
        </w:trPr>
        <w:tc>
          <w:tcPr>
            <w:tcW w:w="2541" w:type="dxa"/>
            <w:vMerge/>
            <w:tcBorders>
              <w:top w:val="single" w:sz="4" w:space="0" w:color="000000"/>
              <w:left w:val="single" w:sz="4" w:space="0" w:color="000000"/>
              <w:bottom w:val="single" w:sz="4" w:space="0" w:color="auto"/>
              <w:right w:val="single" w:sz="4" w:space="0" w:color="000000"/>
            </w:tcBorders>
            <w:vAlign w:val="center"/>
          </w:tcPr>
          <w:p w14:paraId="0F0DC2FF" w14:textId="77777777" w:rsidR="00670FD4" w:rsidRDefault="00670FD4" w:rsidP="001925BA">
            <w:pPr>
              <w:widowControl w:val="0"/>
              <w:pBdr>
                <w:top w:val="nil"/>
                <w:left w:val="nil"/>
                <w:bottom w:val="nil"/>
                <w:right w:val="nil"/>
                <w:between w:val="nil"/>
              </w:pBdr>
              <w:spacing w:after="0"/>
              <w:rPr>
                <w:rFonts w:eastAsia="Times New Roman" w:cs="Times New Roman"/>
              </w:rPr>
            </w:pPr>
          </w:p>
        </w:tc>
        <w:tc>
          <w:tcPr>
            <w:tcW w:w="6095" w:type="dxa"/>
            <w:tcBorders>
              <w:top w:val="single" w:sz="4" w:space="0" w:color="000000"/>
              <w:left w:val="single" w:sz="4" w:space="0" w:color="000000"/>
              <w:bottom w:val="single" w:sz="4" w:space="0" w:color="auto"/>
              <w:right w:val="single" w:sz="4" w:space="0" w:color="000000"/>
            </w:tcBorders>
            <w:shd w:val="clear" w:color="auto" w:fill="auto"/>
            <w:tcMar>
              <w:top w:w="100" w:type="dxa"/>
              <w:left w:w="100" w:type="dxa"/>
              <w:bottom w:w="100" w:type="dxa"/>
              <w:right w:w="100" w:type="dxa"/>
            </w:tcMar>
          </w:tcPr>
          <w:p w14:paraId="1DFE60F8"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Crearea unei platforme cu acces public, de comunicare și dezbatere privind starea și evoluția zonei costiere</w:t>
            </w:r>
          </w:p>
        </w:tc>
        <w:tc>
          <w:tcPr>
            <w:tcW w:w="992" w:type="dxa"/>
            <w:tcBorders>
              <w:top w:val="single" w:sz="8" w:space="0" w:color="000000"/>
              <w:left w:val="single" w:sz="4" w:space="0" w:color="000000"/>
              <w:bottom w:val="single" w:sz="8" w:space="0" w:color="000000"/>
              <w:right w:val="single" w:sz="8" w:space="0" w:color="000000"/>
            </w:tcBorders>
            <w:shd w:val="clear" w:color="auto" w:fill="auto"/>
            <w:tcMar>
              <w:top w:w="100" w:type="dxa"/>
              <w:left w:w="100" w:type="dxa"/>
              <w:bottom w:w="100" w:type="dxa"/>
              <w:right w:w="100" w:type="dxa"/>
            </w:tcMar>
          </w:tcPr>
          <w:p w14:paraId="42DAC3A4"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D90313C"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FBDAFA6" w14:textId="77777777" w:rsidR="00670FD4" w:rsidRPr="00B30FA0" w:rsidRDefault="00670FD4" w:rsidP="001925BA">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B085FE1" w14:textId="77777777" w:rsidR="00670FD4" w:rsidRPr="00B30FA0" w:rsidRDefault="00670FD4" w:rsidP="001925BA">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B52F5DA" w14:textId="77777777" w:rsidR="00670FD4" w:rsidRPr="00B30FA0" w:rsidRDefault="00670FD4" w:rsidP="001925BA">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8AEB876" w14:textId="77777777" w:rsidR="00670FD4" w:rsidRPr="00B30FA0" w:rsidRDefault="00670FD4" w:rsidP="001925BA">
            <w:pPr>
              <w:spacing w:after="0" w:line="240" w:lineRule="auto"/>
              <w:ind w:firstLine="0"/>
              <w:rPr>
                <w:rFonts w:eastAsia="Times New Roman" w:cs="Times New Roman"/>
                <w:sz w:val="20"/>
                <w:szCs w:val="20"/>
              </w:rPr>
            </w:pPr>
          </w:p>
        </w:tc>
      </w:tr>
    </w:tbl>
    <w:p w14:paraId="44A3CF5B" w14:textId="77777777" w:rsidR="00670FD4" w:rsidRDefault="00670FD4" w:rsidP="00670FD4">
      <w:pPr>
        <w:tabs>
          <w:tab w:val="left" w:pos="1620"/>
        </w:tabs>
        <w:spacing w:before="0"/>
        <w:ind w:firstLine="0"/>
        <w:rPr>
          <w:rFonts w:eastAsia="Times New Roman" w:cs="Times New Roman"/>
        </w:rPr>
        <w:sectPr w:rsidR="00670FD4" w:rsidSect="00670FD4">
          <w:pgSz w:w="16838" w:h="11906" w:orient="landscape"/>
          <w:pgMar w:top="1440" w:right="1440" w:bottom="1440" w:left="1440" w:header="0" w:footer="0" w:gutter="0"/>
          <w:cols w:space="708"/>
          <w:docGrid w:linePitch="326"/>
        </w:sectPr>
      </w:pPr>
    </w:p>
    <w:p w14:paraId="5B56BA3D" w14:textId="77777777" w:rsidR="00670FD4" w:rsidRDefault="00670FD4" w:rsidP="00670FD4">
      <w:pPr>
        <w:pStyle w:val="Heading2"/>
      </w:pPr>
      <w:bookmarkStart w:id="160" w:name="_Toc171084867"/>
      <w:r w:rsidRPr="00BA1C09">
        <w:lastRenderedPageBreak/>
        <w:t>Bibliografie</w:t>
      </w:r>
      <w:bookmarkEnd w:id="160"/>
    </w:p>
    <w:p w14:paraId="29338A62" w14:textId="77777777" w:rsidR="00670FD4" w:rsidRPr="005D522F" w:rsidRDefault="00670FD4" w:rsidP="00670FD4">
      <w:pPr>
        <w:rPr>
          <w:lang w:val="ro-RO" w:eastAsia="en-GB"/>
        </w:rPr>
      </w:pPr>
    </w:p>
    <w:p w14:paraId="39508B5F" w14:textId="77777777" w:rsidR="00670FD4" w:rsidRDefault="00670FD4" w:rsidP="00670FD4">
      <w:pPr>
        <w:pStyle w:val="ListParagraph"/>
        <w:numPr>
          <w:ilvl w:val="3"/>
          <w:numId w:val="3"/>
        </w:numPr>
        <w:spacing w:before="0"/>
        <w:ind w:left="992" w:hanging="357"/>
        <w:rPr>
          <w:lang w:val="ro-RO"/>
        </w:rPr>
      </w:pPr>
      <w:r w:rsidRPr="00B30FA0">
        <w:rPr>
          <w:lang w:val="ro-RO"/>
        </w:rPr>
        <w:t>ABADL (2021) Planul naţional de management actualizat aferent porţiunii din bazinul hidrografic internaţional al fluviului Dunărea care este cuprinsă în teritoriul României Planul de management actualizat al fluviului Dunărea, Deltei Dunării, spațiului hidrografic Dobrogea și apelor costiere, aprobat prin HG nr. 392/2023.</w:t>
      </w:r>
    </w:p>
    <w:p w14:paraId="61FF9713" w14:textId="77777777" w:rsidR="00670FD4" w:rsidRDefault="00670FD4" w:rsidP="00670FD4">
      <w:pPr>
        <w:pStyle w:val="ListParagraph"/>
        <w:numPr>
          <w:ilvl w:val="3"/>
          <w:numId w:val="3"/>
        </w:numPr>
        <w:spacing w:before="0"/>
        <w:ind w:left="992" w:hanging="357"/>
        <w:rPr>
          <w:lang w:val="ro-RO"/>
        </w:rPr>
      </w:pPr>
      <w:r w:rsidRPr="00B30FA0">
        <w:rPr>
          <w:lang w:val="ro-RO"/>
        </w:rPr>
        <w:t>ANEMONE Deliverable 2.2. (2021). Impact of the rivers on the Black Sea ecosystem", Lazăr L. [Ed.], Ed. CD PRESS, 167 pp.</w:t>
      </w:r>
    </w:p>
    <w:p w14:paraId="25538C65" w14:textId="77777777" w:rsidR="00670FD4" w:rsidRDefault="00670FD4" w:rsidP="00670FD4">
      <w:pPr>
        <w:pStyle w:val="ListParagraph"/>
        <w:numPr>
          <w:ilvl w:val="3"/>
          <w:numId w:val="3"/>
        </w:numPr>
        <w:spacing w:before="0"/>
        <w:ind w:left="992" w:hanging="357"/>
        <w:rPr>
          <w:lang w:val="ro-RO"/>
        </w:rPr>
      </w:pPr>
      <w:r w:rsidRPr="00B30FA0">
        <w:rPr>
          <w:lang w:val="ro-RO"/>
        </w:rPr>
        <w:t>ARBDD. (2022). Raportul privind starea mediului în Rezervația Biosferei Delta Dunării în anul 2021. pp.97</w:t>
      </w:r>
    </w:p>
    <w:p w14:paraId="113DC607" w14:textId="77777777" w:rsidR="00670FD4" w:rsidRDefault="00670FD4" w:rsidP="00670FD4">
      <w:pPr>
        <w:pStyle w:val="ListParagraph"/>
        <w:numPr>
          <w:ilvl w:val="3"/>
          <w:numId w:val="3"/>
        </w:numPr>
        <w:spacing w:before="0"/>
        <w:ind w:left="992" w:hanging="357"/>
        <w:rPr>
          <w:lang w:val="ro-RO"/>
        </w:rPr>
      </w:pPr>
      <w:r w:rsidRPr="00B30FA0">
        <w:rPr>
          <w:lang w:val="ro-RO"/>
        </w:rPr>
        <w:t>Boicenco L. și colab. (2018). Raportul național privind starea ecologică a ecosistemului marin Marea Neagră conform cerinţelor art. 17 ale Directivei Cadru Strategia pentru mediul marin (2008/56/EC), pp. 328.</w:t>
      </w:r>
    </w:p>
    <w:p w14:paraId="09E2AB06" w14:textId="77777777" w:rsidR="00670FD4" w:rsidRDefault="00670FD4" w:rsidP="00670FD4">
      <w:pPr>
        <w:pStyle w:val="ListParagraph"/>
        <w:numPr>
          <w:ilvl w:val="3"/>
          <w:numId w:val="3"/>
        </w:numPr>
        <w:spacing w:before="0"/>
        <w:ind w:left="992" w:hanging="357"/>
        <w:rPr>
          <w:lang w:val="ro-RO"/>
        </w:rPr>
      </w:pPr>
      <w:r w:rsidRPr="00B30FA0">
        <w:rPr>
          <w:lang w:val="ro-RO"/>
        </w:rPr>
        <w:t>Boicenco L., Abaza V., Anton E., Bișinicu E,. Buga L., Coatu V., Damir N,. Diaconeasa D., Dumitrache C., Filimon A., Galațchi M., Golumbeanu M., Harcotă G., Lazăr L., Marin O., Mateescu R., Maximov V., Mihailov E., Nenciu M., Nicolaev S., Niță V., Oros A., Pantea E., Radu G., Spinu A., Stoica E., Tabarcea C., Timofte F, Țiganov G., Țoțoiu A, Vlas O., Vlăsceanu E., Zaharia T. (2018). Studiu privind elaborarea raportului privind starea ecologică a ecosistemului marin Marea Neagră conform cerinţelor art. 17 ale Directivei Cadru Strategia pentru mediul marin (2008/56/EC), pp 331</w:t>
      </w:r>
    </w:p>
    <w:p w14:paraId="57C7CCA9" w14:textId="77777777" w:rsidR="00670FD4" w:rsidRDefault="00670FD4" w:rsidP="00670FD4">
      <w:pPr>
        <w:pStyle w:val="ListParagraph"/>
        <w:numPr>
          <w:ilvl w:val="3"/>
          <w:numId w:val="3"/>
        </w:numPr>
        <w:spacing w:before="0"/>
        <w:ind w:left="992" w:hanging="357"/>
        <w:rPr>
          <w:lang w:val="ro-RO"/>
        </w:rPr>
      </w:pPr>
      <w:r w:rsidRPr="00B30FA0">
        <w:rPr>
          <w:lang w:val="ro-RO"/>
        </w:rPr>
        <w:t>BS-SAP. 2009. Strategic Action Plan for the Environmental Protection and Rehabilitation of the Black Sea. Adopted in Sofia, Bulgaria, 07 April 2009. (http://www.blacksea-commission.org/_bssap2009.asp)</w:t>
      </w:r>
    </w:p>
    <w:p w14:paraId="2703542D" w14:textId="77777777" w:rsidR="00670FD4" w:rsidRPr="00B30FA0" w:rsidRDefault="00670FD4" w:rsidP="00670FD4">
      <w:pPr>
        <w:pStyle w:val="ListParagraph"/>
        <w:numPr>
          <w:ilvl w:val="3"/>
          <w:numId w:val="3"/>
        </w:numPr>
        <w:spacing w:before="0"/>
        <w:ind w:left="992" w:hanging="357"/>
        <w:rPr>
          <w:lang w:val="ro-RO"/>
        </w:rPr>
      </w:pPr>
      <w:r w:rsidRPr="00B30FA0">
        <w:rPr>
          <w:rFonts w:eastAsia="Times New Roman" w:cs="Times New Roman"/>
          <w:color w:val="000000"/>
        </w:rPr>
        <w:t xml:space="preserve">Chiriac, M. (1960). </w:t>
      </w:r>
      <w:r w:rsidRPr="00B30FA0">
        <w:rPr>
          <w:rFonts w:eastAsia="Times New Roman" w:cs="Times New Roman"/>
        </w:rPr>
        <w:t>Notă</w:t>
      </w:r>
      <w:r w:rsidRPr="00B30FA0">
        <w:rPr>
          <w:rFonts w:eastAsia="Times New Roman" w:cs="Times New Roman"/>
          <w:color w:val="000000"/>
        </w:rPr>
        <w:t xml:space="preserve"> asupra depozitelor </w:t>
      </w:r>
      <w:r w:rsidRPr="00B30FA0">
        <w:rPr>
          <w:rFonts w:eastAsia="Times New Roman" w:cs="Times New Roman"/>
        </w:rPr>
        <w:t>sarmațiene</w:t>
      </w:r>
      <w:r w:rsidRPr="00B30FA0">
        <w:rPr>
          <w:rFonts w:eastAsia="Times New Roman" w:cs="Times New Roman"/>
          <w:color w:val="000000"/>
        </w:rPr>
        <w:t xml:space="preserve"> din Dobrogea, Com. Acad. R.P.R., 7X, 613 - 623.</w:t>
      </w:r>
    </w:p>
    <w:p w14:paraId="45C10196" w14:textId="77777777" w:rsidR="00670FD4" w:rsidRPr="00B30FA0" w:rsidRDefault="00670FD4" w:rsidP="00670FD4">
      <w:pPr>
        <w:pStyle w:val="ListParagraph"/>
        <w:numPr>
          <w:ilvl w:val="3"/>
          <w:numId w:val="3"/>
        </w:numPr>
        <w:spacing w:before="0"/>
        <w:ind w:left="992" w:hanging="357"/>
        <w:rPr>
          <w:lang w:val="ro-RO"/>
        </w:rPr>
      </w:pPr>
      <w:r w:rsidRPr="00B30FA0">
        <w:rPr>
          <w:rFonts w:eastAsia="Times New Roman" w:cs="Times New Roman"/>
          <w:color w:val="000000"/>
        </w:rPr>
        <w:t>CN APM. (2015). Master Plan al Portului Constanța. Contract nr. 4122, din 03.02.2014</w:t>
      </w:r>
    </w:p>
    <w:p w14:paraId="1866BD06" w14:textId="77777777" w:rsidR="00670FD4" w:rsidRPr="00B30FA0" w:rsidRDefault="00670FD4" w:rsidP="00670FD4">
      <w:pPr>
        <w:pStyle w:val="ListParagraph"/>
        <w:numPr>
          <w:ilvl w:val="3"/>
          <w:numId w:val="3"/>
        </w:numPr>
        <w:spacing w:before="0"/>
        <w:ind w:left="992" w:hanging="357"/>
        <w:rPr>
          <w:lang w:val="ro-RO"/>
        </w:rPr>
      </w:pPr>
      <w:r w:rsidRPr="00B30FA0">
        <w:rPr>
          <w:rFonts w:eastAsia="Times New Roman" w:cs="Times New Roman"/>
          <w:color w:val="000000"/>
        </w:rPr>
        <w:t>Commission of the European Communities. 2001. European Governance, A White Paper COM (2001), 428 final</w:t>
      </w:r>
    </w:p>
    <w:p w14:paraId="386E4760" w14:textId="77777777" w:rsidR="00670FD4" w:rsidRPr="00B30FA0" w:rsidRDefault="00670FD4" w:rsidP="00670FD4">
      <w:pPr>
        <w:pStyle w:val="ListParagraph"/>
        <w:numPr>
          <w:ilvl w:val="3"/>
          <w:numId w:val="3"/>
        </w:numPr>
        <w:spacing w:before="0"/>
        <w:ind w:left="992" w:hanging="357"/>
        <w:rPr>
          <w:lang w:val="ro-RO"/>
        </w:rPr>
      </w:pPr>
      <w:r w:rsidRPr="00B30FA0">
        <w:rPr>
          <w:rFonts w:eastAsia="Times New Roman" w:cs="Times New Roman"/>
          <w:color w:val="000000"/>
        </w:rPr>
        <w:t>Consiliul Județean Constanța. (2021). Strategia Județeană de dezvoltare durabilă a județului Constanța 2021-2027. Proiect „Soluții administrative moderne – dezvoltarea și implementarea de proceduri și mecanisme simplificate în sprijinul cetățenilor în cadrul Consiliului Județean Tulcea” cod SIPOCA 686, cod MYSMIS 129688</w:t>
      </w:r>
    </w:p>
    <w:p w14:paraId="79B5108D" w14:textId="77777777" w:rsidR="00670FD4" w:rsidRPr="00B30FA0" w:rsidRDefault="00670FD4" w:rsidP="00670FD4">
      <w:pPr>
        <w:pStyle w:val="ListParagraph"/>
        <w:numPr>
          <w:ilvl w:val="3"/>
          <w:numId w:val="3"/>
        </w:numPr>
        <w:spacing w:before="0"/>
        <w:ind w:left="992" w:hanging="357"/>
        <w:rPr>
          <w:lang w:val="ro-RO"/>
        </w:rPr>
      </w:pPr>
      <w:r w:rsidRPr="00B30FA0">
        <w:rPr>
          <w:rFonts w:eastAsia="Times New Roman" w:cs="Times New Roman"/>
          <w:color w:val="000000"/>
        </w:rPr>
        <w:t>Consiliul Județean Tulcea. (2021). Strategia Județeană de dezvoltare durabilă a județului Tulcea 2021 - 2027. Proiect „Soluții administrative moderne – dezvoltarea și implementarea de proceduri și mecanisme simplificate în sprijinul cetățenilor în cadrul Consiliului Județean Tulcea” cod SIPOCA 686, cod MYSMIS 129688</w:t>
      </w:r>
    </w:p>
    <w:p w14:paraId="3248F9E5" w14:textId="77777777" w:rsidR="00670FD4" w:rsidRDefault="00670FD4" w:rsidP="00670FD4">
      <w:pPr>
        <w:pStyle w:val="ListParagraph"/>
        <w:numPr>
          <w:ilvl w:val="3"/>
          <w:numId w:val="3"/>
        </w:numPr>
        <w:spacing w:before="0"/>
        <w:ind w:left="992" w:hanging="357"/>
        <w:rPr>
          <w:lang w:val="ro-RO"/>
        </w:rPr>
      </w:pPr>
      <w:r w:rsidRPr="00B30FA0">
        <w:rPr>
          <w:lang w:val="ro-RO"/>
        </w:rPr>
        <w:t xml:space="preserve">D'Andrimont, R., Verhegghen, A., Lemoine, G., Kempeneers, P., Meroni, M. and Van Der Velde, M., (2021). From parcel to continental scale - A first European crop type map based on Sentinel-1 and LUCAS Copernicus in-situ observations, </w:t>
      </w:r>
      <w:r w:rsidRPr="00B30FA0">
        <w:rPr>
          <w:lang w:val="ro-RO"/>
        </w:rPr>
        <w:lastRenderedPageBreak/>
        <w:t>REMOTE SENSING OF ENVIRONMENT, ISSN 0034-4257 (online), 112708 (266), 2021, p. 112708, JRC125369.</w:t>
      </w:r>
    </w:p>
    <w:p w14:paraId="34A785A8" w14:textId="77777777" w:rsidR="00670FD4" w:rsidRPr="00B30FA0" w:rsidRDefault="00670FD4" w:rsidP="00670FD4">
      <w:pPr>
        <w:pStyle w:val="ListParagraph"/>
        <w:numPr>
          <w:ilvl w:val="3"/>
          <w:numId w:val="3"/>
        </w:numPr>
        <w:spacing w:before="0"/>
        <w:ind w:left="992" w:hanging="357"/>
        <w:rPr>
          <w:lang w:val="ro-RO"/>
        </w:rPr>
      </w:pPr>
      <w:r w:rsidRPr="00B30FA0">
        <w:rPr>
          <w:rFonts w:eastAsia="Times New Roman" w:cs="Times New Roman"/>
          <w:color w:val="000000"/>
        </w:rPr>
        <w:t>Drăgănescu, A. (1976). Constructional to Corpuscular Spongalgal, Algal and Coralgal Facies in the Upper Jurasic Carbanate Formation of Central Dobrogea (the Casimcea Formation), in: Carbonate Rocks and Evaporites Guidebook, Patrulius, D. și colab.. Inst. Geolog., 13-42.</w:t>
      </w:r>
    </w:p>
    <w:p w14:paraId="19BF521A" w14:textId="77777777" w:rsidR="00670FD4" w:rsidRPr="00B30FA0" w:rsidRDefault="00670FD4" w:rsidP="00670FD4">
      <w:pPr>
        <w:pStyle w:val="ListParagraph"/>
        <w:numPr>
          <w:ilvl w:val="3"/>
          <w:numId w:val="3"/>
        </w:numPr>
        <w:spacing w:before="0"/>
        <w:ind w:left="992" w:hanging="357"/>
        <w:rPr>
          <w:lang w:val="ro-RO"/>
        </w:rPr>
      </w:pPr>
      <w:r w:rsidRPr="00B30FA0">
        <w:rPr>
          <w:rFonts w:eastAsia="Times New Roman" w:cs="Times New Roman"/>
          <w:color w:val="000000"/>
        </w:rPr>
        <w:t>Direcția județeană de Statistică, Constanța, Capacitatea de cazare turistică și utilizarea acesteia pe localități, 2021</w:t>
      </w:r>
    </w:p>
    <w:p w14:paraId="5BBD81A4" w14:textId="77777777" w:rsidR="00670FD4" w:rsidRPr="00B30FA0" w:rsidRDefault="00670FD4" w:rsidP="00670FD4">
      <w:pPr>
        <w:pStyle w:val="ListParagraph"/>
        <w:numPr>
          <w:ilvl w:val="3"/>
          <w:numId w:val="3"/>
        </w:numPr>
        <w:spacing w:before="0"/>
        <w:ind w:left="992" w:hanging="357"/>
        <w:rPr>
          <w:lang w:val="ro-RO"/>
        </w:rPr>
      </w:pPr>
      <w:r w:rsidRPr="00B30FA0">
        <w:rPr>
          <w:rFonts w:eastAsia="Times New Roman" w:cs="Times New Roman"/>
          <w:color w:val="000000"/>
        </w:rPr>
        <w:t>European Commission. (1999). Towards a European Integrated Coastal Zone Management (ICZM) Strategy: General Principles and Policy Options. Luxembourg: Office for Official Publications of the European Communities, 32 pp. ISBN 92-828-6463-4.</w:t>
      </w:r>
    </w:p>
    <w:p w14:paraId="10235463" w14:textId="77777777" w:rsidR="00670FD4" w:rsidRDefault="00670FD4" w:rsidP="00670FD4">
      <w:pPr>
        <w:pStyle w:val="ListParagraph"/>
        <w:numPr>
          <w:ilvl w:val="3"/>
          <w:numId w:val="3"/>
        </w:numPr>
        <w:spacing w:before="0"/>
        <w:ind w:left="992" w:hanging="357"/>
        <w:rPr>
          <w:lang w:val="ro-RO"/>
        </w:rPr>
      </w:pPr>
      <w:r w:rsidRPr="00B30FA0">
        <w:rPr>
          <w:lang w:val="ro-RO"/>
        </w:rPr>
        <w:t>Făgăraş, M., Gomoiu, M.T., Jianu, L., Skolka, M., Anastasiu, P., Cogălniceanu, D., (2008). Strategia privind conservarea biodiversității costiere a Dobrogei, Edit. Ex Ponto, Constanţa, 91 pp., ISBN 978-973-644-841-6.</w:t>
      </w:r>
    </w:p>
    <w:p w14:paraId="36690B58" w14:textId="77777777" w:rsidR="00670FD4" w:rsidRDefault="00670FD4" w:rsidP="00670FD4">
      <w:pPr>
        <w:pStyle w:val="ListParagraph"/>
        <w:numPr>
          <w:ilvl w:val="3"/>
          <w:numId w:val="3"/>
        </w:numPr>
        <w:spacing w:before="0"/>
        <w:ind w:left="992" w:hanging="357"/>
        <w:rPr>
          <w:lang w:val="ro-RO"/>
        </w:rPr>
      </w:pPr>
      <w:r w:rsidRPr="00B30FA0">
        <w:rPr>
          <w:lang w:val="ro-RO"/>
        </w:rPr>
        <w:t>Gomoiu, M.-T., Skolka, M. (1998). Evaluation of marine and coastal biological diversity at the Romanian littoral – a workbook for the Black Sea ecological diversity, “Ovidius” University Annals of Natural Science, Biology-Ecology series, Vol. 2, Supl., 167 pp, ISSN 1453 – 1267.</w:t>
      </w:r>
    </w:p>
    <w:p w14:paraId="76E4FD57" w14:textId="77777777" w:rsidR="00670FD4" w:rsidRDefault="00670FD4" w:rsidP="00670FD4">
      <w:pPr>
        <w:pStyle w:val="ListParagraph"/>
        <w:numPr>
          <w:ilvl w:val="3"/>
          <w:numId w:val="3"/>
        </w:numPr>
        <w:spacing w:before="0"/>
        <w:ind w:left="992" w:hanging="357"/>
        <w:rPr>
          <w:lang w:val="ro-RO"/>
        </w:rPr>
      </w:pPr>
      <w:r w:rsidRPr="00B30FA0">
        <w:rPr>
          <w:lang w:val="ro-RO"/>
        </w:rPr>
        <w:t>INCDM. (2021). Raport privind starea mediului marin şi costier în anul 2020, … pp.</w:t>
      </w:r>
    </w:p>
    <w:p w14:paraId="49D7F2A8" w14:textId="77777777" w:rsidR="00670FD4" w:rsidRDefault="00670FD4" w:rsidP="00670FD4">
      <w:pPr>
        <w:pStyle w:val="ListParagraph"/>
        <w:numPr>
          <w:ilvl w:val="3"/>
          <w:numId w:val="3"/>
        </w:numPr>
        <w:spacing w:before="0"/>
        <w:ind w:left="992" w:hanging="357"/>
        <w:rPr>
          <w:lang w:val="ro-RO"/>
        </w:rPr>
      </w:pPr>
      <w:r w:rsidRPr="00B30FA0">
        <w:rPr>
          <w:lang w:val="ro-RO"/>
        </w:rPr>
        <w:t>INCDM. (2022). Raport privind starea mediului marin şi costier în anul 2021, 159 pp.</w:t>
      </w:r>
    </w:p>
    <w:p w14:paraId="7C850134" w14:textId="77777777" w:rsidR="00670FD4" w:rsidRDefault="00670FD4" w:rsidP="00670FD4">
      <w:pPr>
        <w:pStyle w:val="ListParagraph"/>
        <w:numPr>
          <w:ilvl w:val="3"/>
          <w:numId w:val="3"/>
        </w:numPr>
        <w:spacing w:before="0"/>
        <w:ind w:left="992" w:hanging="357"/>
        <w:rPr>
          <w:lang w:val="ro-RO"/>
        </w:rPr>
      </w:pPr>
      <w:r w:rsidRPr="00B30FA0">
        <w:rPr>
          <w:lang w:val="ro-RO"/>
        </w:rPr>
        <w:t>Inspectoratul pentru Situații de Urgență „DOBROGEA” al județului Constanța. (2018). Planul de Analiză şi Acoperire a Riscurilor al judeţului Constanţa – ediţia 2018, 315 pp.</w:t>
      </w:r>
    </w:p>
    <w:p w14:paraId="158C107E" w14:textId="77777777" w:rsidR="00670FD4" w:rsidRDefault="00670FD4" w:rsidP="00670FD4">
      <w:pPr>
        <w:pStyle w:val="ListParagraph"/>
        <w:numPr>
          <w:ilvl w:val="3"/>
          <w:numId w:val="3"/>
        </w:numPr>
        <w:spacing w:before="0"/>
        <w:ind w:left="992" w:hanging="357"/>
        <w:rPr>
          <w:lang w:val="ro-RO"/>
        </w:rPr>
      </w:pPr>
      <w:r w:rsidRPr="00B30FA0">
        <w:rPr>
          <w:lang w:val="ro-RO"/>
        </w:rPr>
        <w:t xml:space="preserve">Institutul Național de Statistică (I.N.S.) (2023). Tempo online. http://statistici.insse.ro/shop/index.jsp?page=tempo2&amp;lang=ro&amp;context=63 </w:t>
      </w:r>
    </w:p>
    <w:p w14:paraId="39617B21" w14:textId="77777777" w:rsidR="00670FD4" w:rsidRDefault="00670FD4" w:rsidP="00670FD4">
      <w:pPr>
        <w:pStyle w:val="ListParagraph"/>
        <w:numPr>
          <w:ilvl w:val="3"/>
          <w:numId w:val="3"/>
        </w:numPr>
        <w:spacing w:before="0"/>
        <w:ind w:left="992" w:hanging="357"/>
        <w:rPr>
          <w:lang w:val="ro-RO"/>
        </w:rPr>
      </w:pPr>
      <w:r w:rsidRPr="00B30FA0">
        <w:rPr>
          <w:lang w:val="ro-RO"/>
        </w:rPr>
        <w:t xml:space="preserve">IOC-UNESCO. 2006. A Handbook for measuring the progress and outcomes of integrated coastal and ocean management. IOC Manuals and guides, 46; ICAM Dossier, 2, Paris, UNESCO http://unesdoc.unesco.org/images/0014/001473/147313e.pdf </w:t>
      </w:r>
    </w:p>
    <w:p w14:paraId="6BBD7428" w14:textId="77777777" w:rsidR="00670FD4" w:rsidRDefault="00670FD4" w:rsidP="00670FD4">
      <w:pPr>
        <w:pStyle w:val="ListParagraph"/>
        <w:numPr>
          <w:ilvl w:val="3"/>
          <w:numId w:val="3"/>
        </w:numPr>
        <w:spacing w:before="0"/>
        <w:ind w:left="992" w:hanging="357"/>
        <w:rPr>
          <w:lang w:val="ro-RO"/>
        </w:rPr>
      </w:pPr>
      <w:r w:rsidRPr="00B30FA0">
        <w:rPr>
          <w:lang w:val="ro-RO"/>
        </w:rPr>
        <w:t xml:space="preserve">Iosipescu, R., Iosipescu, S. (2013). La protection du patrimoine culturel subaquatique en Roumanie. Quelques remarques préliminaires, în The Institute of Turcology and Central Asian Studies, Contemporary Researches in Turcology and eurasian Studies, In Honor of professor Tahsin Gemil the occasion of his 70th Birthday, Cluj, p. 903-918 </w:t>
      </w:r>
    </w:p>
    <w:p w14:paraId="5E1E1432" w14:textId="77777777" w:rsidR="00670FD4" w:rsidRDefault="00670FD4" w:rsidP="00670FD4">
      <w:pPr>
        <w:pStyle w:val="ListParagraph"/>
        <w:numPr>
          <w:ilvl w:val="3"/>
          <w:numId w:val="3"/>
        </w:numPr>
        <w:spacing w:before="0"/>
        <w:ind w:left="992" w:hanging="357"/>
        <w:rPr>
          <w:lang w:val="ro-RO"/>
        </w:rPr>
      </w:pPr>
      <w:r w:rsidRPr="00B30FA0">
        <w:rPr>
          <w:lang w:val="ro-RO"/>
        </w:rPr>
        <w:t>Ketchum, B.H (Ed). (1972) The water's edge: critical problems of the coastal zone. The MIT Press, Cambridge, Massachusetts.</w:t>
      </w:r>
    </w:p>
    <w:p w14:paraId="42F9B122" w14:textId="77777777" w:rsidR="00670FD4" w:rsidRDefault="00670FD4" w:rsidP="00670FD4">
      <w:pPr>
        <w:pStyle w:val="ListParagraph"/>
        <w:numPr>
          <w:ilvl w:val="3"/>
          <w:numId w:val="3"/>
        </w:numPr>
        <w:spacing w:before="0"/>
        <w:ind w:left="992" w:hanging="357"/>
        <w:rPr>
          <w:lang w:val="ro-RO"/>
        </w:rPr>
      </w:pPr>
      <w:r w:rsidRPr="00B30FA0">
        <w:rPr>
          <w:lang w:val="ro-RO"/>
        </w:rPr>
        <w:t>KMG International NV, Rompetrol Rafinare SA, Rompetrol Well Services SA, Rominserv SRL. (2021). Raport de Sustenabilitate. www.rompetrol.com/ro/sustenavilitate/</w:t>
      </w:r>
    </w:p>
    <w:p w14:paraId="000D3F92" w14:textId="77777777" w:rsidR="00670FD4" w:rsidRDefault="00670FD4" w:rsidP="00670FD4">
      <w:pPr>
        <w:pStyle w:val="ListParagraph"/>
        <w:numPr>
          <w:ilvl w:val="3"/>
          <w:numId w:val="3"/>
        </w:numPr>
        <w:spacing w:before="0"/>
        <w:ind w:left="992" w:hanging="357"/>
        <w:rPr>
          <w:lang w:val="ro-RO"/>
        </w:rPr>
      </w:pPr>
      <w:r w:rsidRPr="00B30FA0">
        <w:rPr>
          <w:lang w:val="ro-RO"/>
        </w:rPr>
        <w:t xml:space="preserve">Ministerul Antreprenorialului și Turismului-MAT, Lista localităților atestate ca stațiuni turistice de interes național și local, actualizare 16.01.2023 https://turism.gov.ro/web/wp-content/uploads/2023/01/Lista-statiuni-ian-2023.pdf </w:t>
      </w:r>
    </w:p>
    <w:p w14:paraId="174C6BD4" w14:textId="77777777" w:rsidR="00670FD4" w:rsidRDefault="00670FD4" w:rsidP="00670FD4">
      <w:pPr>
        <w:pStyle w:val="ListParagraph"/>
        <w:numPr>
          <w:ilvl w:val="3"/>
          <w:numId w:val="3"/>
        </w:numPr>
        <w:spacing w:before="0"/>
        <w:ind w:left="992" w:hanging="357"/>
        <w:rPr>
          <w:lang w:val="ro-RO"/>
        </w:rPr>
      </w:pPr>
      <w:r w:rsidRPr="00112D50">
        <w:rPr>
          <w:lang w:val="ro-RO"/>
        </w:rPr>
        <w:lastRenderedPageBreak/>
        <w:t>Ministerul Dezvoltării Regionale și Administrației Publice. (2014). Landscape Atlas, 104 pp.</w:t>
      </w:r>
    </w:p>
    <w:p w14:paraId="69D168CD" w14:textId="77777777" w:rsidR="00670FD4" w:rsidRDefault="00670FD4" w:rsidP="00670FD4">
      <w:pPr>
        <w:pStyle w:val="ListParagraph"/>
        <w:numPr>
          <w:ilvl w:val="3"/>
          <w:numId w:val="3"/>
        </w:numPr>
        <w:spacing w:before="0"/>
        <w:ind w:left="992" w:hanging="357"/>
        <w:rPr>
          <w:lang w:val="ro-RO"/>
        </w:rPr>
      </w:pPr>
      <w:r w:rsidRPr="00112D50">
        <w:rPr>
          <w:lang w:val="ro-RO"/>
        </w:rPr>
        <w:t xml:space="preserve">MSFD Technical Subgroup on Marine Litter. (2013). A guidance document within the Common Implementation Strategy for the Marine Strategy Framework Directive. Luxembourg: Publications Office of the European Union, 2013. doi:10.2788/99475 </w:t>
      </w:r>
    </w:p>
    <w:p w14:paraId="21AE5E3B" w14:textId="77777777" w:rsidR="00670FD4" w:rsidRDefault="00670FD4" w:rsidP="00670FD4">
      <w:pPr>
        <w:pStyle w:val="ListParagraph"/>
        <w:numPr>
          <w:ilvl w:val="3"/>
          <w:numId w:val="3"/>
        </w:numPr>
        <w:spacing w:before="0"/>
        <w:ind w:left="992" w:hanging="357"/>
        <w:rPr>
          <w:lang w:val="ro-RO"/>
        </w:rPr>
      </w:pPr>
      <w:r w:rsidRPr="00112D50">
        <w:rPr>
          <w:lang w:val="ro-RO"/>
        </w:rPr>
        <w:t>Murgoci, G. (1914). Cercetări geologice în Dobrogea nordică cu privire specială asupra Paleozoicului și tectonicei. An. Inst. Geol. Rom., V, 2, București.</w:t>
      </w:r>
    </w:p>
    <w:p w14:paraId="3961B1F6" w14:textId="77777777" w:rsidR="00670FD4" w:rsidRDefault="00670FD4" w:rsidP="00670FD4">
      <w:pPr>
        <w:pStyle w:val="ListParagraph"/>
        <w:numPr>
          <w:ilvl w:val="3"/>
          <w:numId w:val="3"/>
        </w:numPr>
        <w:spacing w:before="0"/>
        <w:ind w:left="992" w:hanging="357"/>
        <w:rPr>
          <w:lang w:val="ro-RO"/>
        </w:rPr>
      </w:pPr>
      <w:r w:rsidRPr="00112D50">
        <w:rPr>
          <w:lang w:val="ro-RO"/>
        </w:rPr>
        <w:t>Mutihac, V. 2007. Geologie României. editura Didactică și Pedagogică, București, 252 pp.</w:t>
      </w:r>
    </w:p>
    <w:p w14:paraId="73F4EA81" w14:textId="77777777" w:rsidR="00670FD4" w:rsidRDefault="00670FD4" w:rsidP="00670FD4">
      <w:pPr>
        <w:pStyle w:val="ListParagraph"/>
        <w:numPr>
          <w:ilvl w:val="3"/>
          <w:numId w:val="3"/>
        </w:numPr>
        <w:spacing w:before="0"/>
        <w:ind w:left="992" w:hanging="357"/>
        <w:rPr>
          <w:lang w:val="ro-RO"/>
        </w:rPr>
      </w:pPr>
      <w:r w:rsidRPr="00112D50">
        <w:rPr>
          <w:lang w:val="ro-RO"/>
        </w:rPr>
        <w:t>Panin N. (1989). Danube Delta. Genesis, evolution and sedimentology. Revue Roumaine Géologie, Géophysique, Géographie, Série Géographie, 33, 25-36.</w:t>
      </w:r>
    </w:p>
    <w:p w14:paraId="15D5434A" w14:textId="77777777" w:rsidR="00670FD4" w:rsidRPr="00112D50" w:rsidRDefault="00670FD4" w:rsidP="00670FD4">
      <w:pPr>
        <w:pStyle w:val="ListParagraph"/>
        <w:numPr>
          <w:ilvl w:val="3"/>
          <w:numId w:val="3"/>
        </w:numPr>
        <w:spacing w:before="0"/>
        <w:ind w:left="992" w:hanging="357"/>
        <w:rPr>
          <w:lang w:val="ro-RO"/>
        </w:rPr>
      </w:pPr>
      <w:r w:rsidRPr="00112D50">
        <w:rPr>
          <w:lang w:val="ro-RO"/>
        </w:rPr>
        <w:t>Panin, N. 1996. Danube Delta. Genesis, evolution, geological setting and sedimentology. Geo-Eco-Marina, 1, 7-23</w:t>
      </w:r>
    </w:p>
    <w:p w14:paraId="31831B11" w14:textId="77777777" w:rsidR="00670FD4" w:rsidRDefault="00670FD4" w:rsidP="00670FD4">
      <w:pPr>
        <w:pStyle w:val="ListParagraph"/>
        <w:numPr>
          <w:ilvl w:val="3"/>
          <w:numId w:val="3"/>
        </w:numPr>
        <w:spacing w:before="0"/>
        <w:ind w:left="992" w:hanging="357"/>
        <w:rPr>
          <w:lang w:val="ro-RO"/>
        </w:rPr>
      </w:pPr>
      <w:r w:rsidRPr="00112D50">
        <w:rPr>
          <w:lang w:val="ro-RO"/>
        </w:rPr>
        <w:t>Petran A., Apas M., Bodeanu N., Bologa A. S., Dumitrache C., Moldoveanu M., Radu G., Ţigănuş V. (1999). Status and evolution of the Romanian Black Sea coastal ecosystem. Environmental degradation of the Black Sea: Challenges and Remedies. Kluwer Academic Publishers, 175- 195.</w:t>
      </w:r>
    </w:p>
    <w:p w14:paraId="0DB222F6" w14:textId="77777777" w:rsidR="00670FD4" w:rsidRDefault="00670FD4" w:rsidP="00670FD4">
      <w:pPr>
        <w:pStyle w:val="ListParagraph"/>
        <w:numPr>
          <w:ilvl w:val="3"/>
          <w:numId w:val="3"/>
        </w:numPr>
        <w:spacing w:before="0"/>
        <w:ind w:left="992" w:hanging="357"/>
        <w:rPr>
          <w:lang w:val="ro-RO"/>
        </w:rPr>
      </w:pPr>
      <w:r w:rsidRPr="00112D50">
        <w:rPr>
          <w:lang w:val="ro-RO"/>
        </w:rPr>
        <w:t>Planul de Management actualizat al fluviului Dunărea, Deltei Dunării, spațiului hidrografic Dobrogea (2022-2027), aprobat prin HG 392/2023, https://dobrogea-li</w:t>
      </w:r>
      <w:r>
        <w:rPr>
          <w:lang w:val="ro-RO"/>
        </w:rPr>
        <w:t xml:space="preserve">toral.rowater.ro/?page_id=469  </w:t>
      </w:r>
    </w:p>
    <w:p w14:paraId="05F3EB4C" w14:textId="77777777" w:rsidR="00670FD4" w:rsidRDefault="00670FD4" w:rsidP="00670FD4">
      <w:pPr>
        <w:pStyle w:val="ListParagraph"/>
        <w:numPr>
          <w:ilvl w:val="3"/>
          <w:numId w:val="3"/>
        </w:numPr>
        <w:spacing w:before="0"/>
        <w:ind w:left="992" w:hanging="357"/>
        <w:rPr>
          <w:lang w:val="ro-RO"/>
        </w:rPr>
      </w:pPr>
      <w:r w:rsidRPr="00112D50">
        <w:rPr>
          <w:lang w:val="ro-RO"/>
        </w:rPr>
        <w:t>Skolka M., Făgăraş M., Paraschiv G. (2005). Biodiversitatea Dobrogei, Ovidius University Pr</w:t>
      </w:r>
      <w:r>
        <w:rPr>
          <w:lang w:val="ro-RO"/>
        </w:rPr>
        <w:t>ess, 396 pp, ISBN 973-614-232-9</w:t>
      </w:r>
    </w:p>
    <w:p w14:paraId="7996715D" w14:textId="77777777" w:rsidR="00670FD4" w:rsidRPr="00112D50" w:rsidRDefault="00670FD4" w:rsidP="00670FD4">
      <w:pPr>
        <w:pStyle w:val="ListParagraph"/>
        <w:numPr>
          <w:ilvl w:val="3"/>
          <w:numId w:val="3"/>
        </w:numPr>
        <w:spacing w:before="0"/>
        <w:ind w:left="992" w:hanging="357"/>
        <w:rPr>
          <w:lang w:val="ro-RO"/>
        </w:rPr>
      </w:pPr>
      <w:r w:rsidRPr="00112D50">
        <w:rPr>
          <w:rFonts w:eastAsia="Times New Roman" w:cs="Times New Roman"/>
          <w:color w:val="000000"/>
        </w:rPr>
        <w:t>Teacă, A., Begun, T., Gomoiu, M.-T. (2013). Assessment of soft bottom mussel community structure on the Romanian Black Sea continental shelf. Rapp. Comm. Int. Mer Médit., 40. 628.</w:t>
      </w:r>
    </w:p>
    <w:p w14:paraId="1B87E3D0" w14:textId="77777777" w:rsidR="00670FD4" w:rsidRPr="00112D50" w:rsidRDefault="00670FD4" w:rsidP="00670FD4">
      <w:pPr>
        <w:pStyle w:val="ListParagraph"/>
        <w:numPr>
          <w:ilvl w:val="3"/>
          <w:numId w:val="3"/>
        </w:numPr>
        <w:spacing w:before="0"/>
        <w:ind w:left="992" w:hanging="357"/>
        <w:rPr>
          <w:lang w:val="ro-RO"/>
        </w:rPr>
      </w:pPr>
      <w:r w:rsidRPr="00112D50">
        <w:rPr>
          <w:rFonts w:eastAsia="Times New Roman" w:cs="Times New Roman"/>
          <w:color w:val="000000"/>
        </w:rPr>
        <w:t xml:space="preserve">Teacă, A., Begun, T., Muresan, M. (2021). Annelid invaders in the Black Sea region: The distribution of Streblospio gynobranchiata and first occurrence of Laonome xeprovala. Global Ecology and Conservation 32, DOI:10.1016/j.gecco.2021.e01920 </w:t>
      </w:r>
    </w:p>
    <w:p w14:paraId="473B731C" w14:textId="77777777" w:rsidR="00670FD4" w:rsidRDefault="00670FD4" w:rsidP="00670FD4">
      <w:pPr>
        <w:pStyle w:val="ListParagraph"/>
        <w:numPr>
          <w:ilvl w:val="3"/>
          <w:numId w:val="3"/>
        </w:numPr>
        <w:spacing w:before="0"/>
        <w:ind w:left="992" w:hanging="357"/>
        <w:rPr>
          <w:lang w:val="ro-RO"/>
        </w:rPr>
      </w:pPr>
      <w:r w:rsidRPr="00112D50">
        <w:rPr>
          <w:lang w:val="ro-RO"/>
        </w:rPr>
        <w:t>Tiron, L. (2010). Delta du Danube - Bras de St. George. Mobilite morphologique et dynamique hydro-sédimentaire depuis 150 ans. Geo-Eco-Marina. Special Publication no. 4, 280 pp.</w:t>
      </w:r>
    </w:p>
    <w:p w14:paraId="4EBBDD20" w14:textId="77777777" w:rsidR="00670FD4" w:rsidRDefault="00670FD4" w:rsidP="00670FD4">
      <w:pPr>
        <w:pStyle w:val="ListParagraph"/>
        <w:numPr>
          <w:ilvl w:val="3"/>
          <w:numId w:val="3"/>
        </w:numPr>
        <w:spacing w:before="0"/>
        <w:ind w:left="992" w:hanging="357"/>
        <w:rPr>
          <w:lang w:val="ro-RO"/>
        </w:rPr>
      </w:pPr>
      <w:r w:rsidRPr="00112D50">
        <w:rPr>
          <w:lang w:val="ro-RO"/>
        </w:rPr>
        <w:t>Tomlinson, D.L., Wilson, J.G., Harris, C.R., Jeffrey, D.W. 1980. Problems in the assessment of heavy-metal levels in estuaries and the formation of a pollution index. Helgoländer Meeresuntersuchungen, 33, 566–575.</w:t>
      </w:r>
    </w:p>
    <w:p w14:paraId="181EFA4E" w14:textId="77777777" w:rsidR="00670FD4" w:rsidRDefault="00670FD4" w:rsidP="00670FD4">
      <w:pPr>
        <w:pStyle w:val="ListParagraph"/>
        <w:numPr>
          <w:ilvl w:val="3"/>
          <w:numId w:val="3"/>
        </w:numPr>
        <w:spacing w:before="0"/>
        <w:ind w:left="992" w:hanging="357"/>
        <w:rPr>
          <w:lang w:val="ro-RO"/>
        </w:rPr>
      </w:pPr>
      <w:r w:rsidRPr="00112D50">
        <w:rPr>
          <w:lang w:val="ro-RO"/>
        </w:rPr>
        <w:t>Van Loon, W., Hanke, G., Fleet, D., Werner, S., Barry, J., Strand, J., Eriksson, J., Galgani, F., Gräwe, D., Schulz, M., Vlachogianni, T., Press, M., Blidberg, E., Walvoort, D. (2020). A European Threshold Value and Assessment Method for Macro Litter on Coastlines. Luxembourg, Publications Office of the European Union, 25pp. (EUR 30347 EN; JRC121707) DOI:10.2760/54369).</w:t>
      </w:r>
    </w:p>
    <w:p w14:paraId="77754877" w14:textId="77777777" w:rsidR="00670FD4" w:rsidRDefault="00670FD4" w:rsidP="00670FD4">
      <w:pPr>
        <w:pStyle w:val="ListParagraph"/>
        <w:numPr>
          <w:ilvl w:val="3"/>
          <w:numId w:val="3"/>
        </w:numPr>
        <w:spacing w:before="0"/>
        <w:ind w:left="992" w:hanging="357"/>
        <w:rPr>
          <w:lang w:val="ro-RO"/>
        </w:rPr>
      </w:pPr>
      <w:r w:rsidRPr="00112D50">
        <w:rPr>
          <w:lang w:val="ro-RO"/>
        </w:rPr>
        <w:t xml:space="preserve">Varenik, A., Konovalov, S., Stanichny, S. (2015). Quantifying importance and scaling effects of atmospheric deposition of inorganic fixed nitrogen for the eutrophic Black Sea, Biogeosciences, 12, 6479–6491, https://doi.org/10.5194/bg-12-6479-2015 </w:t>
      </w:r>
    </w:p>
    <w:p w14:paraId="6969FE08" w14:textId="77777777" w:rsidR="00670FD4" w:rsidRDefault="00670FD4" w:rsidP="00670FD4">
      <w:pPr>
        <w:pStyle w:val="ListParagraph"/>
        <w:numPr>
          <w:ilvl w:val="3"/>
          <w:numId w:val="3"/>
        </w:numPr>
        <w:spacing w:before="0"/>
        <w:ind w:left="992" w:hanging="357"/>
        <w:rPr>
          <w:lang w:val="ro-RO"/>
        </w:rPr>
      </w:pPr>
      <w:r w:rsidRPr="00112D50">
        <w:rPr>
          <w:lang w:val="ro-RO"/>
        </w:rPr>
        <w:lastRenderedPageBreak/>
        <w:t>Vasiliu, D., Bucșe, A., Lupașcu, N., Ispas, B.A., Gheablău, C., Stănescu I. (2020). Assessment of the metal pollution in surface sediments of coastal Tasaul Lake (Romania). Environmental Monitoring and Assessment, 192, 12.</w:t>
      </w:r>
    </w:p>
    <w:p w14:paraId="22435C0A" w14:textId="77777777" w:rsidR="00670FD4" w:rsidRDefault="00670FD4" w:rsidP="00670FD4">
      <w:pPr>
        <w:pStyle w:val="ListParagraph"/>
        <w:numPr>
          <w:ilvl w:val="3"/>
          <w:numId w:val="3"/>
        </w:numPr>
        <w:spacing w:before="0"/>
        <w:ind w:left="992" w:hanging="357"/>
        <w:rPr>
          <w:lang w:val="ro-RO"/>
        </w:rPr>
      </w:pPr>
      <w:r w:rsidRPr="00112D50">
        <w:rPr>
          <w:lang w:val="ro-RO"/>
        </w:rPr>
        <w:t>Zaharia, T., Niță, V., Nenciu, M.I. (2017). Background of Romanian Aquaculture (in Romanian). Bucharest, CD Press Publishing, ISBN 978-606-528-393-0, 273 pp.</w:t>
      </w:r>
    </w:p>
    <w:p w14:paraId="0D2EAB07" w14:textId="77777777" w:rsidR="00670FD4" w:rsidRDefault="00670FD4" w:rsidP="00670FD4">
      <w:pPr>
        <w:pStyle w:val="ListParagraph"/>
        <w:numPr>
          <w:ilvl w:val="3"/>
          <w:numId w:val="3"/>
        </w:numPr>
        <w:spacing w:before="0"/>
        <w:ind w:left="992" w:hanging="357"/>
        <w:rPr>
          <w:lang w:val="ro-RO"/>
        </w:rPr>
      </w:pPr>
      <w:r w:rsidRPr="00112D50">
        <w:rPr>
          <w:lang w:val="ro-RO"/>
        </w:rPr>
        <w:t>xxx - Rapoarte din Programul Naţional pentru Colectarea Datelor din Sectorul Pescăresc al României, ANPA, 2020-2022.</w:t>
      </w:r>
    </w:p>
    <w:p w14:paraId="5263D248" w14:textId="77777777" w:rsidR="00670FD4" w:rsidRDefault="00670FD4" w:rsidP="00670FD4">
      <w:pPr>
        <w:pStyle w:val="ListParagraph"/>
        <w:numPr>
          <w:ilvl w:val="3"/>
          <w:numId w:val="3"/>
        </w:numPr>
        <w:spacing w:before="0"/>
        <w:ind w:left="992" w:hanging="357"/>
        <w:rPr>
          <w:lang w:val="ro-RO"/>
        </w:rPr>
      </w:pPr>
      <w:r w:rsidRPr="00112D50">
        <w:rPr>
          <w:lang w:val="ro-RO"/>
        </w:rPr>
        <w:t>xxx - Programul pentru Acvacultură și Pescuit, Ministerul Agri</w:t>
      </w:r>
      <w:r>
        <w:rPr>
          <w:lang w:val="ro-RO"/>
        </w:rPr>
        <w:t>culturii şi Dezvoltării Rurale,</w:t>
      </w:r>
    </w:p>
    <w:p w14:paraId="5A86EA79" w14:textId="77777777" w:rsidR="00670FD4" w:rsidRDefault="00670FD4" w:rsidP="00670FD4">
      <w:pPr>
        <w:pStyle w:val="ListParagraph"/>
        <w:numPr>
          <w:ilvl w:val="3"/>
          <w:numId w:val="3"/>
        </w:numPr>
        <w:spacing w:before="0"/>
        <w:ind w:left="992" w:hanging="357"/>
        <w:rPr>
          <w:lang w:val="ro-RO"/>
        </w:rPr>
      </w:pPr>
      <w:r w:rsidRPr="00112D50">
        <w:rPr>
          <w:lang w:val="ro-RO"/>
        </w:rPr>
        <w:t>http://www.mmediu.ro/app/webroot/uploads/files/2021-12-27_Proiect%20PAP%20-%20dec%202021.pdf, 2021-2027</w:t>
      </w:r>
    </w:p>
    <w:p w14:paraId="04DE0764" w14:textId="77777777" w:rsidR="00670FD4" w:rsidRDefault="00670FD4" w:rsidP="00670FD4">
      <w:pPr>
        <w:pStyle w:val="ListParagraph"/>
        <w:numPr>
          <w:ilvl w:val="3"/>
          <w:numId w:val="3"/>
        </w:numPr>
        <w:spacing w:before="0"/>
        <w:ind w:left="992" w:hanging="357"/>
        <w:rPr>
          <w:lang w:val="ro-RO"/>
        </w:rPr>
      </w:pPr>
      <w:r w:rsidRPr="00112D50">
        <w:rPr>
          <w:lang w:val="ro-RO"/>
        </w:rPr>
        <w:t xml:space="preserve">https://www.recensamantromania.ro/rezultate-rpl-2021/rezultate-definitive-caracteristici-demografice/ </w:t>
      </w:r>
    </w:p>
    <w:p w14:paraId="54CE3C3A" w14:textId="77777777" w:rsidR="00670FD4" w:rsidRPr="00935E16" w:rsidRDefault="00670FD4" w:rsidP="00670FD4">
      <w:pPr>
        <w:pStyle w:val="ListParagraph"/>
        <w:numPr>
          <w:ilvl w:val="3"/>
          <w:numId w:val="3"/>
        </w:numPr>
        <w:spacing w:before="0"/>
        <w:ind w:left="992" w:hanging="357"/>
        <w:rPr>
          <w:lang w:val="ro-RO"/>
        </w:rPr>
        <w:sectPr w:rsidR="00670FD4" w:rsidRPr="00935E16" w:rsidSect="00670FD4">
          <w:pgSz w:w="11906" w:h="16838"/>
          <w:pgMar w:top="1440" w:right="1440" w:bottom="1440" w:left="1440" w:header="0" w:footer="0" w:gutter="0"/>
          <w:cols w:space="708"/>
          <w:docGrid w:linePitch="326"/>
        </w:sectPr>
      </w:pPr>
      <w:hyperlink r:id="rId75" w:history="1">
        <w:r w:rsidRPr="00112D50">
          <w:rPr>
            <w:rStyle w:val="Hyperlink"/>
            <w:lang w:val="ro-RO"/>
          </w:rPr>
          <w:t>http://www.statistici.insse.ro</w:t>
        </w:r>
      </w:hyperlink>
    </w:p>
    <w:p w14:paraId="06E9600E" w14:textId="77777777" w:rsidR="00670FD4" w:rsidRPr="00B50691" w:rsidRDefault="00670FD4" w:rsidP="00670FD4">
      <w:pPr>
        <w:ind w:firstLine="0"/>
        <w:rPr>
          <w:lang w:val="ro-RO"/>
        </w:rPr>
      </w:pPr>
    </w:p>
    <w:p w14:paraId="4216AA8A" w14:textId="77777777" w:rsidR="00670FD4" w:rsidRPr="00B50691" w:rsidRDefault="00670FD4" w:rsidP="00670FD4">
      <w:pPr>
        <w:pStyle w:val="Heading2"/>
      </w:pPr>
      <w:bookmarkStart w:id="161" w:name="_heading=h.4i7ojhp" w:colFirst="0" w:colLast="0"/>
      <w:bookmarkStart w:id="162" w:name="_Toc150247023"/>
      <w:bookmarkStart w:id="163" w:name="_Toc171084868"/>
      <w:bookmarkEnd w:id="161"/>
      <w:r w:rsidRPr="00B50691">
        <w:t>Anexa 1</w:t>
      </w:r>
      <w:bookmarkEnd w:id="162"/>
      <w:bookmarkEnd w:id="163"/>
    </w:p>
    <w:tbl>
      <w:tblPr>
        <w:tblW w:w="15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87"/>
        <w:gridCol w:w="1999"/>
        <w:gridCol w:w="1559"/>
        <w:gridCol w:w="2127"/>
        <w:gridCol w:w="2409"/>
        <w:gridCol w:w="2268"/>
        <w:gridCol w:w="1985"/>
      </w:tblGrid>
      <w:tr w:rsidR="00670FD4" w:rsidRPr="00344FCE" w14:paraId="138FB4BE" w14:textId="77777777" w:rsidTr="001925BA">
        <w:trPr>
          <w:trHeight w:val="20"/>
        </w:trPr>
        <w:tc>
          <w:tcPr>
            <w:tcW w:w="2787" w:type="dxa"/>
            <w:tcBorders>
              <w:bottom w:val="single" w:sz="4" w:space="0" w:color="000000"/>
            </w:tcBorders>
            <w:shd w:val="clear" w:color="auto" w:fill="auto"/>
            <w:vAlign w:val="center"/>
          </w:tcPr>
          <w:p w14:paraId="7A994579" w14:textId="77777777" w:rsidR="00670FD4" w:rsidRPr="00344FCE" w:rsidRDefault="00670FD4" w:rsidP="001925BA">
            <w:pPr>
              <w:spacing w:before="0" w:after="0" w:line="252" w:lineRule="auto"/>
              <w:ind w:firstLine="0"/>
              <w:jc w:val="center"/>
              <w:rPr>
                <w:rFonts w:eastAsia="Times New Roman" w:cs="Times New Roman"/>
                <w:b/>
                <w:kern w:val="0"/>
                <w:sz w:val="22"/>
                <w:szCs w:val="22"/>
                <w:lang w:val="ro-RO"/>
              </w:rPr>
            </w:pPr>
            <w:bookmarkStart w:id="164" w:name="_heading=h.3whwml4" w:colFirst="0" w:colLast="0"/>
            <w:bookmarkEnd w:id="164"/>
            <w:r w:rsidRPr="00344FCE">
              <w:rPr>
                <w:rFonts w:eastAsia="Times New Roman" w:cs="Times New Roman"/>
                <w:b/>
                <w:kern w:val="0"/>
                <w:sz w:val="22"/>
                <w:szCs w:val="22"/>
                <w:lang w:val="ro-RO"/>
              </w:rPr>
              <w:t>Acțiune</w:t>
            </w:r>
          </w:p>
        </w:tc>
        <w:tc>
          <w:tcPr>
            <w:tcW w:w="1999" w:type="dxa"/>
            <w:tcBorders>
              <w:bottom w:val="single" w:sz="4" w:space="0" w:color="000000"/>
            </w:tcBorders>
            <w:shd w:val="clear" w:color="auto" w:fill="auto"/>
            <w:vAlign w:val="center"/>
          </w:tcPr>
          <w:p w14:paraId="650B2EE3" w14:textId="77777777" w:rsidR="00670FD4" w:rsidRPr="00344FCE" w:rsidRDefault="00670FD4" w:rsidP="001925BA">
            <w:pPr>
              <w:spacing w:before="0" w:after="0" w:line="252" w:lineRule="auto"/>
              <w:ind w:firstLine="0"/>
              <w:jc w:val="center"/>
              <w:rPr>
                <w:rFonts w:eastAsia="Times New Roman" w:cs="Times New Roman"/>
                <w:b/>
                <w:kern w:val="0"/>
                <w:sz w:val="22"/>
                <w:szCs w:val="22"/>
                <w:lang w:val="ro-RO"/>
              </w:rPr>
            </w:pPr>
            <w:r w:rsidRPr="00344FCE">
              <w:rPr>
                <w:rFonts w:eastAsia="Times New Roman" w:cs="Times New Roman"/>
                <w:b/>
                <w:kern w:val="0"/>
                <w:sz w:val="22"/>
                <w:szCs w:val="22"/>
                <w:lang w:val="ro-RO"/>
              </w:rPr>
              <w:t>Instituții responsabile</w:t>
            </w:r>
          </w:p>
        </w:tc>
        <w:tc>
          <w:tcPr>
            <w:tcW w:w="1559" w:type="dxa"/>
            <w:tcBorders>
              <w:bottom w:val="single" w:sz="4" w:space="0" w:color="000000"/>
            </w:tcBorders>
            <w:shd w:val="clear" w:color="auto" w:fill="auto"/>
            <w:vAlign w:val="center"/>
          </w:tcPr>
          <w:p w14:paraId="7912A516" w14:textId="77777777" w:rsidR="00670FD4" w:rsidRPr="00344FCE" w:rsidRDefault="00670FD4" w:rsidP="001925BA">
            <w:pPr>
              <w:spacing w:before="0" w:after="0" w:line="252" w:lineRule="auto"/>
              <w:ind w:firstLine="0"/>
              <w:jc w:val="center"/>
              <w:rPr>
                <w:rFonts w:eastAsia="Times New Roman" w:cs="Times New Roman"/>
                <w:b/>
                <w:kern w:val="0"/>
                <w:sz w:val="22"/>
                <w:szCs w:val="22"/>
                <w:lang w:val="ro-RO"/>
              </w:rPr>
            </w:pPr>
            <w:r w:rsidRPr="00344FCE">
              <w:rPr>
                <w:rFonts w:eastAsia="Times New Roman" w:cs="Times New Roman"/>
                <w:b/>
                <w:kern w:val="0"/>
                <w:sz w:val="22"/>
                <w:szCs w:val="22"/>
                <w:lang w:val="ro-RO"/>
              </w:rPr>
              <w:t>Termen de implementare</w:t>
            </w:r>
          </w:p>
        </w:tc>
        <w:tc>
          <w:tcPr>
            <w:tcW w:w="2127" w:type="dxa"/>
            <w:tcBorders>
              <w:bottom w:val="single" w:sz="4" w:space="0" w:color="000000"/>
            </w:tcBorders>
            <w:shd w:val="clear" w:color="auto" w:fill="auto"/>
            <w:vAlign w:val="center"/>
          </w:tcPr>
          <w:p w14:paraId="5B54290A" w14:textId="77777777" w:rsidR="00670FD4" w:rsidRPr="00344FCE" w:rsidRDefault="00670FD4" w:rsidP="001925BA">
            <w:pPr>
              <w:spacing w:before="0" w:after="0" w:line="252" w:lineRule="auto"/>
              <w:ind w:firstLine="0"/>
              <w:jc w:val="center"/>
              <w:rPr>
                <w:rFonts w:eastAsia="Times New Roman" w:cs="Times New Roman"/>
                <w:b/>
                <w:kern w:val="0"/>
                <w:sz w:val="22"/>
                <w:szCs w:val="22"/>
                <w:lang w:val="ro-RO"/>
              </w:rPr>
            </w:pPr>
            <w:r w:rsidRPr="00344FCE">
              <w:rPr>
                <w:rFonts w:eastAsia="Times New Roman" w:cs="Times New Roman"/>
                <w:b/>
                <w:kern w:val="0"/>
                <w:sz w:val="22"/>
                <w:szCs w:val="22"/>
                <w:lang w:val="ro-RO"/>
              </w:rPr>
              <w:t>Rezultate așteptate</w:t>
            </w:r>
          </w:p>
        </w:tc>
        <w:tc>
          <w:tcPr>
            <w:tcW w:w="2409" w:type="dxa"/>
            <w:tcBorders>
              <w:bottom w:val="single" w:sz="4" w:space="0" w:color="000000"/>
            </w:tcBorders>
            <w:shd w:val="clear" w:color="auto" w:fill="auto"/>
            <w:vAlign w:val="center"/>
          </w:tcPr>
          <w:p w14:paraId="46B73BC6" w14:textId="77777777" w:rsidR="00670FD4" w:rsidRPr="00344FCE" w:rsidRDefault="00670FD4" w:rsidP="001925BA">
            <w:pPr>
              <w:spacing w:before="0" w:after="0" w:line="252" w:lineRule="auto"/>
              <w:ind w:firstLine="0"/>
              <w:jc w:val="center"/>
              <w:rPr>
                <w:rFonts w:eastAsia="Times New Roman" w:cs="Times New Roman"/>
                <w:b/>
                <w:kern w:val="0"/>
                <w:sz w:val="22"/>
                <w:szCs w:val="22"/>
                <w:lang w:val="ro-RO"/>
              </w:rPr>
            </w:pPr>
            <w:r w:rsidRPr="00344FCE">
              <w:rPr>
                <w:rFonts w:eastAsia="Times New Roman" w:cs="Times New Roman"/>
                <w:b/>
                <w:kern w:val="0"/>
                <w:sz w:val="22"/>
                <w:szCs w:val="22"/>
                <w:lang w:val="ro-RO"/>
              </w:rPr>
              <w:t>Indicatori de monitorizare</w:t>
            </w:r>
          </w:p>
        </w:tc>
        <w:tc>
          <w:tcPr>
            <w:tcW w:w="2268" w:type="dxa"/>
            <w:tcBorders>
              <w:bottom w:val="single" w:sz="4" w:space="0" w:color="000000"/>
            </w:tcBorders>
            <w:shd w:val="clear" w:color="auto" w:fill="auto"/>
            <w:vAlign w:val="center"/>
          </w:tcPr>
          <w:p w14:paraId="7E7CFE48" w14:textId="77777777" w:rsidR="00670FD4" w:rsidRPr="00344FCE" w:rsidRDefault="00670FD4" w:rsidP="001925BA">
            <w:pPr>
              <w:spacing w:before="0" w:after="0" w:line="252" w:lineRule="auto"/>
              <w:ind w:firstLine="0"/>
              <w:jc w:val="center"/>
              <w:rPr>
                <w:rFonts w:eastAsia="Times New Roman" w:cs="Times New Roman"/>
                <w:b/>
                <w:kern w:val="0"/>
                <w:sz w:val="22"/>
                <w:szCs w:val="22"/>
                <w:lang w:val="ro-RO"/>
              </w:rPr>
            </w:pPr>
            <w:r w:rsidRPr="00344FCE">
              <w:rPr>
                <w:rFonts w:eastAsia="Times New Roman" w:cs="Times New Roman"/>
                <w:b/>
                <w:kern w:val="0"/>
                <w:sz w:val="22"/>
                <w:szCs w:val="22"/>
                <w:lang w:val="ro-RO"/>
              </w:rPr>
              <w:t>Parametrii măsurați</w:t>
            </w:r>
          </w:p>
        </w:tc>
        <w:tc>
          <w:tcPr>
            <w:tcW w:w="1985" w:type="dxa"/>
            <w:tcBorders>
              <w:bottom w:val="single" w:sz="4" w:space="0" w:color="000000"/>
            </w:tcBorders>
            <w:shd w:val="clear" w:color="auto" w:fill="auto"/>
            <w:vAlign w:val="center"/>
          </w:tcPr>
          <w:p w14:paraId="1C340AD1" w14:textId="77777777" w:rsidR="00670FD4" w:rsidRPr="00344FCE" w:rsidRDefault="00670FD4" w:rsidP="001925BA">
            <w:pPr>
              <w:spacing w:before="0" w:after="0" w:line="252" w:lineRule="auto"/>
              <w:ind w:firstLine="0"/>
              <w:jc w:val="center"/>
              <w:rPr>
                <w:rFonts w:eastAsia="Times New Roman" w:cs="Times New Roman"/>
                <w:b/>
                <w:kern w:val="0"/>
                <w:sz w:val="22"/>
                <w:szCs w:val="22"/>
                <w:lang w:val="ro-RO"/>
              </w:rPr>
            </w:pPr>
            <w:r w:rsidRPr="00344FCE">
              <w:rPr>
                <w:rFonts w:eastAsia="Times New Roman" w:cs="Times New Roman"/>
                <w:b/>
                <w:kern w:val="0"/>
                <w:sz w:val="22"/>
                <w:szCs w:val="22"/>
                <w:lang w:val="ro-RO"/>
              </w:rPr>
              <w:t>Evaluare</w:t>
            </w:r>
          </w:p>
        </w:tc>
      </w:tr>
      <w:tr w:rsidR="00670FD4" w:rsidRPr="00344FCE" w14:paraId="0A79E51F" w14:textId="77777777" w:rsidTr="001925BA">
        <w:trPr>
          <w:trHeight w:val="20"/>
        </w:trPr>
        <w:tc>
          <w:tcPr>
            <w:tcW w:w="2787" w:type="dxa"/>
            <w:vMerge w:val="restart"/>
            <w:shd w:val="clear" w:color="auto" w:fill="F2F2F2"/>
            <w:vAlign w:val="center"/>
          </w:tcPr>
          <w:p w14:paraId="0B159513"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A.1 Alcătuirea cadastrului monumentelor și siturilor arheologice</w:t>
            </w:r>
          </w:p>
        </w:tc>
        <w:tc>
          <w:tcPr>
            <w:tcW w:w="1999" w:type="dxa"/>
            <w:vMerge w:val="restart"/>
            <w:shd w:val="clear" w:color="auto" w:fill="F2F2F2"/>
            <w:vAlign w:val="center"/>
          </w:tcPr>
          <w:p w14:paraId="5604A848"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MC (IN</w:t>
            </w:r>
            <w:r>
              <w:rPr>
                <w:rFonts w:eastAsia="Times New Roman" w:cs="Times New Roman"/>
                <w:kern w:val="0"/>
                <w:sz w:val="22"/>
                <w:szCs w:val="22"/>
                <w:lang w:val="ro-RO"/>
              </w:rPr>
              <w:t>P), CJ Constanța (MINAC</w:t>
            </w:r>
            <w:r w:rsidRPr="00344FCE">
              <w:rPr>
                <w:rFonts w:eastAsia="Times New Roman" w:cs="Times New Roman"/>
                <w:kern w:val="0"/>
                <w:sz w:val="22"/>
                <w:szCs w:val="22"/>
                <w:lang w:val="ro-RO"/>
              </w:rPr>
              <w:t xml:space="preserve">), CJ Tulcea </w:t>
            </w:r>
            <w:r>
              <w:rPr>
                <w:rFonts w:eastAsia="Times New Roman" w:cs="Times New Roman"/>
                <w:kern w:val="0"/>
                <w:sz w:val="22"/>
                <w:szCs w:val="22"/>
                <w:lang w:val="ro-RO"/>
              </w:rPr>
              <w:t>(ICEM Gavrilă Simion)</w:t>
            </w:r>
            <w:r w:rsidRPr="00344FCE">
              <w:rPr>
                <w:rFonts w:eastAsia="Times New Roman" w:cs="Times New Roman"/>
                <w:kern w:val="0"/>
                <w:sz w:val="22"/>
                <w:szCs w:val="22"/>
                <w:lang w:val="ro-RO"/>
              </w:rPr>
              <w:t>, MDLPA, MCID (INCD GeoEcoMar)</w:t>
            </w:r>
          </w:p>
        </w:tc>
        <w:tc>
          <w:tcPr>
            <w:tcW w:w="1559" w:type="dxa"/>
            <w:vMerge w:val="restart"/>
            <w:shd w:val="clear" w:color="auto" w:fill="F2F2F2"/>
            <w:vAlign w:val="center"/>
          </w:tcPr>
          <w:p w14:paraId="0BB8BCB5"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vMerge w:val="restart"/>
            <w:shd w:val="clear" w:color="auto" w:fill="F2F2F2"/>
            <w:vAlign w:val="center"/>
          </w:tcPr>
          <w:p w14:paraId="492C2A78"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Înscrierea tuturor obiectivelor în baza de date geospațială a monumentelor și siturilor arheologice</w:t>
            </w:r>
          </w:p>
          <w:p w14:paraId="3E6618B5"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Realizarea unui atlas al elementelor de patrimoniu construit din Lista  Monumentelor Istorice din zona costieră</w:t>
            </w:r>
          </w:p>
        </w:tc>
        <w:tc>
          <w:tcPr>
            <w:tcW w:w="2409" w:type="dxa"/>
            <w:vMerge w:val="restart"/>
            <w:shd w:val="clear" w:color="auto" w:fill="F2F2F2"/>
            <w:vAlign w:val="center"/>
          </w:tcPr>
          <w:p w14:paraId="6DCEACCC"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2CC7EE2B"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0D08BC5E"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Protejarea patrimoniului cultural</w:t>
            </w:r>
          </w:p>
        </w:tc>
        <w:tc>
          <w:tcPr>
            <w:tcW w:w="2268" w:type="dxa"/>
            <w:shd w:val="clear" w:color="auto" w:fill="F2F2F2"/>
            <w:vAlign w:val="center"/>
          </w:tcPr>
          <w:p w14:paraId="232F2656"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monumente istorice și situri arheologice cu zone de protecție georeferențiate</w:t>
            </w:r>
          </w:p>
        </w:tc>
        <w:tc>
          <w:tcPr>
            <w:tcW w:w="1985" w:type="dxa"/>
            <w:vMerge w:val="restart"/>
            <w:shd w:val="clear" w:color="auto" w:fill="F2F2F2"/>
            <w:vAlign w:val="center"/>
          </w:tcPr>
          <w:p w14:paraId="62DE6FF5"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670FD4" w:rsidRPr="00344FCE" w14:paraId="10FF8CE0" w14:textId="77777777" w:rsidTr="001925BA">
        <w:trPr>
          <w:trHeight w:val="20"/>
        </w:trPr>
        <w:tc>
          <w:tcPr>
            <w:tcW w:w="2787" w:type="dxa"/>
            <w:vMerge/>
            <w:shd w:val="clear" w:color="auto" w:fill="F2F2F2"/>
            <w:vAlign w:val="center"/>
          </w:tcPr>
          <w:p w14:paraId="015784F2"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F2F2F2"/>
            <w:vAlign w:val="center"/>
          </w:tcPr>
          <w:p w14:paraId="1593F19D"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F2F2F2"/>
            <w:vAlign w:val="center"/>
          </w:tcPr>
          <w:p w14:paraId="67A8C244"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503192D1" w14:textId="77777777" w:rsidR="00670FD4" w:rsidRPr="00344FCE" w:rsidRDefault="00670FD4" w:rsidP="001925BA">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18DA317F"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F2F2F2"/>
            <w:vAlign w:val="center"/>
          </w:tcPr>
          <w:p w14:paraId="05A99940"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monumente istorice și situri cadastrate</w:t>
            </w:r>
          </w:p>
        </w:tc>
        <w:tc>
          <w:tcPr>
            <w:tcW w:w="1985" w:type="dxa"/>
            <w:vMerge/>
            <w:shd w:val="clear" w:color="auto" w:fill="F2F2F2"/>
            <w:vAlign w:val="center"/>
          </w:tcPr>
          <w:p w14:paraId="5668E3FF"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0A996EE8" w14:textId="77777777" w:rsidTr="001925BA">
        <w:trPr>
          <w:trHeight w:val="20"/>
        </w:trPr>
        <w:tc>
          <w:tcPr>
            <w:tcW w:w="2787" w:type="dxa"/>
            <w:vMerge w:val="restart"/>
            <w:shd w:val="clear" w:color="auto" w:fill="F2F2F2"/>
            <w:vAlign w:val="center"/>
          </w:tcPr>
          <w:p w14:paraId="36CC1BAE"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A.2 Inițierea și implementarea programelor de dezvoltare de proiecte pentru protecția, conservarea și restaurarea patrimoniului cultural existent de interes național (monumente istorice, situri, imobile sau amenajări cu valoare arhitectural urbanistică, precum și peisajele din zona costieră)</w:t>
            </w:r>
          </w:p>
        </w:tc>
        <w:tc>
          <w:tcPr>
            <w:tcW w:w="1999" w:type="dxa"/>
            <w:vMerge w:val="restart"/>
            <w:shd w:val="clear" w:color="auto" w:fill="F2F2F2"/>
            <w:vAlign w:val="center"/>
          </w:tcPr>
          <w:p w14:paraId="4F4EC5CA"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MC, autorități locale (CJ Constanța, CJ Tulcea, Consiliile locale), MDLPA, MCID, MEAT.</w:t>
            </w:r>
          </w:p>
        </w:tc>
        <w:tc>
          <w:tcPr>
            <w:tcW w:w="1559" w:type="dxa"/>
            <w:vMerge w:val="restart"/>
            <w:shd w:val="clear" w:color="auto" w:fill="F2F2F2"/>
            <w:vAlign w:val="center"/>
          </w:tcPr>
          <w:p w14:paraId="1C06BF96"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vMerge w:val="restart"/>
            <w:shd w:val="clear" w:color="auto" w:fill="F2F2F2"/>
            <w:vAlign w:val="center"/>
          </w:tcPr>
          <w:p w14:paraId="49F091DE"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numărului de monumente cu valoare arhitecturală  restaurate / reabilitate</w:t>
            </w:r>
          </w:p>
          <w:p w14:paraId="2D18CA37"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numărului planurilor de peisaj elaborate</w:t>
            </w:r>
          </w:p>
        </w:tc>
        <w:tc>
          <w:tcPr>
            <w:tcW w:w="2409" w:type="dxa"/>
            <w:vMerge w:val="restart"/>
            <w:shd w:val="clear" w:color="auto" w:fill="F2F2F2"/>
            <w:vAlign w:val="center"/>
          </w:tcPr>
          <w:p w14:paraId="2B126E48"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Protejarea patrimoniului cultural</w:t>
            </w:r>
          </w:p>
        </w:tc>
        <w:tc>
          <w:tcPr>
            <w:tcW w:w="2268" w:type="dxa"/>
            <w:shd w:val="clear" w:color="auto" w:fill="F2F2F2"/>
            <w:vAlign w:val="center"/>
          </w:tcPr>
          <w:p w14:paraId="7D1D92E0"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Monumente istorice și situri arheologice protejate/conservate/restaurate</w:t>
            </w:r>
          </w:p>
        </w:tc>
        <w:tc>
          <w:tcPr>
            <w:tcW w:w="1985" w:type="dxa"/>
            <w:vMerge w:val="restart"/>
            <w:shd w:val="clear" w:color="auto" w:fill="F2F2F2"/>
            <w:vAlign w:val="center"/>
          </w:tcPr>
          <w:p w14:paraId="72988997"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60E36D8D"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0FEE9244"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p w14:paraId="4E6DFE96"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6CCCB00F"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2034</w:t>
            </w:r>
          </w:p>
          <w:p w14:paraId="038B1B0D"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r>
      <w:tr w:rsidR="00670FD4" w:rsidRPr="00344FCE" w14:paraId="00B01A7C" w14:textId="77777777" w:rsidTr="001925BA">
        <w:trPr>
          <w:trHeight w:val="20"/>
        </w:trPr>
        <w:tc>
          <w:tcPr>
            <w:tcW w:w="2787" w:type="dxa"/>
            <w:vMerge/>
            <w:shd w:val="clear" w:color="auto" w:fill="F2F2F2"/>
            <w:vAlign w:val="center"/>
          </w:tcPr>
          <w:p w14:paraId="3B408210"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F2F2F2"/>
            <w:vAlign w:val="center"/>
          </w:tcPr>
          <w:p w14:paraId="34CA7A1A"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F2F2F2"/>
            <w:vAlign w:val="center"/>
          </w:tcPr>
          <w:p w14:paraId="56BB0C90"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60DDD756" w14:textId="77777777" w:rsidR="00670FD4" w:rsidRPr="00344FCE" w:rsidRDefault="00670FD4" w:rsidP="001925BA">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399AF514"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F2F2F2"/>
            <w:vAlign w:val="center"/>
          </w:tcPr>
          <w:p w14:paraId="08B8DD41"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planuri de peisaj elaborate</w:t>
            </w:r>
          </w:p>
        </w:tc>
        <w:tc>
          <w:tcPr>
            <w:tcW w:w="1985" w:type="dxa"/>
            <w:vMerge/>
            <w:shd w:val="clear" w:color="auto" w:fill="F2F2F2"/>
            <w:vAlign w:val="center"/>
          </w:tcPr>
          <w:p w14:paraId="370CCA0D"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4D9C0360" w14:textId="77777777" w:rsidTr="001925BA">
        <w:trPr>
          <w:trHeight w:val="20"/>
        </w:trPr>
        <w:tc>
          <w:tcPr>
            <w:tcW w:w="2787" w:type="dxa"/>
            <w:shd w:val="clear" w:color="auto" w:fill="F2F2F2"/>
            <w:vAlign w:val="center"/>
          </w:tcPr>
          <w:p w14:paraId="7EF4BEA4"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A.3 Realizarea unui program național de cercetare, inventariere și punere în </w:t>
            </w:r>
            <w:r w:rsidRPr="00344FCE">
              <w:rPr>
                <w:rFonts w:eastAsia="Times New Roman" w:cs="Times New Roman"/>
                <w:kern w:val="0"/>
                <w:sz w:val="22"/>
                <w:szCs w:val="22"/>
                <w:lang w:val="ro-RO"/>
              </w:rPr>
              <w:lastRenderedPageBreak/>
              <w:t>valoare a patrimoniului arheologic subacvatic din zona costieră</w:t>
            </w:r>
          </w:p>
        </w:tc>
        <w:tc>
          <w:tcPr>
            <w:tcW w:w="1999" w:type="dxa"/>
            <w:shd w:val="clear" w:color="auto" w:fill="F2F2F2"/>
            <w:vAlign w:val="center"/>
          </w:tcPr>
          <w:p w14:paraId="0E42913E"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lastRenderedPageBreak/>
              <w:t xml:space="preserve">MC (INP), MCID (INCD GeoEcoMar), și </w:t>
            </w:r>
            <w:r w:rsidRPr="00344FCE">
              <w:rPr>
                <w:rFonts w:eastAsia="Times New Roman" w:cs="Times New Roman"/>
                <w:kern w:val="0"/>
                <w:sz w:val="22"/>
                <w:szCs w:val="22"/>
                <w:lang w:val="ro-RO"/>
              </w:rPr>
              <w:lastRenderedPageBreak/>
              <w:t>autoritățile locale (CJ Constanța și Tulcea)</w:t>
            </w:r>
          </w:p>
        </w:tc>
        <w:tc>
          <w:tcPr>
            <w:tcW w:w="1559" w:type="dxa"/>
            <w:shd w:val="clear" w:color="auto" w:fill="F2F2F2"/>
            <w:vAlign w:val="center"/>
          </w:tcPr>
          <w:p w14:paraId="2ACAB9B0"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lastRenderedPageBreak/>
              <w:t>2040</w:t>
            </w:r>
          </w:p>
        </w:tc>
        <w:tc>
          <w:tcPr>
            <w:tcW w:w="2127" w:type="dxa"/>
            <w:shd w:val="clear" w:color="auto" w:fill="F2F2F2"/>
            <w:vAlign w:val="center"/>
          </w:tcPr>
          <w:p w14:paraId="3E425753"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Realizarea unei baze de date ce cuprinde informații istorice, </w:t>
            </w:r>
            <w:r w:rsidRPr="00344FCE">
              <w:rPr>
                <w:rFonts w:eastAsia="Times New Roman" w:cs="Times New Roman"/>
                <w:kern w:val="0"/>
                <w:sz w:val="22"/>
                <w:szCs w:val="22"/>
                <w:lang w:val="ro-RO"/>
              </w:rPr>
              <w:lastRenderedPageBreak/>
              <w:t>descriptive și spațiale privitoare la patrimoniul cultural subacvatic</w:t>
            </w:r>
          </w:p>
        </w:tc>
        <w:tc>
          <w:tcPr>
            <w:tcW w:w="2409" w:type="dxa"/>
            <w:shd w:val="clear" w:color="auto" w:fill="F2F2F2"/>
            <w:vAlign w:val="center"/>
          </w:tcPr>
          <w:p w14:paraId="121CE272"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lastRenderedPageBreak/>
              <w:t>Protejarea patrimoniului cultural</w:t>
            </w:r>
          </w:p>
        </w:tc>
        <w:tc>
          <w:tcPr>
            <w:tcW w:w="2268" w:type="dxa"/>
            <w:shd w:val="clear" w:color="auto" w:fill="F2F2F2"/>
            <w:vAlign w:val="center"/>
          </w:tcPr>
          <w:p w14:paraId="7927FA57"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situri subacvatice inventariate</w:t>
            </w:r>
          </w:p>
        </w:tc>
        <w:tc>
          <w:tcPr>
            <w:tcW w:w="1985" w:type="dxa"/>
            <w:shd w:val="clear" w:color="auto" w:fill="F2F2F2"/>
            <w:vAlign w:val="center"/>
          </w:tcPr>
          <w:p w14:paraId="0DBBCE06"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78DB7DBD"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p w14:paraId="1773B965"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2034</w:t>
            </w:r>
          </w:p>
        </w:tc>
      </w:tr>
      <w:tr w:rsidR="00670FD4" w:rsidRPr="00344FCE" w14:paraId="0CF934C3" w14:textId="77777777" w:rsidTr="001925BA">
        <w:trPr>
          <w:trHeight w:val="20"/>
        </w:trPr>
        <w:tc>
          <w:tcPr>
            <w:tcW w:w="2787" w:type="dxa"/>
            <w:shd w:val="clear" w:color="auto" w:fill="F2F2F2"/>
            <w:vAlign w:val="center"/>
          </w:tcPr>
          <w:p w14:paraId="753A4FBD"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A.4 Inventarierea și evaluarea peisajului în zona costieră în vederea susținerii proceselor de elaborarea a activităților de planificare spațială a teritoriului, precum și a programelor de conservare / restaurare / reabilitare / valorificare a peisajului costier</w:t>
            </w:r>
          </w:p>
        </w:tc>
        <w:tc>
          <w:tcPr>
            <w:tcW w:w="1999" w:type="dxa"/>
            <w:shd w:val="clear" w:color="auto" w:fill="F2F2F2"/>
            <w:vAlign w:val="center"/>
          </w:tcPr>
          <w:p w14:paraId="59120C01"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MDLPA</w:t>
            </w:r>
          </w:p>
        </w:tc>
        <w:tc>
          <w:tcPr>
            <w:tcW w:w="1559" w:type="dxa"/>
            <w:shd w:val="clear" w:color="auto" w:fill="F2F2F2"/>
            <w:vAlign w:val="center"/>
          </w:tcPr>
          <w:p w14:paraId="2463766E"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tc>
        <w:tc>
          <w:tcPr>
            <w:tcW w:w="2127" w:type="dxa"/>
            <w:shd w:val="clear" w:color="auto" w:fill="F2F2F2"/>
            <w:vAlign w:val="center"/>
          </w:tcPr>
          <w:p w14:paraId="16C31B4D"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Realizarea Atlasului peisajului costier (inventar al peisajelor identificate)</w:t>
            </w:r>
          </w:p>
        </w:tc>
        <w:tc>
          <w:tcPr>
            <w:tcW w:w="2409" w:type="dxa"/>
            <w:shd w:val="clear" w:color="auto" w:fill="F2F2F2"/>
            <w:vAlign w:val="center"/>
          </w:tcPr>
          <w:p w14:paraId="55FB1B6F"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Protejarea patrimoniului cultural</w:t>
            </w:r>
          </w:p>
        </w:tc>
        <w:tc>
          <w:tcPr>
            <w:tcW w:w="2268" w:type="dxa"/>
            <w:tcBorders>
              <w:bottom w:val="single" w:sz="4" w:space="0" w:color="000000"/>
            </w:tcBorders>
            <w:shd w:val="clear" w:color="auto" w:fill="F2F2F2"/>
            <w:vAlign w:val="center"/>
          </w:tcPr>
          <w:p w14:paraId="1D584F96"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planuri de peisaj elaborate</w:t>
            </w:r>
          </w:p>
        </w:tc>
        <w:tc>
          <w:tcPr>
            <w:tcW w:w="1985" w:type="dxa"/>
            <w:shd w:val="clear" w:color="auto" w:fill="F2F2F2"/>
            <w:vAlign w:val="center"/>
          </w:tcPr>
          <w:p w14:paraId="5FF1F44C"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6035FA66"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11D3FF63"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tc>
      </w:tr>
      <w:tr w:rsidR="00670FD4" w:rsidRPr="00344FCE" w14:paraId="7AC7931E" w14:textId="77777777" w:rsidTr="001925BA">
        <w:trPr>
          <w:trHeight w:val="20"/>
        </w:trPr>
        <w:tc>
          <w:tcPr>
            <w:tcW w:w="2787" w:type="dxa"/>
            <w:vMerge w:val="restart"/>
            <w:shd w:val="clear" w:color="auto" w:fill="F2F2F2"/>
            <w:vAlign w:val="center"/>
          </w:tcPr>
          <w:p w14:paraId="4F69CE5E"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A.5 Asigurarea conservării biodiversității în conformitate cu obligațiile prevăzute de legislația europeană</w:t>
            </w:r>
          </w:p>
        </w:tc>
        <w:tc>
          <w:tcPr>
            <w:tcW w:w="1999" w:type="dxa"/>
            <w:vMerge w:val="restart"/>
            <w:shd w:val="clear" w:color="auto" w:fill="F2F2F2"/>
            <w:vAlign w:val="center"/>
          </w:tcPr>
          <w:p w14:paraId="291EC876"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MMAP (prin ANANP, ARBDD), MCID (Academia Română, INCD GeoEcoMar, INCDM Grigore Antipa, INCDDD), ME (UOC, UB, UAIC).</w:t>
            </w:r>
          </w:p>
        </w:tc>
        <w:tc>
          <w:tcPr>
            <w:tcW w:w="1559" w:type="dxa"/>
            <w:vMerge w:val="restart"/>
            <w:shd w:val="clear" w:color="auto" w:fill="F2F2F2"/>
            <w:vAlign w:val="center"/>
          </w:tcPr>
          <w:p w14:paraId="1CFD2851"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vMerge w:val="restart"/>
            <w:shd w:val="clear" w:color="auto" w:fill="F2F2F2"/>
            <w:vAlign w:val="center"/>
          </w:tcPr>
          <w:p w14:paraId="37006FE9"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procentului de habitate și specii aflate în stare de conservare nefavorabilă care ating o stare favorabilă sau cel puțin prezintă o tendință pozitivă;</w:t>
            </w:r>
          </w:p>
          <w:p w14:paraId="26D2183C"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suprafeței ariilor protejate se află sub protecție strictă;</w:t>
            </w:r>
          </w:p>
          <w:p w14:paraId="64F8806C"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Creșterea procentului de habitate pelagice și bentale cu rol în combaterea efectelor schimbărilor </w:t>
            </w:r>
            <w:r w:rsidRPr="00344FCE">
              <w:rPr>
                <w:rFonts w:eastAsia="Times New Roman" w:cs="Times New Roman"/>
                <w:kern w:val="0"/>
                <w:sz w:val="22"/>
                <w:szCs w:val="22"/>
                <w:lang w:val="ro-RO"/>
              </w:rPr>
              <w:lastRenderedPageBreak/>
              <w:t>climatice sunt protejate;</w:t>
            </w:r>
          </w:p>
          <w:p w14:paraId="2C63AC24"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Planuri de management actualizate pentru toate ariile protejate</w:t>
            </w:r>
          </w:p>
        </w:tc>
        <w:tc>
          <w:tcPr>
            <w:tcW w:w="2409" w:type="dxa"/>
            <w:vMerge w:val="restart"/>
            <w:shd w:val="clear" w:color="auto" w:fill="F2F2F2"/>
            <w:vAlign w:val="center"/>
          </w:tcPr>
          <w:p w14:paraId="06CFB30E"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6914C89F"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5D615FDD"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7BA794E5"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67081FCF"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3DB9238A"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029528B9"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Management eficient al ariilor protejate</w:t>
            </w:r>
          </w:p>
          <w:p w14:paraId="2F47EE8A"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7596F9DA"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tc>
        <w:tc>
          <w:tcPr>
            <w:tcW w:w="2268" w:type="dxa"/>
            <w:shd w:val="clear" w:color="auto" w:fill="F2F2F2"/>
            <w:vAlign w:val="center"/>
          </w:tcPr>
          <w:p w14:paraId="3BFC093F"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Suprafața totală și ponderea zonelor degradate din ariile protejate în urma desfășurării de activității umane</w:t>
            </w:r>
          </w:p>
        </w:tc>
        <w:tc>
          <w:tcPr>
            <w:tcW w:w="1985" w:type="dxa"/>
            <w:vMerge w:val="restart"/>
            <w:shd w:val="clear" w:color="auto" w:fill="F2F2F2"/>
            <w:vAlign w:val="center"/>
          </w:tcPr>
          <w:p w14:paraId="4EFB82D6"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21D73A7D"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58EB92B8"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6068775B"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p w14:paraId="22B7C816"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7F83A84A"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78DC16D7"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2E652EF7"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2034</w:t>
            </w:r>
          </w:p>
        </w:tc>
      </w:tr>
      <w:tr w:rsidR="00670FD4" w:rsidRPr="00344FCE" w14:paraId="5D74E2FA" w14:textId="77777777" w:rsidTr="001925BA">
        <w:trPr>
          <w:trHeight w:val="20"/>
        </w:trPr>
        <w:tc>
          <w:tcPr>
            <w:tcW w:w="2787" w:type="dxa"/>
            <w:vMerge/>
            <w:shd w:val="clear" w:color="auto" w:fill="F2F2F2"/>
            <w:vAlign w:val="center"/>
          </w:tcPr>
          <w:p w14:paraId="5563DA7C"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72C1B929"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0CE94C3D"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6D1E7AD4" w14:textId="77777777" w:rsidR="00670FD4" w:rsidRPr="00344FCE" w:rsidRDefault="00670FD4" w:rsidP="001925BA">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455AF979"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F2F2F2"/>
            <w:vAlign w:val="center"/>
          </w:tcPr>
          <w:p w14:paraId="4E216482"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Rata pierderii sau deteriorării ariilor protejate</w:t>
            </w:r>
          </w:p>
        </w:tc>
        <w:tc>
          <w:tcPr>
            <w:tcW w:w="1985" w:type="dxa"/>
            <w:vMerge/>
            <w:shd w:val="clear" w:color="auto" w:fill="F2F2F2"/>
            <w:vAlign w:val="center"/>
          </w:tcPr>
          <w:p w14:paraId="7219A8FD"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21B6DA6D" w14:textId="77777777" w:rsidTr="001925BA">
        <w:trPr>
          <w:trHeight w:val="20"/>
        </w:trPr>
        <w:tc>
          <w:tcPr>
            <w:tcW w:w="2787" w:type="dxa"/>
            <w:vMerge/>
            <w:shd w:val="clear" w:color="auto" w:fill="F2F2F2"/>
            <w:vAlign w:val="center"/>
          </w:tcPr>
          <w:p w14:paraId="68346E67"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3E7C609A"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4492BF19"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4CBA030A" w14:textId="77777777" w:rsidR="00670FD4" w:rsidRPr="00344FCE" w:rsidRDefault="00670FD4" w:rsidP="001925BA">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17137220"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F2F2F2"/>
            <w:vAlign w:val="center"/>
          </w:tcPr>
          <w:p w14:paraId="600DE0C8"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măsuri incluse în planurile de management care sa corespunda dezideratului de conservare a ariilor protejate, a habitatelor naturale și a biodiversității</w:t>
            </w:r>
          </w:p>
        </w:tc>
        <w:tc>
          <w:tcPr>
            <w:tcW w:w="1985" w:type="dxa"/>
            <w:vMerge/>
            <w:shd w:val="clear" w:color="auto" w:fill="F2F2F2"/>
            <w:vAlign w:val="center"/>
          </w:tcPr>
          <w:p w14:paraId="0F754A7A"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74C7FCD1" w14:textId="77777777" w:rsidTr="001925BA">
        <w:trPr>
          <w:trHeight w:val="20"/>
        </w:trPr>
        <w:tc>
          <w:tcPr>
            <w:tcW w:w="2787" w:type="dxa"/>
            <w:vMerge/>
            <w:shd w:val="clear" w:color="auto" w:fill="F2F2F2"/>
            <w:vAlign w:val="center"/>
          </w:tcPr>
          <w:p w14:paraId="7EE65299"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64FBB0F7"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26C0D776"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4F169AA4" w14:textId="77777777" w:rsidR="00670FD4" w:rsidRPr="00344FCE" w:rsidRDefault="00670FD4" w:rsidP="001925BA">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31375813"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F2F2F2"/>
            <w:vAlign w:val="center"/>
          </w:tcPr>
          <w:p w14:paraId="333AAA38"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Număr de planuri de management elaborate </w:t>
            </w:r>
            <w:r w:rsidRPr="00344FCE">
              <w:rPr>
                <w:rFonts w:eastAsia="Times New Roman" w:cs="Times New Roman"/>
                <w:kern w:val="0"/>
                <w:sz w:val="22"/>
                <w:szCs w:val="22"/>
                <w:lang w:val="ro-RO"/>
              </w:rPr>
              <w:lastRenderedPageBreak/>
              <w:t>/ revizuite / implementate</w:t>
            </w:r>
          </w:p>
        </w:tc>
        <w:tc>
          <w:tcPr>
            <w:tcW w:w="1985" w:type="dxa"/>
            <w:vMerge/>
            <w:shd w:val="clear" w:color="auto" w:fill="F2F2F2"/>
            <w:vAlign w:val="center"/>
          </w:tcPr>
          <w:p w14:paraId="6CA0ED99"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416537AB" w14:textId="77777777" w:rsidTr="001925BA">
        <w:trPr>
          <w:trHeight w:val="20"/>
        </w:trPr>
        <w:tc>
          <w:tcPr>
            <w:tcW w:w="2787" w:type="dxa"/>
            <w:vMerge/>
            <w:shd w:val="clear" w:color="auto" w:fill="F2F2F2"/>
            <w:vAlign w:val="center"/>
          </w:tcPr>
          <w:p w14:paraId="373AD00B"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664C020C"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0CF76E37"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0B4BDE05" w14:textId="77777777" w:rsidR="00670FD4" w:rsidRPr="00344FCE" w:rsidRDefault="00670FD4" w:rsidP="001925BA">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val="restart"/>
            <w:shd w:val="clear" w:color="auto" w:fill="F2F2F2"/>
            <w:vAlign w:val="center"/>
          </w:tcPr>
          <w:p w14:paraId="78911578"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Modificări în importanța speciilor și habitatelor din zona costieră</w:t>
            </w:r>
          </w:p>
        </w:tc>
        <w:tc>
          <w:tcPr>
            <w:tcW w:w="2268" w:type="dxa"/>
            <w:shd w:val="clear" w:color="auto" w:fill="F2F2F2"/>
            <w:vAlign w:val="center"/>
          </w:tcPr>
          <w:p w14:paraId="70F18A83"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Tendința speciilor și habitatelor costiere</w:t>
            </w:r>
          </w:p>
        </w:tc>
        <w:tc>
          <w:tcPr>
            <w:tcW w:w="1985" w:type="dxa"/>
            <w:vMerge/>
            <w:shd w:val="clear" w:color="auto" w:fill="F2F2F2"/>
            <w:vAlign w:val="center"/>
          </w:tcPr>
          <w:p w14:paraId="7D5BAF69"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1F0F87F3" w14:textId="77777777" w:rsidTr="001925BA">
        <w:trPr>
          <w:trHeight w:val="20"/>
        </w:trPr>
        <w:tc>
          <w:tcPr>
            <w:tcW w:w="2787" w:type="dxa"/>
            <w:vMerge/>
            <w:shd w:val="clear" w:color="auto" w:fill="F2F2F2"/>
            <w:vAlign w:val="center"/>
          </w:tcPr>
          <w:p w14:paraId="631583F2"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4B73B92C"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3193BA28"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0B595CF6" w14:textId="77777777" w:rsidR="00670FD4" w:rsidRPr="00344FCE" w:rsidRDefault="00670FD4" w:rsidP="001925BA">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7E500754"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F2F2F2"/>
            <w:vAlign w:val="center"/>
          </w:tcPr>
          <w:p w14:paraId="5F362A09"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specii  per tip de habitat</w:t>
            </w:r>
          </w:p>
        </w:tc>
        <w:tc>
          <w:tcPr>
            <w:tcW w:w="1985" w:type="dxa"/>
            <w:vMerge/>
            <w:shd w:val="clear" w:color="auto" w:fill="F2F2F2"/>
            <w:vAlign w:val="center"/>
          </w:tcPr>
          <w:p w14:paraId="3BF77350"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2013F7F1" w14:textId="77777777" w:rsidTr="001925BA">
        <w:trPr>
          <w:trHeight w:val="20"/>
        </w:trPr>
        <w:tc>
          <w:tcPr>
            <w:tcW w:w="2787" w:type="dxa"/>
            <w:vMerge/>
            <w:shd w:val="clear" w:color="auto" w:fill="F2F2F2"/>
            <w:vAlign w:val="center"/>
          </w:tcPr>
          <w:p w14:paraId="31DF3E7C"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5C6CE047"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57E4FDB3"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06E5AA2D" w14:textId="77777777" w:rsidR="00670FD4" w:rsidRPr="00344FCE" w:rsidRDefault="00670FD4" w:rsidP="001925BA">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33BE3446"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tcBorders>
              <w:bottom w:val="single" w:sz="4" w:space="0" w:color="000000"/>
            </w:tcBorders>
            <w:shd w:val="clear" w:color="auto" w:fill="F2F2F2"/>
            <w:vAlign w:val="center"/>
          </w:tcPr>
          <w:p w14:paraId="22E8368D"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specii din Lista Roșie</w:t>
            </w:r>
          </w:p>
        </w:tc>
        <w:tc>
          <w:tcPr>
            <w:tcW w:w="1985" w:type="dxa"/>
            <w:vMerge/>
            <w:shd w:val="clear" w:color="auto" w:fill="F2F2F2"/>
            <w:vAlign w:val="center"/>
          </w:tcPr>
          <w:p w14:paraId="41817FE3"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4D7EBCE4" w14:textId="77777777" w:rsidTr="001925BA">
        <w:trPr>
          <w:trHeight w:val="20"/>
        </w:trPr>
        <w:tc>
          <w:tcPr>
            <w:tcW w:w="2787" w:type="dxa"/>
            <w:vMerge w:val="restart"/>
            <w:shd w:val="clear" w:color="auto" w:fill="F2F2F2"/>
            <w:vAlign w:val="center"/>
          </w:tcPr>
          <w:p w14:paraId="391B8F2D"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A.6 Dezvoltarea unor programe pentru restabilirea/refacerea și utilizarea sustenabilă a ecosistemelor costiere utilizând soluțiile bazate pe natură</w:t>
            </w:r>
          </w:p>
        </w:tc>
        <w:tc>
          <w:tcPr>
            <w:tcW w:w="1999" w:type="dxa"/>
            <w:vMerge w:val="restart"/>
            <w:shd w:val="clear" w:color="auto" w:fill="F2F2F2"/>
            <w:vAlign w:val="center"/>
          </w:tcPr>
          <w:p w14:paraId="715074C8"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MMAP, MADR (prin ANPA), MCID (Academia Română, INCD GeoEcoMar, INCDM Grigore Antipa, INCDDD), ME (UOC)</w:t>
            </w:r>
          </w:p>
        </w:tc>
        <w:tc>
          <w:tcPr>
            <w:tcW w:w="1559" w:type="dxa"/>
            <w:vMerge w:val="restart"/>
            <w:shd w:val="clear" w:color="auto" w:fill="F2F2F2"/>
            <w:vAlign w:val="center"/>
          </w:tcPr>
          <w:p w14:paraId="369D08C7"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tc>
        <w:tc>
          <w:tcPr>
            <w:tcW w:w="2127" w:type="dxa"/>
            <w:vMerge w:val="restart"/>
            <w:shd w:val="clear" w:color="auto" w:fill="F2F2F2"/>
            <w:vAlign w:val="center"/>
          </w:tcPr>
          <w:p w14:paraId="41669854"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procentului din suprafața fiecărui grup de tipuri de habitate enumerate în Directiva Habitate care nu se află în stare bună pe care se aplică măsuri de refacere folosind NBS</w:t>
            </w:r>
          </w:p>
        </w:tc>
        <w:tc>
          <w:tcPr>
            <w:tcW w:w="2409" w:type="dxa"/>
            <w:vMerge w:val="restart"/>
            <w:shd w:val="clear" w:color="auto" w:fill="F2F2F2"/>
            <w:vAlign w:val="center"/>
          </w:tcPr>
          <w:p w14:paraId="17EEA6C9"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Refacerea habitatelor folosind soluții bazate pe natură (NBs)</w:t>
            </w:r>
          </w:p>
        </w:tc>
        <w:tc>
          <w:tcPr>
            <w:tcW w:w="2268" w:type="dxa"/>
            <w:shd w:val="clear" w:color="auto" w:fill="F2F2F2"/>
            <w:vAlign w:val="center"/>
          </w:tcPr>
          <w:p w14:paraId="39811F72"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Plan de refacere a habitatelor și de prevenire și reducere a impactului dezastrelor naturale.</w:t>
            </w:r>
          </w:p>
        </w:tc>
        <w:tc>
          <w:tcPr>
            <w:tcW w:w="1985" w:type="dxa"/>
            <w:vMerge w:val="restart"/>
            <w:shd w:val="clear" w:color="auto" w:fill="F2F2F2"/>
            <w:vAlign w:val="center"/>
          </w:tcPr>
          <w:p w14:paraId="29A03B9F"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031C0920"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6596B33D"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61672837"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r>
      <w:tr w:rsidR="00670FD4" w:rsidRPr="00344FCE" w14:paraId="48E194D5" w14:textId="77777777" w:rsidTr="001925BA">
        <w:trPr>
          <w:trHeight w:val="20"/>
        </w:trPr>
        <w:tc>
          <w:tcPr>
            <w:tcW w:w="2787" w:type="dxa"/>
            <w:vMerge/>
            <w:shd w:val="clear" w:color="auto" w:fill="F2F2F2"/>
            <w:vAlign w:val="center"/>
          </w:tcPr>
          <w:p w14:paraId="12215AC9"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F2F2F2"/>
            <w:vAlign w:val="center"/>
          </w:tcPr>
          <w:p w14:paraId="24A49056"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F2F2F2"/>
            <w:vAlign w:val="center"/>
          </w:tcPr>
          <w:p w14:paraId="5841F960"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7608B24F" w14:textId="77777777" w:rsidR="00670FD4" w:rsidRPr="00344FCE" w:rsidRDefault="00670FD4" w:rsidP="001925BA">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46AD8A1E"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F2F2F2"/>
            <w:vAlign w:val="center"/>
          </w:tcPr>
          <w:p w14:paraId="0A987FD6"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Suprafața habitatelor supuse procesului de refacere, raportată la suprafața totala a habitatelor de același tip din zona costieră</w:t>
            </w:r>
          </w:p>
        </w:tc>
        <w:tc>
          <w:tcPr>
            <w:tcW w:w="1985" w:type="dxa"/>
            <w:vMerge/>
            <w:shd w:val="clear" w:color="auto" w:fill="F2F2F2"/>
            <w:vAlign w:val="center"/>
          </w:tcPr>
          <w:p w14:paraId="176CED8A"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568AADC6" w14:textId="77777777" w:rsidTr="001925BA">
        <w:trPr>
          <w:trHeight w:val="20"/>
        </w:trPr>
        <w:tc>
          <w:tcPr>
            <w:tcW w:w="2787" w:type="dxa"/>
            <w:shd w:val="clear" w:color="auto" w:fill="F2F2F2"/>
            <w:vAlign w:val="center"/>
          </w:tcPr>
          <w:p w14:paraId="11179715"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A.7 Identificarea, catalogarea și monitorizarea serviciilor ecosistemice</w:t>
            </w:r>
          </w:p>
        </w:tc>
        <w:tc>
          <w:tcPr>
            <w:tcW w:w="1999" w:type="dxa"/>
            <w:shd w:val="clear" w:color="auto" w:fill="F2F2F2"/>
            <w:vAlign w:val="center"/>
          </w:tcPr>
          <w:p w14:paraId="510BC317"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MMAP, MCID (INCD GeoEcoMar, INCDM Grigore Antipa, INCDDD), ME (UOC, UB, UAIC)</w:t>
            </w:r>
          </w:p>
        </w:tc>
        <w:tc>
          <w:tcPr>
            <w:tcW w:w="1559" w:type="dxa"/>
            <w:shd w:val="clear" w:color="auto" w:fill="F2F2F2"/>
            <w:vAlign w:val="center"/>
          </w:tcPr>
          <w:p w14:paraId="4B48279D"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tc>
        <w:tc>
          <w:tcPr>
            <w:tcW w:w="2127" w:type="dxa"/>
            <w:shd w:val="clear" w:color="auto" w:fill="F2F2F2"/>
            <w:vAlign w:val="center"/>
          </w:tcPr>
          <w:p w14:paraId="2A249F35"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Realizarea Catalogului serviciilor ecosistemice marine și costiere (aferente zonei costiere)</w:t>
            </w:r>
          </w:p>
        </w:tc>
        <w:tc>
          <w:tcPr>
            <w:tcW w:w="2409" w:type="dxa"/>
            <w:shd w:val="clear" w:color="auto" w:fill="F2F2F2"/>
            <w:vAlign w:val="center"/>
          </w:tcPr>
          <w:p w14:paraId="59FC80AE"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Valorizarea serviciilor ecosistemice din zona costieră</w:t>
            </w:r>
          </w:p>
        </w:tc>
        <w:tc>
          <w:tcPr>
            <w:tcW w:w="2268" w:type="dxa"/>
            <w:shd w:val="clear" w:color="auto" w:fill="F2F2F2"/>
            <w:vAlign w:val="center"/>
          </w:tcPr>
          <w:p w14:paraId="46E1778A"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servicii ecosistemice identificate și evaluate în zona costieră.</w:t>
            </w:r>
          </w:p>
        </w:tc>
        <w:tc>
          <w:tcPr>
            <w:tcW w:w="1985" w:type="dxa"/>
            <w:shd w:val="clear" w:color="auto" w:fill="F2F2F2"/>
            <w:vAlign w:val="center"/>
          </w:tcPr>
          <w:p w14:paraId="52B3CB4A"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670FD4" w:rsidRPr="00344FCE" w14:paraId="64690907" w14:textId="77777777" w:rsidTr="001925BA">
        <w:trPr>
          <w:trHeight w:val="20"/>
        </w:trPr>
        <w:tc>
          <w:tcPr>
            <w:tcW w:w="2787" w:type="dxa"/>
            <w:shd w:val="clear" w:color="auto" w:fill="F2F2F2"/>
            <w:vAlign w:val="center"/>
          </w:tcPr>
          <w:p w14:paraId="2139613E"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A.8 Stabilirea instrumentelor pentru valorizarea monetară și non-monetară a serviciilor ecosistemice în concordanță cu obiectivele de protecție și conservare a speciilor și habitatelor</w:t>
            </w:r>
          </w:p>
        </w:tc>
        <w:tc>
          <w:tcPr>
            <w:tcW w:w="1999" w:type="dxa"/>
            <w:shd w:val="clear" w:color="auto" w:fill="F2F2F2"/>
            <w:vAlign w:val="center"/>
          </w:tcPr>
          <w:p w14:paraId="315458F9"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MMAP, MCID (INCD GeoEcoMar, INCDM Grigore Antipa, INCDDD), ME (UOC, UB, UAICI)</w:t>
            </w:r>
          </w:p>
        </w:tc>
        <w:tc>
          <w:tcPr>
            <w:tcW w:w="1559" w:type="dxa"/>
            <w:shd w:val="clear" w:color="auto" w:fill="F2F2F2"/>
            <w:vAlign w:val="center"/>
          </w:tcPr>
          <w:p w14:paraId="0BE60CF2"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tc>
        <w:tc>
          <w:tcPr>
            <w:tcW w:w="2127" w:type="dxa"/>
            <w:shd w:val="clear" w:color="auto" w:fill="F2F2F2"/>
            <w:vAlign w:val="center"/>
          </w:tcPr>
          <w:p w14:paraId="138B5424"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Realizarea ghidului metodologic privind monetizarea serviciilor ecosistemice</w:t>
            </w:r>
          </w:p>
        </w:tc>
        <w:tc>
          <w:tcPr>
            <w:tcW w:w="2409" w:type="dxa"/>
            <w:shd w:val="clear" w:color="auto" w:fill="F2F2F2"/>
            <w:vAlign w:val="center"/>
          </w:tcPr>
          <w:p w14:paraId="6327B3B4"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Valorizarea serviciilor ecosistemice din zona costieră</w:t>
            </w:r>
          </w:p>
        </w:tc>
        <w:tc>
          <w:tcPr>
            <w:tcW w:w="2268" w:type="dxa"/>
            <w:shd w:val="clear" w:color="auto" w:fill="F2F2F2"/>
            <w:vAlign w:val="center"/>
          </w:tcPr>
          <w:p w14:paraId="0525FD4D"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servicii ecosistemice valorizate prin instrumente economice</w:t>
            </w:r>
          </w:p>
        </w:tc>
        <w:tc>
          <w:tcPr>
            <w:tcW w:w="1985" w:type="dxa"/>
            <w:shd w:val="clear" w:color="auto" w:fill="F2F2F2"/>
            <w:vAlign w:val="center"/>
          </w:tcPr>
          <w:p w14:paraId="1D731E95"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670FD4" w:rsidRPr="00344FCE" w14:paraId="34BFC427" w14:textId="77777777" w:rsidTr="001925BA">
        <w:trPr>
          <w:trHeight w:val="20"/>
        </w:trPr>
        <w:tc>
          <w:tcPr>
            <w:tcW w:w="2787" w:type="dxa"/>
            <w:vMerge w:val="restart"/>
            <w:shd w:val="clear" w:color="auto" w:fill="F2F2F2"/>
            <w:vAlign w:val="center"/>
          </w:tcPr>
          <w:p w14:paraId="2C8C35A6"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A.9 Elaborarea instrumentelor de </w:t>
            </w:r>
            <w:r w:rsidRPr="00344FCE">
              <w:rPr>
                <w:rFonts w:eastAsia="Times New Roman" w:cs="Times New Roman"/>
                <w:kern w:val="0"/>
                <w:sz w:val="22"/>
                <w:szCs w:val="22"/>
                <w:lang w:val="ro-RO"/>
              </w:rPr>
              <w:lastRenderedPageBreak/>
              <w:t>reglementare pentru direcționarea investițiilor către fondul destinat proiectelor de reconstrucție ecologică și renaturare</w:t>
            </w:r>
          </w:p>
        </w:tc>
        <w:tc>
          <w:tcPr>
            <w:tcW w:w="1999" w:type="dxa"/>
            <w:vMerge w:val="restart"/>
            <w:shd w:val="clear" w:color="auto" w:fill="F2F2F2"/>
            <w:vAlign w:val="center"/>
          </w:tcPr>
          <w:p w14:paraId="19F2EE8F"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lastRenderedPageBreak/>
              <w:t xml:space="preserve">MMAP, MCID (INCD GeoEcoMar, </w:t>
            </w:r>
            <w:r w:rsidRPr="00344FCE">
              <w:rPr>
                <w:rFonts w:eastAsia="Times New Roman" w:cs="Times New Roman"/>
                <w:kern w:val="0"/>
                <w:sz w:val="22"/>
                <w:szCs w:val="22"/>
                <w:lang w:val="ro-RO"/>
              </w:rPr>
              <w:lastRenderedPageBreak/>
              <w:t>INCDM Grigore Antipa, INCDDD), ME (UOC, UB, UAIC)</w:t>
            </w:r>
          </w:p>
        </w:tc>
        <w:tc>
          <w:tcPr>
            <w:tcW w:w="1559" w:type="dxa"/>
            <w:vMerge w:val="restart"/>
            <w:shd w:val="clear" w:color="auto" w:fill="F2F2F2"/>
            <w:vAlign w:val="center"/>
          </w:tcPr>
          <w:p w14:paraId="17B6A1D8"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lastRenderedPageBreak/>
              <w:t>2040</w:t>
            </w:r>
          </w:p>
        </w:tc>
        <w:tc>
          <w:tcPr>
            <w:tcW w:w="2127" w:type="dxa"/>
            <w:vMerge w:val="restart"/>
            <w:shd w:val="clear" w:color="auto" w:fill="F2F2F2"/>
            <w:vAlign w:val="center"/>
          </w:tcPr>
          <w:p w14:paraId="546B904B"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Creșterea numărului de proiecte de </w:t>
            </w:r>
            <w:r w:rsidRPr="00344FCE">
              <w:rPr>
                <w:rFonts w:eastAsia="Times New Roman" w:cs="Times New Roman"/>
                <w:kern w:val="0"/>
                <w:sz w:val="22"/>
                <w:szCs w:val="22"/>
                <w:lang w:val="ro-RO"/>
              </w:rPr>
              <w:lastRenderedPageBreak/>
              <w:t>reconstrucție ecologică și renaturare finanțate</w:t>
            </w:r>
          </w:p>
        </w:tc>
        <w:tc>
          <w:tcPr>
            <w:tcW w:w="2409" w:type="dxa"/>
            <w:vMerge w:val="restart"/>
            <w:shd w:val="clear" w:color="auto" w:fill="F2F2F2"/>
            <w:vAlign w:val="center"/>
          </w:tcPr>
          <w:p w14:paraId="3D8B6942"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lastRenderedPageBreak/>
              <w:t>Management eficient al ariilor protejate</w:t>
            </w:r>
          </w:p>
        </w:tc>
        <w:tc>
          <w:tcPr>
            <w:tcW w:w="2268" w:type="dxa"/>
            <w:shd w:val="clear" w:color="auto" w:fill="F2F2F2"/>
            <w:vAlign w:val="center"/>
          </w:tcPr>
          <w:p w14:paraId="2851E4EA"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Suprafața totală și ponderea zonelor </w:t>
            </w:r>
            <w:r w:rsidRPr="00344FCE">
              <w:rPr>
                <w:rFonts w:eastAsia="Times New Roman" w:cs="Times New Roman"/>
                <w:kern w:val="0"/>
                <w:sz w:val="22"/>
                <w:szCs w:val="22"/>
                <w:lang w:val="ro-RO"/>
              </w:rPr>
              <w:lastRenderedPageBreak/>
              <w:t>degradate din ariile protejate în urma desfășurării de activității umane</w:t>
            </w:r>
          </w:p>
        </w:tc>
        <w:tc>
          <w:tcPr>
            <w:tcW w:w="1985" w:type="dxa"/>
            <w:vMerge w:val="restart"/>
            <w:shd w:val="clear" w:color="auto" w:fill="F2F2F2"/>
            <w:vAlign w:val="center"/>
          </w:tcPr>
          <w:p w14:paraId="68C7B9F9"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lastRenderedPageBreak/>
              <w:t>2027</w:t>
            </w:r>
          </w:p>
          <w:p w14:paraId="513684E9"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3395B75C"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11A820A9"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p w14:paraId="79F9BDDF"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7CF602FA"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04DD317A"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2034</w:t>
            </w:r>
          </w:p>
        </w:tc>
      </w:tr>
      <w:tr w:rsidR="00670FD4" w:rsidRPr="00344FCE" w14:paraId="190E8433" w14:textId="77777777" w:rsidTr="001925BA">
        <w:trPr>
          <w:trHeight w:val="20"/>
        </w:trPr>
        <w:tc>
          <w:tcPr>
            <w:tcW w:w="2787" w:type="dxa"/>
            <w:vMerge/>
            <w:shd w:val="clear" w:color="auto" w:fill="F2F2F2"/>
            <w:vAlign w:val="center"/>
          </w:tcPr>
          <w:p w14:paraId="3BD4D3CD"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6ECE2BD2"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76741B03"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5F3D2884" w14:textId="77777777" w:rsidR="00670FD4" w:rsidRPr="00344FCE" w:rsidRDefault="00670FD4" w:rsidP="001925BA">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4848357B"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F2F2F2"/>
            <w:vAlign w:val="center"/>
          </w:tcPr>
          <w:p w14:paraId="15388E3F"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Rata pierderii sau deteriorării ariilor protejate</w:t>
            </w:r>
          </w:p>
        </w:tc>
        <w:tc>
          <w:tcPr>
            <w:tcW w:w="1985" w:type="dxa"/>
            <w:vMerge/>
            <w:shd w:val="clear" w:color="auto" w:fill="F2F2F2"/>
            <w:vAlign w:val="center"/>
          </w:tcPr>
          <w:p w14:paraId="35B5C334"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5290CC30" w14:textId="77777777" w:rsidTr="001925BA">
        <w:trPr>
          <w:trHeight w:val="20"/>
        </w:trPr>
        <w:tc>
          <w:tcPr>
            <w:tcW w:w="2787" w:type="dxa"/>
            <w:vMerge/>
            <w:shd w:val="clear" w:color="auto" w:fill="F2F2F2"/>
            <w:vAlign w:val="center"/>
          </w:tcPr>
          <w:p w14:paraId="5CF257FD"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58267F58"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57F0252A"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32CEA010" w14:textId="77777777" w:rsidR="00670FD4" w:rsidRPr="00344FCE" w:rsidRDefault="00670FD4" w:rsidP="001925BA">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3BDF5D8E"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F2F2F2"/>
            <w:vAlign w:val="center"/>
          </w:tcPr>
          <w:p w14:paraId="0314DEF7"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măsuri incluse în planurile de management care să corespundă dezideratului de conservare a ariilor protejate, a habitatelor naturale și a biodiversității</w:t>
            </w:r>
          </w:p>
        </w:tc>
        <w:tc>
          <w:tcPr>
            <w:tcW w:w="1985" w:type="dxa"/>
            <w:vMerge/>
            <w:shd w:val="clear" w:color="auto" w:fill="F2F2F2"/>
            <w:vAlign w:val="center"/>
          </w:tcPr>
          <w:p w14:paraId="52BA5D0E"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30038E5F" w14:textId="77777777" w:rsidTr="001925BA">
        <w:trPr>
          <w:trHeight w:val="20"/>
        </w:trPr>
        <w:tc>
          <w:tcPr>
            <w:tcW w:w="2787" w:type="dxa"/>
            <w:vMerge/>
            <w:shd w:val="clear" w:color="auto" w:fill="F2F2F2"/>
            <w:vAlign w:val="center"/>
          </w:tcPr>
          <w:p w14:paraId="17F61FB6"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582B4D87"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104A07AB"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0314D383" w14:textId="77777777" w:rsidR="00670FD4" w:rsidRPr="00344FCE" w:rsidRDefault="00670FD4" w:rsidP="001925BA">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5102F865"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F2F2F2"/>
            <w:vAlign w:val="center"/>
          </w:tcPr>
          <w:p w14:paraId="7A00102F"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planuri de management elaborate / revizuite / implementate</w:t>
            </w:r>
          </w:p>
        </w:tc>
        <w:tc>
          <w:tcPr>
            <w:tcW w:w="1985" w:type="dxa"/>
            <w:vMerge/>
            <w:shd w:val="clear" w:color="auto" w:fill="F2F2F2"/>
            <w:vAlign w:val="center"/>
          </w:tcPr>
          <w:p w14:paraId="6F79D594"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65496CEE" w14:textId="77777777" w:rsidTr="001925BA">
        <w:trPr>
          <w:trHeight w:val="20"/>
        </w:trPr>
        <w:tc>
          <w:tcPr>
            <w:tcW w:w="2787" w:type="dxa"/>
            <w:vMerge/>
            <w:shd w:val="clear" w:color="auto" w:fill="F2F2F2"/>
            <w:vAlign w:val="center"/>
          </w:tcPr>
          <w:p w14:paraId="137992E1"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3A047657"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583CAEB6"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2B07646B" w14:textId="77777777" w:rsidR="00670FD4" w:rsidRPr="00344FCE" w:rsidRDefault="00670FD4" w:rsidP="001925BA">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val="restart"/>
            <w:shd w:val="clear" w:color="auto" w:fill="F2F2F2"/>
            <w:vAlign w:val="center"/>
          </w:tcPr>
          <w:p w14:paraId="55A430B7"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Refacerea habitatelor folosind soluții bazate pe natură (nature-based solutions)</w:t>
            </w:r>
          </w:p>
        </w:tc>
        <w:tc>
          <w:tcPr>
            <w:tcW w:w="2268" w:type="dxa"/>
            <w:shd w:val="clear" w:color="auto" w:fill="F2F2F2"/>
            <w:vAlign w:val="center"/>
          </w:tcPr>
          <w:p w14:paraId="16EDC023"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Plan de refacere a habitatelor și de prevenire și reducere a impactului dezastrelor naturale.</w:t>
            </w:r>
          </w:p>
        </w:tc>
        <w:tc>
          <w:tcPr>
            <w:tcW w:w="1985" w:type="dxa"/>
            <w:vMerge/>
            <w:shd w:val="clear" w:color="auto" w:fill="F2F2F2"/>
            <w:vAlign w:val="center"/>
          </w:tcPr>
          <w:p w14:paraId="39F0C885"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56297446" w14:textId="77777777" w:rsidTr="001925BA">
        <w:trPr>
          <w:trHeight w:val="20"/>
        </w:trPr>
        <w:tc>
          <w:tcPr>
            <w:tcW w:w="2787" w:type="dxa"/>
            <w:vMerge/>
            <w:shd w:val="clear" w:color="auto" w:fill="F2F2F2"/>
            <w:vAlign w:val="center"/>
          </w:tcPr>
          <w:p w14:paraId="4CE4E5C3"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044F5AFC"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736233A9"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1964CA7D" w14:textId="77777777" w:rsidR="00670FD4" w:rsidRPr="00344FCE" w:rsidRDefault="00670FD4" w:rsidP="001925BA">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4AB8ED0F"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F2F2F2"/>
            <w:vAlign w:val="center"/>
          </w:tcPr>
          <w:p w14:paraId="336B3583"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Suprafața habitatelor supuse procesului de refacere, raportată la suprafața totală a habitatelor de același tip din zona costiera</w:t>
            </w:r>
          </w:p>
        </w:tc>
        <w:tc>
          <w:tcPr>
            <w:tcW w:w="1985" w:type="dxa"/>
            <w:vMerge/>
            <w:shd w:val="clear" w:color="auto" w:fill="F2F2F2"/>
            <w:vAlign w:val="center"/>
          </w:tcPr>
          <w:p w14:paraId="32F0ACFF"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3D760C9C" w14:textId="77777777" w:rsidTr="001925BA">
        <w:trPr>
          <w:trHeight w:val="20"/>
        </w:trPr>
        <w:tc>
          <w:tcPr>
            <w:tcW w:w="2787" w:type="dxa"/>
            <w:vMerge w:val="restart"/>
            <w:shd w:val="clear" w:color="auto" w:fill="F2F2F2"/>
            <w:vAlign w:val="center"/>
          </w:tcPr>
          <w:p w14:paraId="0F5E7FC5" w14:textId="77777777" w:rsidR="00670FD4" w:rsidRPr="00344FCE" w:rsidRDefault="00670FD4" w:rsidP="001925BA">
            <w:pPr>
              <w:spacing w:before="0" w:after="0" w:line="240" w:lineRule="auto"/>
              <w:ind w:firstLine="0"/>
              <w:jc w:val="left"/>
              <w:rPr>
                <w:rFonts w:eastAsia="Times New Roman" w:cs="Times New Roman"/>
                <w:kern w:val="0"/>
                <w:sz w:val="22"/>
                <w:szCs w:val="22"/>
                <w:lang w:val="ro-RO"/>
              </w:rPr>
            </w:pPr>
            <w:r w:rsidRPr="00344FCE">
              <w:rPr>
                <w:rFonts w:eastAsia="Times New Roman" w:cs="Times New Roman"/>
                <w:kern w:val="0"/>
                <w:sz w:val="22"/>
                <w:szCs w:val="22"/>
                <w:lang w:val="ro-RO"/>
              </w:rPr>
              <w:t xml:space="preserve">A.10 Managementul speciilor invazive prin programe de monitorizare a vectorilor și a posibilelor căi </w:t>
            </w:r>
            <w:r w:rsidRPr="00344FCE">
              <w:rPr>
                <w:rFonts w:eastAsia="Times New Roman" w:cs="Times New Roman"/>
                <w:kern w:val="0"/>
                <w:sz w:val="22"/>
                <w:szCs w:val="22"/>
                <w:lang w:val="ro-RO"/>
              </w:rPr>
              <w:lastRenderedPageBreak/>
              <w:t>de pătrundere, precum și prin măsuri de prevenire a răspândirii acestora (detectare rapidă, inclusiv prin metode eDNA)</w:t>
            </w:r>
          </w:p>
        </w:tc>
        <w:tc>
          <w:tcPr>
            <w:tcW w:w="1999" w:type="dxa"/>
            <w:vMerge w:val="restart"/>
            <w:shd w:val="clear" w:color="auto" w:fill="F2F2F2"/>
            <w:vAlign w:val="center"/>
          </w:tcPr>
          <w:p w14:paraId="37584FFB" w14:textId="77777777" w:rsidR="00670FD4" w:rsidRPr="00344FCE" w:rsidRDefault="00670FD4" w:rsidP="001925BA">
            <w:pPr>
              <w:spacing w:before="0" w:after="0" w:line="240" w:lineRule="auto"/>
              <w:ind w:firstLine="0"/>
              <w:jc w:val="left"/>
              <w:rPr>
                <w:rFonts w:eastAsia="Times New Roman" w:cs="Times New Roman"/>
                <w:kern w:val="0"/>
                <w:sz w:val="22"/>
                <w:szCs w:val="22"/>
                <w:lang w:val="ro-RO"/>
              </w:rPr>
            </w:pPr>
            <w:r w:rsidRPr="00344FCE">
              <w:rPr>
                <w:rFonts w:eastAsia="Times New Roman" w:cs="Times New Roman"/>
                <w:kern w:val="0"/>
                <w:sz w:val="22"/>
                <w:szCs w:val="22"/>
                <w:lang w:val="ro-RO"/>
              </w:rPr>
              <w:lastRenderedPageBreak/>
              <w:t xml:space="preserve">MMAP, MCID (INCD GeoEcoMar, INCDM Grigore </w:t>
            </w:r>
            <w:r w:rsidRPr="00344FCE">
              <w:rPr>
                <w:rFonts w:eastAsia="Times New Roman" w:cs="Times New Roman"/>
                <w:kern w:val="0"/>
                <w:sz w:val="22"/>
                <w:szCs w:val="22"/>
                <w:lang w:val="ro-RO"/>
              </w:rPr>
              <w:lastRenderedPageBreak/>
              <w:t>Antipa, INCDDD), ME (UOC, UB, UAIC)</w:t>
            </w:r>
          </w:p>
        </w:tc>
        <w:tc>
          <w:tcPr>
            <w:tcW w:w="1559" w:type="dxa"/>
            <w:vMerge w:val="restart"/>
            <w:shd w:val="clear" w:color="auto" w:fill="F2F2F2"/>
            <w:vAlign w:val="center"/>
          </w:tcPr>
          <w:p w14:paraId="5201187D"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lastRenderedPageBreak/>
              <w:t>2040</w:t>
            </w:r>
          </w:p>
        </w:tc>
        <w:tc>
          <w:tcPr>
            <w:tcW w:w="2127" w:type="dxa"/>
            <w:vMerge w:val="restart"/>
            <w:shd w:val="clear" w:color="auto" w:fill="F2F2F2"/>
            <w:vAlign w:val="center"/>
          </w:tcPr>
          <w:p w14:paraId="0F15581E"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Reducerea numărului de specii de pe Lista Roșie care sunt </w:t>
            </w:r>
            <w:r w:rsidRPr="00344FCE">
              <w:rPr>
                <w:rFonts w:eastAsia="Times New Roman" w:cs="Times New Roman"/>
                <w:kern w:val="0"/>
                <w:sz w:val="22"/>
                <w:szCs w:val="22"/>
                <w:lang w:val="ro-RO"/>
              </w:rPr>
              <w:lastRenderedPageBreak/>
              <w:t>amenințate de speciile invazive</w:t>
            </w:r>
          </w:p>
          <w:p w14:paraId="40E22F2B"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Atingerea Stării Ecologice Bune pentru Descriptorul 2 – Specii non-indigene, conform DCSM</w:t>
            </w:r>
          </w:p>
          <w:p w14:paraId="40386E45" w14:textId="77777777" w:rsidR="00670FD4" w:rsidRPr="00344FCE" w:rsidRDefault="00670FD4" w:rsidP="001925BA">
            <w:pPr>
              <w:spacing w:before="0" w:line="240" w:lineRule="auto"/>
              <w:ind w:firstLine="0"/>
              <w:rPr>
                <w:rFonts w:eastAsia="Times New Roman" w:cs="Times New Roman"/>
                <w:kern w:val="0"/>
                <w:sz w:val="22"/>
                <w:szCs w:val="22"/>
                <w:lang w:val="ro-RO"/>
              </w:rPr>
            </w:pPr>
          </w:p>
        </w:tc>
        <w:tc>
          <w:tcPr>
            <w:tcW w:w="2409" w:type="dxa"/>
            <w:vMerge w:val="restart"/>
            <w:shd w:val="clear" w:color="auto" w:fill="F2F2F2"/>
            <w:vAlign w:val="center"/>
          </w:tcPr>
          <w:p w14:paraId="4FEB2B40"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0BE71C75"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3C3B5EB0"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4CAC69E4"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0D673582"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4B7C825C"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Specii invazive</w:t>
            </w:r>
          </w:p>
        </w:tc>
        <w:tc>
          <w:tcPr>
            <w:tcW w:w="2268" w:type="dxa"/>
            <w:shd w:val="clear" w:color="auto" w:fill="F2F2F2"/>
            <w:vAlign w:val="center"/>
          </w:tcPr>
          <w:p w14:paraId="02A1DDDD"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lastRenderedPageBreak/>
              <w:t xml:space="preserve">Numărul de specii alogene invazive pentru care s-au prevăzut măsuri de </w:t>
            </w:r>
            <w:r w:rsidRPr="00344FCE">
              <w:rPr>
                <w:rFonts w:eastAsia="Times New Roman" w:cs="Times New Roman"/>
                <w:kern w:val="0"/>
                <w:sz w:val="22"/>
                <w:szCs w:val="22"/>
                <w:lang w:val="ro-RO"/>
              </w:rPr>
              <w:lastRenderedPageBreak/>
              <w:t>eradicare/ limitare /control al populațiilor</w:t>
            </w:r>
          </w:p>
        </w:tc>
        <w:tc>
          <w:tcPr>
            <w:tcW w:w="1985" w:type="dxa"/>
            <w:vMerge w:val="restart"/>
            <w:shd w:val="clear" w:color="auto" w:fill="F2F2F2"/>
            <w:vAlign w:val="center"/>
          </w:tcPr>
          <w:p w14:paraId="16C923FB"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lastRenderedPageBreak/>
              <w:t>Anual</w:t>
            </w:r>
          </w:p>
        </w:tc>
      </w:tr>
      <w:tr w:rsidR="00670FD4" w:rsidRPr="00344FCE" w14:paraId="29095193" w14:textId="77777777" w:rsidTr="001925BA">
        <w:trPr>
          <w:trHeight w:val="20"/>
        </w:trPr>
        <w:tc>
          <w:tcPr>
            <w:tcW w:w="2787" w:type="dxa"/>
            <w:vMerge/>
            <w:shd w:val="clear" w:color="auto" w:fill="F2F2F2"/>
            <w:vAlign w:val="center"/>
          </w:tcPr>
          <w:p w14:paraId="74CE7E88"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30D91AA6"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13E013DF"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16670305"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08EB825A"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F2F2F2"/>
            <w:vAlign w:val="center"/>
          </w:tcPr>
          <w:p w14:paraId="4DF47EA0"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specii alohtone/invazive introduse prin activități umane (acvacultură, transport naval, comerț, etc)</w:t>
            </w:r>
          </w:p>
        </w:tc>
        <w:tc>
          <w:tcPr>
            <w:tcW w:w="1985" w:type="dxa"/>
            <w:vMerge/>
            <w:shd w:val="clear" w:color="auto" w:fill="F2F2F2"/>
            <w:vAlign w:val="center"/>
          </w:tcPr>
          <w:p w14:paraId="37AAA85A"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228C8590" w14:textId="77777777" w:rsidTr="001925BA">
        <w:trPr>
          <w:trHeight w:val="20"/>
        </w:trPr>
        <w:tc>
          <w:tcPr>
            <w:tcW w:w="2787" w:type="dxa"/>
            <w:vMerge/>
            <w:shd w:val="clear" w:color="auto" w:fill="F2F2F2"/>
            <w:vAlign w:val="center"/>
          </w:tcPr>
          <w:p w14:paraId="658B35D0"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289C5C5B"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118FE933"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58F210B5"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5977DF05"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F2F2F2"/>
            <w:vAlign w:val="center"/>
          </w:tcPr>
          <w:p w14:paraId="66B3B8E7"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specii alohtone potențial invazive în zona costiera</w:t>
            </w:r>
          </w:p>
        </w:tc>
        <w:tc>
          <w:tcPr>
            <w:tcW w:w="1985" w:type="dxa"/>
            <w:vMerge/>
            <w:shd w:val="clear" w:color="auto" w:fill="F2F2F2"/>
            <w:vAlign w:val="center"/>
          </w:tcPr>
          <w:p w14:paraId="17C959F3"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14B4D8A4" w14:textId="77777777" w:rsidTr="001925BA">
        <w:trPr>
          <w:trHeight w:val="20"/>
        </w:trPr>
        <w:tc>
          <w:tcPr>
            <w:tcW w:w="2787" w:type="dxa"/>
            <w:vMerge w:val="restart"/>
            <w:shd w:val="clear" w:color="auto" w:fill="auto"/>
            <w:vAlign w:val="center"/>
          </w:tcPr>
          <w:p w14:paraId="03ECA754"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B.1 Inițierea și implementarea programelor pentru îndepărtarea deșeurilor marine, din coloana de apă și de pe fundul mării</w:t>
            </w:r>
          </w:p>
        </w:tc>
        <w:tc>
          <w:tcPr>
            <w:tcW w:w="1999" w:type="dxa"/>
            <w:vMerge w:val="restart"/>
            <w:shd w:val="clear" w:color="auto" w:fill="auto"/>
            <w:vAlign w:val="center"/>
          </w:tcPr>
          <w:p w14:paraId="28DBF5F8"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MMAP, MADR</w:t>
            </w:r>
            <w:r>
              <w:rPr>
                <w:rFonts w:eastAsia="Times New Roman" w:cs="Times New Roman"/>
                <w:kern w:val="0"/>
                <w:sz w:val="22"/>
                <w:szCs w:val="22"/>
                <w:lang w:val="ro-RO"/>
              </w:rPr>
              <w:t xml:space="preserve"> </w:t>
            </w:r>
            <w:r w:rsidRPr="00344FCE">
              <w:rPr>
                <w:rFonts w:eastAsia="Times New Roman" w:cs="Times New Roman"/>
                <w:kern w:val="0"/>
                <w:sz w:val="22"/>
                <w:szCs w:val="22"/>
                <w:lang w:val="ro-RO"/>
              </w:rPr>
              <w:t>(prin ANPA), MCID (INCD GeoEcoMar și INCDM Grigore Antipa)</w:t>
            </w:r>
          </w:p>
        </w:tc>
        <w:tc>
          <w:tcPr>
            <w:tcW w:w="1559" w:type="dxa"/>
            <w:vMerge w:val="restart"/>
            <w:shd w:val="clear" w:color="auto" w:fill="auto"/>
            <w:vAlign w:val="center"/>
          </w:tcPr>
          <w:p w14:paraId="1977E444"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2036</w:t>
            </w:r>
          </w:p>
        </w:tc>
        <w:tc>
          <w:tcPr>
            <w:tcW w:w="2127" w:type="dxa"/>
            <w:vMerge w:val="restart"/>
            <w:shd w:val="clear" w:color="auto" w:fill="auto"/>
            <w:vAlign w:val="center"/>
          </w:tcPr>
          <w:p w14:paraId="277CCEE2"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Atingerea Stării Ecologice Bune pentru Descriptorul 10 – Deșeuri Marine, conform DCSM</w:t>
            </w:r>
          </w:p>
        </w:tc>
        <w:tc>
          <w:tcPr>
            <w:tcW w:w="2409" w:type="dxa"/>
            <w:vMerge w:val="restart"/>
            <w:shd w:val="clear" w:color="auto" w:fill="auto"/>
            <w:vAlign w:val="center"/>
          </w:tcPr>
          <w:p w14:paraId="7A198732"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406473DD"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68BDB1EF"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Cantitatea de deșeuri</w:t>
            </w:r>
          </w:p>
          <w:p w14:paraId="5060170F"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1161703F"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Cantitatea de deșeuri de pe plaje</w:t>
            </w:r>
          </w:p>
        </w:tc>
        <w:tc>
          <w:tcPr>
            <w:tcW w:w="1985" w:type="dxa"/>
            <w:vMerge w:val="restart"/>
            <w:shd w:val="clear" w:color="auto" w:fill="auto"/>
            <w:vAlign w:val="center"/>
          </w:tcPr>
          <w:p w14:paraId="621BD389"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608F26E1"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6ED36618"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3F009730"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tc>
      </w:tr>
      <w:tr w:rsidR="00670FD4" w:rsidRPr="00344FCE" w14:paraId="3AC63A26" w14:textId="77777777" w:rsidTr="001925BA">
        <w:trPr>
          <w:trHeight w:val="20"/>
        </w:trPr>
        <w:tc>
          <w:tcPr>
            <w:tcW w:w="2787" w:type="dxa"/>
            <w:vMerge/>
            <w:shd w:val="clear" w:color="auto" w:fill="auto"/>
            <w:vAlign w:val="center"/>
          </w:tcPr>
          <w:p w14:paraId="78E7DB00"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71C97D84"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59E12E28"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2EB4A274" w14:textId="77777777" w:rsidR="00670FD4" w:rsidRPr="00344FCE" w:rsidRDefault="00670FD4" w:rsidP="001925BA">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auto"/>
            <w:vAlign w:val="center"/>
          </w:tcPr>
          <w:p w14:paraId="62C90186"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544C5329"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Cantitatea de deșeuri plutitoare și scufundate în mare</w:t>
            </w:r>
          </w:p>
        </w:tc>
        <w:tc>
          <w:tcPr>
            <w:tcW w:w="1985" w:type="dxa"/>
            <w:vMerge/>
            <w:shd w:val="clear" w:color="auto" w:fill="auto"/>
            <w:vAlign w:val="center"/>
          </w:tcPr>
          <w:p w14:paraId="0F1F31CD"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640AFA03" w14:textId="77777777" w:rsidTr="001925BA">
        <w:trPr>
          <w:trHeight w:val="20"/>
        </w:trPr>
        <w:tc>
          <w:tcPr>
            <w:tcW w:w="2787" w:type="dxa"/>
            <w:vMerge/>
            <w:shd w:val="clear" w:color="auto" w:fill="auto"/>
            <w:vAlign w:val="center"/>
          </w:tcPr>
          <w:p w14:paraId="61B191E1"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743648EA"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61983397"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270007FE" w14:textId="77777777" w:rsidR="00670FD4" w:rsidRPr="00344FCE" w:rsidRDefault="00670FD4" w:rsidP="001925BA">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auto"/>
            <w:vAlign w:val="center"/>
          </w:tcPr>
          <w:p w14:paraId="473F5079"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62FF0A72"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Distribuția spațială, extinderea temporală și nivelurile de sunet antropic continuu de joasă frecvență</w:t>
            </w:r>
          </w:p>
        </w:tc>
        <w:tc>
          <w:tcPr>
            <w:tcW w:w="1985" w:type="dxa"/>
            <w:vMerge/>
            <w:shd w:val="clear" w:color="auto" w:fill="auto"/>
            <w:vAlign w:val="center"/>
          </w:tcPr>
          <w:p w14:paraId="6D40A51B"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67DD267A" w14:textId="77777777" w:rsidTr="001925BA">
        <w:trPr>
          <w:trHeight w:val="20"/>
        </w:trPr>
        <w:tc>
          <w:tcPr>
            <w:tcW w:w="2787" w:type="dxa"/>
            <w:vMerge w:val="restart"/>
            <w:shd w:val="clear" w:color="auto" w:fill="auto"/>
            <w:vAlign w:val="center"/>
          </w:tcPr>
          <w:p w14:paraId="14263303"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B.</w:t>
            </w:r>
            <w:r>
              <w:rPr>
                <w:rFonts w:eastAsia="Times New Roman" w:cs="Times New Roman"/>
                <w:kern w:val="0"/>
                <w:sz w:val="22"/>
                <w:szCs w:val="22"/>
                <w:lang w:val="ro-RO"/>
              </w:rPr>
              <w:t>2</w:t>
            </w:r>
            <w:r w:rsidRPr="00344FCE">
              <w:rPr>
                <w:rFonts w:eastAsia="Times New Roman" w:cs="Times New Roman"/>
                <w:kern w:val="0"/>
                <w:sz w:val="22"/>
                <w:szCs w:val="22"/>
                <w:lang w:val="ro-RO"/>
              </w:rPr>
              <w:t xml:space="preserve"> Îmbunătățirea capacității  de monitorizare a </w:t>
            </w:r>
            <w:r>
              <w:rPr>
                <w:rFonts w:eastAsia="Times New Roman" w:cs="Times New Roman"/>
                <w:kern w:val="0"/>
                <w:sz w:val="22"/>
                <w:szCs w:val="22"/>
                <w:lang w:val="ro-RO"/>
              </w:rPr>
              <w:t>calității aerului</w:t>
            </w:r>
            <w:r w:rsidRPr="00344FCE">
              <w:rPr>
                <w:rFonts w:eastAsia="Times New Roman" w:cs="Times New Roman"/>
                <w:kern w:val="0"/>
                <w:sz w:val="22"/>
                <w:szCs w:val="22"/>
                <w:lang w:val="ro-RO"/>
              </w:rPr>
              <w:t>, precum și a depunerilor atmosferice</w:t>
            </w:r>
          </w:p>
        </w:tc>
        <w:tc>
          <w:tcPr>
            <w:tcW w:w="1999" w:type="dxa"/>
            <w:vMerge w:val="restart"/>
            <w:shd w:val="clear" w:color="auto" w:fill="auto"/>
            <w:vAlign w:val="center"/>
          </w:tcPr>
          <w:p w14:paraId="187FBF7A"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MMAP </w:t>
            </w:r>
          </w:p>
        </w:tc>
        <w:tc>
          <w:tcPr>
            <w:tcW w:w="1559" w:type="dxa"/>
            <w:vMerge w:val="restart"/>
            <w:shd w:val="clear" w:color="auto" w:fill="auto"/>
            <w:vAlign w:val="center"/>
          </w:tcPr>
          <w:p w14:paraId="77E16670"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vMerge w:val="restart"/>
            <w:shd w:val="clear" w:color="auto" w:fill="auto"/>
            <w:vAlign w:val="center"/>
          </w:tcPr>
          <w:p w14:paraId="1D23BC98"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numărului de stații de monitorizare a calității aerului;</w:t>
            </w:r>
          </w:p>
          <w:p w14:paraId="7F06C7E4"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Menținerea concentrațiilor parametrilor monitorizați în limitele admise, conform legislației în vigoare (Legea nr.104/2011)</w:t>
            </w:r>
          </w:p>
          <w:p w14:paraId="422F6A44"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lastRenderedPageBreak/>
              <w:t>Reducerea poluării ecosistemelor acvatice și solului din depunerile atmosferice</w:t>
            </w:r>
          </w:p>
        </w:tc>
        <w:tc>
          <w:tcPr>
            <w:tcW w:w="2409" w:type="dxa"/>
            <w:vMerge w:val="restart"/>
            <w:shd w:val="clear" w:color="auto" w:fill="auto"/>
            <w:vAlign w:val="center"/>
          </w:tcPr>
          <w:p w14:paraId="300C9709"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6E0AF00F"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Calitatea aerului</w:t>
            </w:r>
          </w:p>
          <w:p w14:paraId="34A86DB4"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3C856EC7"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Concentrațiile poluanților atmosferici (valori orare, la 8 ore, zilnice)</w:t>
            </w:r>
          </w:p>
        </w:tc>
        <w:tc>
          <w:tcPr>
            <w:tcW w:w="1985" w:type="dxa"/>
            <w:vMerge w:val="restart"/>
            <w:shd w:val="clear" w:color="auto" w:fill="auto"/>
            <w:vAlign w:val="center"/>
          </w:tcPr>
          <w:p w14:paraId="65F7A0B5"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670FD4" w:rsidRPr="00344FCE" w14:paraId="79F2823E" w14:textId="77777777" w:rsidTr="001925BA">
        <w:trPr>
          <w:trHeight w:val="20"/>
        </w:trPr>
        <w:tc>
          <w:tcPr>
            <w:tcW w:w="2787" w:type="dxa"/>
            <w:vMerge/>
            <w:shd w:val="clear" w:color="auto" w:fill="auto"/>
            <w:vAlign w:val="center"/>
          </w:tcPr>
          <w:p w14:paraId="2A1A17A6"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460A0269"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090B5E73"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14330F43" w14:textId="77777777" w:rsidR="00670FD4" w:rsidRPr="00344FCE" w:rsidRDefault="00670FD4" w:rsidP="001925BA">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auto"/>
            <w:vAlign w:val="center"/>
          </w:tcPr>
          <w:p w14:paraId="05DD3AA3"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131F22A9"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Modele de dispersie a poluanților atmosferici</w:t>
            </w:r>
          </w:p>
        </w:tc>
        <w:tc>
          <w:tcPr>
            <w:tcW w:w="1985" w:type="dxa"/>
            <w:vMerge/>
            <w:shd w:val="clear" w:color="auto" w:fill="auto"/>
            <w:vAlign w:val="center"/>
          </w:tcPr>
          <w:p w14:paraId="2C815DA6"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5A8F19E2" w14:textId="77777777" w:rsidTr="001925BA">
        <w:trPr>
          <w:trHeight w:val="20"/>
        </w:trPr>
        <w:tc>
          <w:tcPr>
            <w:tcW w:w="2787" w:type="dxa"/>
            <w:vMerge/>
            <w:shd w:val="clear" w:color="auto" w:fill="auto"/>
            <w:vAlign w:val="center"/>
          </w:tcPr>
          <w:p w14:paraId="677B75AA"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065DDF64"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5A4FB0A1"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3E37FE42" w14:textId="77777777" w:rsidR="00670FD4" w:rsidRPr="00344FCE" w:rsidRDefault="00670FD4" w:rsidP="001925BA">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shd w:val="clear" w:color="auto" w:fill="auto"/>
            <w:vAlign w:val="center"/>
          </w:tcPr>
          <w:p w14:paraId="052207CA"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Introducerea de nutrienți în mediul acvatic</w:t>
            </w:r>
          </w:p>
          <w:p w14:paraId="059193BF"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3CDDC52D"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Cantitate de azot și fosfor introdusă în mediul acvatic din surse difuze</w:t>
            </w:r>
          </w:p>
        </w:tc>
        <w:tc>
          <w:tcPr>
            <w:tcW w:w="1985" w:type="dxa"/>
            <w:vMerge/>
            <w:shd w:val="clear" w:color="auto" w:fill="auto"/>
            <w:vAlign w:val="center"/>
          </w:tcPr>
          <w:p w14:paraId="22E2316E"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4082CD69" w14:textId="77777777" w:rsidTr="001925BA">
        <w:trPr>
          <w:trHeight w:val="20"/>
        </w:trPr>
        <w:tc>
          <w:tcPr>
            <w:tcW w:w="2787" w:type="dxa"/>
            <w:vMerge/>
            <w:shd w:val="clear" w:color="auto" w:fill="auto"/>
            <w:vAlign w:val="center"/>
          </w:tcPr>
          <w:p w14:paraId="3EE0D389"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521FFFD7"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30A6C97A"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098C1627" w14:textId="77777777" w:rsidR="00670FD4" w:rsidRPr="00344FCE" w:rsidRDefault="00670FD4" w:rsidP="001925BA">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shd w:val="clear" w:color="auto" w:fill="auto"/>
            <w:vAlign w:val="center"/>
          </w:tcPr>
          <w:p w14:paraId="5E3A9EEC"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Poluare cu substanțe periculoase</w:t>
            </w:r>
          </w:p>
        </w:tc>
        <w:tc>
          <w:tcPr>
            <w:tcW w:w="2268" w:type="dxa"/>
            <w:shd w:val="clear" w:color="auto" w:fill="auto"/>
            <w:vAlign w:val="center"/>
          </w:tcPr>
          <w:p w14:paraId="09EFABE3"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Valorile modelate ale emisiilor de substanțe </w:t>
            </w:r>
            <w:r w:rsidRPr="00344FCE">
              <w:rPr>
                <w:rFonts w:eastAsia="Times New Roman" w:cs="Times New Roman"/>
                <w:kern w:val="0"/>
                <w:sz w:val="22"/>
                <w:szCs w:val="22"/>
                <w:lang w:val="ro-RO"/>
              </w:rPr>
              <w:lastRenderedPageBreak/>
              <w:t>periculoase din surse difuze</w:t>
            </w:r>
          </w:p>
        </w:tc>
        <w:tc>
          <w:tcPr>
            <w:tcW w:w="1985" w:type="dxa"/>
            <w:vMerge/>
            <w:shd w:val="clear" w:color="auto" w:fill="auto"/>
            <w:vAlign w:val="center"/>
          </w:tcPr>
          <w:p w14:paraId="4AA1E95F"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5B34278C" w14:textId="77777777" w:rsidTr="001925BA">
        <w:trPr>
          <w:trHeight w:val="20"/>
        </w:trPr>
        <w:tc>
          <w:tcPr>
            <w:tcW w:w="2787" w:type="dxa"/>
            <w:vMerge w:val="restart"/>
            <w:vAlign w:val="center"/>
          </w:tcPr>
          <w:p w14:paraId="750EFE32"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B.</w:t>
            </w:r>
            <w:r>
              <w:rPr>
                <w:rFonts w:eastAsia="Times New Roman" w:cs="Times New Roman"/>
                <w:kern w:val="0"/>
                <w:sz w:val="22"/>
                <w:szCs w:val="22"/>
                <w:lang w:val="ro-RO"/>
              </w:rPr>
              <w:t>3</w:t>
            </w:r>
            <w:r w:rsidRPr="00344FCE">
              <w:rPr>
                <w:rFonts w:eastAsia="Times New Roman" w:cs="Times New Roman"/>
                <w:kern w:val="0"/>
                <w:sz w:val="22"/>
                <w:szCs w:val="22"/>
                <w:lang w:val="ro-RO"/>
              </w:rPr>
              <w:t xml:space="preserve"> Extinderea și modernizarea infrastructurii de canalizare și epurare în partea nordică a zonei costiere, aferentă Deltei Dunării</w:t>
            </w:r>
          </w:p>
        </w:tc>
        <w:tc>
          <w:tcPr>
            <w:tcW w:w="1999" w:type="dxa"/>
            <w:vMerge w:val="restart"/>
            <w:vAlign w:val="center"/>
          </w:tcPr>
          <w:p w14:paraId="5B3AC830"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MDLPA, autorități locale (CJ Constanța și Tulcea), MMAP.</w:t>
            </w:r>
          </w:p>
        </w:tc>
        <w:tc>
          <w:tcPr>
            <w:tcW w:w="1559" w:type="dxa"/>
            <w:vMerge w:val="restart"/>
            <w:vAlign w:val="center"/>
          </w:tcPr>
          <w:p w14:paraId="791EB55F"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vMerge w:val="restart"/>
            <w:vAlign w:val="center"/>
          </w:tcPr>
          <w:p w14:paraId="2A20F8D8"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gradului de conectare la rețeaua de canalizare în partea nordică a zonei costiere;</w:t>
            </w:r>
          </w:p>
          <w:p w14:paraId="4DF74FB5"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sarcinii colectată și intrată în stațiile de epurare raportat la sarcina generată</w:t>
            </w:r>
          </w:p>
          <w:p w14:paraId="23B9B968"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Reducerea descărcărilor de N și P din aglomerări umane în sistemele acvatice</w:t>
            </w:r>
          </w:p>
          <w:p w14:paraId="270A9EC7"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Reducerea descărcărilor de poluanți din aglomerări umane în sistemele acvatice</w:t>
            </w:r>
          </w:p>
          <w:p w14:paraId="5D7A0385" w14:textId="77777777" w:rsidR="00670FD4" w:rsidRPr="00344FCE" w:rsidRDefault="00670FD4" w:rsidP="001925BA">
            <w:pPr>
              <w:spacing w:before="0" w:line="240" w:lineRule="auto"/>
              <w:ind w:firstLine="0"/>
              <w:rPr>
                <w:rFonts w:eastAsia="Times New Roman" w:cs="Times New Roman"/>
                <w:kern w:val="0"/>
                <w:sz w:val="22"/>
                <w:szCs w:val="22"/>
                <w:lang w:val="ro-RO"/>
              </w:rPr>
            </w:pPr>
          </w:p>
        </w:tc>
        <w:tc>
          <w:tcPr>
            <w:tcW w:w="2409" w:type="dxa"/>
            <w:shd w:val="clear" w:color="auto" w:fill="auto"/>
            <w:vAlign w:val="center"/>
          </w:tcPr>
          <w:p w14:paraId="2CE5ED3E"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Introducerea de nutrienți în mediul acvatic</w:t>
            </w:r>
          </w:p>
          <w:p w14:paraId="0BCB3AE5"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0E9F0EBA"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Cantitate de azot și fosfor introdusă în mediul acvatic din surse punctiforme</w:t>
            </w:r>
          </w:p>
        </w:tc>
        <w:tc>
          <w:tcPr>
            <w:tcW w:w="1985" w:type="dxa"/>
            <w:vMerge w:val="restart"/>
            <w:vAlign w:val="center"/>
          </w:tcPr>
          <w:p w14:paraId="0704BD81"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5BE6BFB9"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3E560F72"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069B7032"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p w14:paraId="142BD13C"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70069E92"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48FE3496"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2034</w:t>
            </w:r>
          </w:p>
        </w:tc>
      </w:tr>
      <w:tr w:rsidR="00670FD4" w:rsidRPr="00344FCE" w14:paraId="72ADF858" w14:textId="77777777" w:rsidTr="001925BA">
        <w:trPr>
          <w:trHeight w:val="20"/>
        </w:trPr>
        <w:tc>
          <w:tcPr>
            <w:tcW w:w="2787" w:type="dxa"/>
            <w:vMerge/>
            <w:shd w:val="clear" w:color="auto" w:fill="auto"/>
            <w:vAlign w:val="center"/>
          </w:tcPr>
          <w:p w14:paraId="7ADE0384"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3239E11B"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717D8FEA"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7906EC4E"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val="restart"/>
            <w:shd w:val="clear" w:color="auto" w:fill="auto"/>
            <w:vAlign w:val="center"/>
          </w:tcPr>
          <w:p w14:paraId="19A4668C"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52FEC63A"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13076FD9"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Poluare cu substanțe periculoase</w:t>
            </w:r>
          </w:p>
          <w:p w14:paraId="1F5A83F8"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6E85740B"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Evacuări de substanțe periculoase în mediul acvatic din surse punctiforme</w:t>
            </w:r>
          </w:p>
        </w:tc>
        <w:tc>
          <w:tcPr>
            <w:tcW w:w="1985" w:type="dxa"/>
            <w:vMerge/>
            <w:shd w:val="clear" w:color="auto" w:fill="auto"/>
            <w:vAlign w:val="center"/>
          </w:tcPr>
          <w:p w14:paraId="10C1B79F"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6FD5A7C8" w14:textId="77777777" w:rsidTr="001925BA">
        <w:trPr>
          <w:trHeight w:val="20"/>
        </w:trPr>
        <w:tc>
          <w:tcPr>
            <w:tcW w:w="2787" w:type="dxa"/>
            <w:vMerge/>
            <w:shd w:val="clear" w:color="auto" w:fill="auto"/>
            <w:vAlign w:val="center"/>
          </w:tcPr>
          <w:p w14:paraId="171D40E8"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584FBE59"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064653C6"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53087492"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066CF43D"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auto"/>
            <w:vAlign w:val="center"/>
          </w:tcPr>
          <w:p w14:paraId="1CE26A8E"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Concentrații ale substanțelor periculoase în apele costiere, tranzitorii și marine</w:t>
            </w:r>
          </w:p>
        </w:tc>
        <w:tc>
          <w:tcPr>
            <w:tcW w:w="1985" w:type="dxa"/>
            <w:vMerge/>
            <w:shd w:val="clear" w:color="auto" w:fill="auto"/>
            <w:vAlign w:val="center"/>
          </w:tcPr>
          <w:p w14:paraId="351E8B60"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03F78E92" w14:textId="77777777" w:rsidTr="001925BA">
        <w:trPr>
          <w:trHeight w:val="20"/>
        </w:trPr>
        <w:tc>
          <w:tcPr>
            <w:tcW w:w="2787" w:type="dxa"/>
            <w:vMerge/>
            <w:shd w:val="clear" w:color="auto" w:fill="auto"/>
            <w:vAlign w:val="center"/>
          </w:tcPr>
          <w:p w14:paraId="72928F8D"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7B9A03A3"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5E8A8850"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039C47E6"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1D7EE613"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auto"/>
            <w:vAlign w:val="center"/>
          </w:tcPr>
          <w:p w14:paraId="284D1E20"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Concentrații ale substanțelor periculoase în sedimentele din mediul marin</w:t>
            </w:r>
          </w:p>
        </w:tc>
        <w:tc>
          <w:tcPr>
            <w:tcW w:w="1985" w:type="dxa"/>
            <w:vMerge/>
            <w:shd w:val="clear" w:color="auto" w:fill="auto"/>
            <w:vAlign w:val="center"/>
          </w:tcPr>
          <w:p w14:paraId="31898672"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4038E222" w14:textId="77777777" w:rsidTr="001925BA">
        <w:trPr>
          <w:trHeight w:val="20"/>
        </w:trPr>
        <w:tc>
          <w:tcPr>
            <w:tcW w:w="2787" w:type="dxa"/>
            <w:vMerge/>
            <w:shd w:val="clear" w:color="auto" w:fill="auto"/>
            <w:vAlign w:val="center"/>
          </w:tcPr>
          <w:p w14:paraId="4B2531A2"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6CEDEF56"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7F03AE20"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4B3BF371"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55F70C98"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auto"/>
            <w:vAlign w:val="center"/>
          </w:tcPr>
          <w:p w14:paraId="01AAF532"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Concentrații ale substanțelor periculoase în apele interioare (Dunăre, lacuri)</w:t>
            </w:r>
          </w:p>
        </w:tc>
        <w:tc>
          <w:tcPr>
            <w:tcW w:w="1985" w:type="dxa"/>
            <w:vMerge/>
            <w:shd w:val="clear" w:color="auto" w:fill="auto"/>
            <w:vAlign w:val="center"/>
          </w:tcPr>
          <w:p w14:paraId="168D27B4"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439F30BD" w14:textId="77777777" w:rsidTr="001925BA">
        <w:trPr>
          <w:trHeight w:val="20"/>
        </w:trPr>
        <w:tc>
          <w:tcPr>
            <w:tcW w:w="2787" w:type="dxa"/>
            <w:vMerge/>
            <w:shd w:val="clear" w:color="auto" w:fill="auto"/>
            <w:vAlign w:val="center"/>
          </w:tcPr>
          <w:p w14:paraId="6148169B"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25981380"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5630CB26"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28EE4CBE"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5902E9FE"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auto"/>
            <w:vAlign w:val="center"/>
          </w:tcPr>
          <w:p w14:paraId="5FD78E5D"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Concentrații ale substanțelor periculoase în sedimentele din mediul dulcicol</w:t>
            </w:r>
          </w:p>
        </w:tc>
        <w:tc>
          <w:tcPr>
            <w:tcW w:w="1985" w:type="dxa"/>
            <w:vMerge/>
            <w:shd w:val="clear" w:color="auto" w:fill="auto"/>
            <w:vAlign w:val="center"/>
          </w:tcPr>
          <w:p w14:paraId="6B7D5E7F"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34AFE5D8" w14:textId="77777777" w:rsidTr="001925BA">
        <w:trPr>
          <w:trHeight w:val="20"/>
        </w:trPr>
        <w:tc>
          <w:tcPr>
            <w:tcW w:w="2787" w:type="dxa"/>
            <w:vMerge/>
            <w:shd w:val="clear" w:color="auto" w:fill="auto"/>
            <w:vAlign w:val="center"/>
          </w:tcPr>
          <w:p w14:paraId="4D1D8D37"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01BF468F"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22028BAE"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56B560BD"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074D0AEE"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auto"/>
            <w:vAlign w:val="center"/>
          </w:tcPr>
          <w:p w14:paraId="31A8FEE4"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Concentrații ale substanțelor periculoase în soluri</w:t>
            </w:r>
          </w:p>
        </w:tc>
        <w:tc>
          <w:tcPr>
            <w:tcW w:w="1985" w:type="dxa"/>
            <w:vMerge/>
            <w:shd w:val="clear" w:color="auto" w:fill="auto"/>
            <w:vAlign w:val="center"/>
          </w:tcPr>
          <w:p w14:paraId="3B472DAC"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07963631" w14:textId="77777777" w:rsidTr="001925BA">
        <w:trPr>
          <w:trHeight w:val="20"/>
        </w:trPr>
        <w:tc>
          <w:tcPr>
            <w:tcW w:w="2787" w:type="dxa"/>
            <w:vMerge/>
            <w:shd w:val="clear" w:color="auto" w:fill="auto"/>
            <w:vAlign w:val="center"/>
          </w:tcPr>
          <w:p w14:paraId="5B115873"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437B0A78"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624D7D80"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51D48485"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shd w:val="clear" w:color="auto" w:fill="auto"/>
            <w:vAlign w:val="center"/>
          </w:tcPr>
          <w:p w14:paraId="60ECC72B"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Calitatea apelor subterane</w:t>
            </w:r>
          </w:p>
        </w:tc>
        <w:tc>
          <w:tcPr>
            <w:tcW w:w="2268" w:type="dxa"/>
            <w:shd w:val="clear" w:color="auto" w:fill="auto"/>
            <w:vAlign w:val="center"/>
          </w:tcPr>
          <w:p w14:paraId="76A1A930"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Numărul de corpuri de apă subterană aflată în stare chimică proastă</w:t>
            </w:r>
          </w:p>
        </w:tc>
        <w:tc>
          <w:tcPr>
            <w:tcW w:w="1985" w:type="dxa"/>
            <w:vMerge/>
            <w:shd w:val="clear" w:color="auto" w:fill="auto"/>
            <w:vAlign w:val="center"/>
          </w:tcPr>
          <w:p w14:paraId="32E49E35"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744F8119" w14:textId="77777777" w:rsidTr="001925BA">
        <w:trPr>
          <w:trHeight w:val="20"/>
        </w:trPr>
        <w:tc>
          <w:tcPr>
            <w:tcW w:w="2787" w:type="dxa"/>
            <w:vMerge w:val="restart"/>
            <w:shd w:val="clear" w:color="auto" w:fill="auto"/>
            <w:vAlign w:val="center"/>
          </w:tcPr>
          <w:p w14:paraId="28A9AE99"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B.</w:t>
            </w:r>
            <w:r>
              <w:rPr>
                <w:rFonts w:eastAsia="Times New Roman" w:cs="Times New Roman"/>
                <w:kern w:val="0"/>
                <w:sz w:val="22"/>
                <w:szCs w:val="22"/>
                <w:lang w:val="ro-RO"/>
              </w:rPr>
              <w:t>4</w:t>
            </w:r>
            <w:r w:rsidRPr="00344FCE">
              <w:rPr>
                <w:rFonts w:eastAsia="Times New Roman" w:cs="Times New Roman"/>
                <w:kern w:val="0"/>
                <w:sz w:val="22"/>
                <w:szCs w:val="22"/>
                <w:lang w:val="ro-RO"/>
              </w:rPr>
              <w:t xml:space="preserve"> Dezvoltarea unui program pentru studierea principalelor surse, căi de transport și impactului contaminanților emergenți asupra faunei și omului, precum și dezvoltarea  unui program de monitorizare a acestora</w:t>
            </w:r>
          </w:p>
        </w:tc>
        <w:tc>
          <w:tcPr>
            <w:tcW w:w="1999" w:type="dxa"/>
            <w:vMerge w:val="restart"/>
            <w:shd w:val="clear" w:color="auto" w:fill="auto"/>
            <w:vAlign w:val="center"/>
          </w:tcPr>
          <w:p w14:paraId="109BF149"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MCID (Academia Română, INCD GeoEcoMar, INCDM Grigore Antipa, INCDDD)</w:t>
            </w:r>
          </w:p>
        </w:tc>
        <w:tc>
          <w:tcPr>
            <w:tcW w:w="1559" w:type="dxa"/>
            <w:vMerge w:val="restart"/>
            <w:shd w:val="clear" w:color="auto" w:fill="auto"/>
            <w:vAlign w:val="center"/>
          </w:tcPr>
          <w:p w14:paraId="49843EDB"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tc>
        <w:tc>
          <w:tcPr>
            <w:tcW w:w="2127" w:type="dxa"/>
            <w:vMerge w:val="restart"/>
            <w:shd w:val="clear" w:color="auto" w:fill="auto"/>
            <w:vAlign w:val="center"/>
          </w:tcPr>
          <w:p w14:paraId="716C4061" w14:textId="77777777" w:rsidR="00670FD4" w:rsidRPr="00344FCE" w:rsidRDefault="00670FD4" w:rsidP="001925BA">
            <w:pPr>
              <w:spacing w:before="0" w:line="240" w:lineRule="auto"/>
              <w:ind w:firstLine="0"/>
              <w:jc w:val="left"/>
              <w:rPr>
                <w:rFonts w:eastAsia="Times New Roman" w:cs="Times New Roman"/>
                <w:kern w:val="0"/>
                <w:sz w:val="22"/>
                <w:szCs w:val="22"/>
                <w:lang w:val="ro-RO"/>
              </w:rPr>
            </w:pPr>
            <w:r w:rsidRPr="00344FCE">
              <w:rPr>
                <w:rFonts w:eastAsia="Times New Roman" w:cs="Times New Roman"/>
                <w:kern w:val="0"/>
                <w:sz w:val="22"/>
                <w:szCs w:val="22"/>
                <w:lang w:val="ro-RO"/>
              </w:rPr>
              <w:t xml:space="preserve">Realizarea unui program național de monitorizare a </w:t>
            </w:r>
            <w:r w:rsidRPr="000B5A70">
              <w:rPr>
                <w:rFonts w:eastAsia="Times New Roman" w:cs="Times New Roman"/>
                <w:kern w:val="0"/>
                <w:sz w:val="22"/>
                <w:szCs w:val="22"/>
                <w:lang w:val="ro-RO"/>
              </w:rPr>
              <w:t>contaminanților</w:t>
            </w:r>
            <w:r w:rsidRPr="00344FCE">
              <w:rPr>
                <w:rFonts w:eastAsia="Times New Roman" w:cs="Times New Roman"/>
                <w:kern w:val="0"/>
                <w:sz w:val="22"/>
                <w:szCs w:val="22"/>
                <w:lang w:val="ro-RO"/>
              </w:rPr>
              <w:t xml:space="preserve"> emergenți în mediul marin;</w:t>
            </w:r>
          </w:p>
          <w:p w14:paraId="60EECDDC" w14:textId="77777777" w:rsidR="00670FD4" w:rsidRPr="00344FCE" w:rsidRDefault="00670FD4" w:rsidP="001925BA">
            <w:pPr>
              <w:spacing w:before="0" w:line="240" w:lineRule="auto"/>
              <w:ind w:firstLine="0"/>
              <w:jc w:val="left"/>
              <w:rPr>
                <w:rFonts w:eastAsia="Times New Roman" w:cs="Times New Roman"/>
                <w:kern w:val="0"/>
                <w:sz w:val="22"/>
                <w:szCs w:val="22"/>
                <w:lang w:val="ro-RO"/>
              </w:rPr>
            </w:pPr>
            <w:r w:rsidRPr="00344FCE">
              <w:rPr>
                <w:rFonts w:eastAsia="Times New Roman" w:cs="Times New Roman"/>
                <w:kern w:val="0"/>
                <w:sz w:val="22"/>
                <w:szCs w:val="22"/>
                <w:lang w:val="ro-RO"/>
              </w:rPr>
              <w:t xml:space="preserve">Realizarea unui program de monitorizare a </w:t>
            </w:r>
            <w:r w:rsidRPr="000B5A70">
              <w:rPr>
                <w:rFonts w:eastAsia="Times New Roman" w:cs="Times New Roman"/>
                <w:kern w:val="0"/>
                <w:sz w:val="22"/>
                <w:szCs w:val="22"/>
                <w:lang w:val="ro-RO"/>
              </w:rPr>
              <w:t>contaminanților</w:t>
            </w:r>
            <w:r w:rsidRPr="00344FCE">
              <w:rPr>
                <w:rFonts w:eastAsia="Times New Roman" w:cs="Times New Roman"/>
                <w:kern w:val="0"/>
                <w:sz w:val="22"/>
                <w:szCs w:val="22"/>
                <w:lang w:val="ro-RO"/>
              </w:rPr>
              <w:t xml:space="preserve"> emergenți în soluri;</w:t>
            </w:r>
          </w:p>
          <w:p w14:paraId="445C5E3E" w14:textId="77777777" w:rsidR="00670FD4" w:rsidRPr="00344FCE" w:rsidRDefault="00670FD4" w:rsidP="001925BA">
            <w:pPr>
              <w:spacing w:before="0" w:line="240" w:lineRule="auto"/>
              <w:ind w:firstLine="0"/>
              <w:jc w:val="left"/>
              <w:rPr>
                <w:rFonts w:eastAsia="Times New Roman" w:cs="Times New Roman"/>
                <w:kern w:val="0"/>
                <w:sz w:val="22"/>
                <w:szCs w:val="22"/>
                <w:lang w:val="ro-RO"/>
              </w:rPr>
            </w:pPr>
            <w:r w:rsidRPr="00344FCE">
              <w:rPr>
                <w:rFonts w:eastAsia="Times New Roman" w:cs="Times New Roman"/>
                <w:kern w:val="0"/>
                <w:sz w:val="22"/>
                <w:szCs w:val="22"/>
                <w:lang w:val="ro-RO"/>
              </w:rPr>
              <w:t xml:space="preserve">Utilizarea datelor privind rezultatele monitorizării </w:t>
            </w:r>
            <w:r w:rsidRPr="000B5A70">
              <w:rPr>
                <w:rFonts w:eastAsia="Times New Roman" w:cs="Times New Roman"/>
                <w:kern w:val="0"/>
                <w:sz w:val="22"/>
                <w:szCs w:val="22"/>
                <w:lang w:val="ro-RO"/>
              </w:rPr>
              <w:t>contaminanților</w:t>
            </w:r>
            <w:r w:rsidRPr="00344FCE">
              <w:rPr>
                <w:rFonts w:eastAsia="Times New Roman" w:cs="Times New Roman"/>
                <w:kern w:val="0"/>
                <w:sz w:val="22"/>
                <w:szCs w:val="22"/>
                <w:lang w:val="ro-RO"/>
              </w:rPr>
              <w:t xml:space="preserve"> emergenți în Planul național de management actualizat aferent porțiunii naționale a bazinului hidrografic internațional al fluviului Dunărea</w:t>
            </w:r>
          </w:p>
          <w:p w14:paraId="26984AE4" w14:textId="77777777" w:rsidR="00670FD4" w:rsidRPr="00344FCE" w:rsidRDefault="00670FD4" w:rsidP="001925BA">
            <w:pPr>
              <w:spacing w:before="0" w:line="240" w:lineRule="auto"/>
              <w:ind w:firstLine="0"/>
              <w:jc w:val="left"/>
              <w:rPr>
                <w:rFonts w:eastAsia="Times New Roman" w:cs="Times New Roman"/>
                <w:kern w:val="0"/>
                <w:sz w:val="22"/>
                <w:szCs w:val="22"/>
                <w:lang w:val="ro-RO"/>
              </w:rPr>
            </w:pPr>
            <w:r w:rsidRPr="00344FCE">
              <w:rPr>
                <w:rFonts w:eastAsia="Times New Roman" w:cs="Times New Roman"/>
                <w:kern w:val="0"/>
                <w:sz w:val="22"/>
                <w:szCs w:val="22"/>
                <w:lang w:val="ro-RO"/>
              </w:rPr>
              <w:t xml:space="preserve">Realizarea Registrului </w:t>
            </w:r>
            <w:r>
              <w:rPr>
                <w:rFonts w:eastAsia="Times New Roman" w:cs="Times New Roman"/>
                <w:kern w:val="0"/>
                <w:sz w:val="22"/>
                <w:szCs w:val="22"/>
                <w:lang w:val="ro-RO"/>
              </w:rPr>
              <w:t>C</w:t>
            </w:r>
            <w:r w:rsidRPr="000B5A70">
              <w:rPr>
                <w:rFonts w:eastAsia="Times New Roman" w:cs="Times New Roman"/>
                <w:kern w:val="0"/>
                <w:sz w:val="22"/>
                <w:szCs w:val="22"/>
                <w:lang w:val="ro-RO"/>
              </w:rPr>
              <w:t>ontaminanților</w:t>
            </w:r>
            <w:r w:rsidRPr="00344FCE">
              <w:rPr>
                <w:rFonts w:eastAsia="Times New Roman" w:cs="Times New Roman"/>
                <w:kern w:val="0"/>
                <w:sz w:val="22"/>
                <w:szCs w:val="22"/>
                <w:lang w:val="ro-RO"/>
              </w:rPr>
              <w:t xml:space="preserve"> Emergenți.</w:t>
            </w:r>
          </w:p>
        </w:tc>
        <w:tc>
          <w:tcPr>
            <w:tcW w:w="2409" w:type="dxa"/>
            <w:vMerge w:val="restart"/>
            <w:shd w:val="clear" w:color="auto" w:fill="auto"/>
            <w:vAlign w:val="center"/>
          </w:tcPr>
          <w:p w14:paraId="3B7DC28D"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629D7E20"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4EFC88D6"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491A5335"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11F6ED73"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49001C69"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Poluare cu substanțe periculoase</w:t>
            </w:r>
          </w:p>
        </w:tc>
        <w:tc>
          <w:tcPr>
            <w:tcW w:w="2268" w:type="dxa"/>
            <w:shd w:val="clear" w:color="auto" w:fill="auto"/>
            <w:vAlign w:val="center"/>
          </w:tcPr>
          <w:p w14:paraId="244EB480"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Evacuări de substanțe periculoase din Dunăre în apele costiere și tranzitorii</w:t>
            </w:r>
          </w:p>
        </w:tc>
        <w:tc>
          <w:tcPr>
            <w:tcW w:w="1985" w:type="dxa"/>
            <w:vMerge w:val="restart"/>
            <w:shd w:val="clear" w:color="auto" w:fill="auto"/>
            <w:vAlign w:val="center"/>
          </w:tcPr>
          <w:p w14:paraId="7A6F497E"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1A63736B"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r>
      <w:tr w:rsidR="00670FD4" w:rsidRPr="00344FCE" w14:paraId="40ED8976" w14:textId="77777777" w:rsidTr="001925BA">
        <w:trPr>
          <w:trHeight w:val="20"/>
        </w:trPr>
        <w:tc>
          <w:tcPr>
            <w:tcW w:w="2787" w:type="dxa"/>
            <w:vMerge/>
            <w:shd w:val="clear" w:color="auto" w:fill="auto"/>
            <w:vAlign w:val="center"/>
          </w:tcPr>
          <w:p w14:paraId="291882E3"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2C61FA09"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45C1EE41"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3BDE1C4A"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52F01335"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5F1DA74D"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Evacuări de substanțe periculoase în mediul acvatic din surse punctiforme</w:t>
            </w:r>
          </w:p>
        </w:tc>
        <w:tc>
          <w:tcPr>
            <w:tcW w:w="1985" w:type="dxa"/>
            <w:vMerge/>
            <w:shd w:val="clear" w:color="auto" w:fill="auto"/>
            <w:vAlign w:val="center"/>
          </w:tcPr>
          <w:p w14:paraId="0FA82704"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335CFCDD" w14:textId="77777777" w:rsidTr="001925BA">
        <w:trPr>
          <w:trHeight w:val="20"/>
        </w:trPr>
        <w:tc>
          <w:tcPr>
            <w:tcW w:w="2787" w:type="dxa"/>
            <w:vMerge/>
            <w:shd w:val="clear" w:color="auto" w:fill="auto"/>
            <w:vAlign w:val="center"/>
          </w:tcPr>
          <w:p w14:paraId="73BF58DE"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0EC13729"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256DD2C6"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013BB639"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6ACA5656"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6F5F12D5"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Valorile modelate ale evacuărilor de substanțe periculoase din surse difuze</w:t>
            </w:r>
          </w:p>
        </w:tc>
        <w:tc>
          <w:tcPr>
            <w:tcW w:w="1985" w:type="dxa"/>
            <w:vMerge/>
            <w:shd w:val="clear" w:color="auto" w:fill="auto"/>
            <w:vAlign w:val="center"/>
          </w:tcPr>
          <w:p w14:paraId="2D6268D8"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7F933346" w14:textId="77777777" w:rsidTr="001925BA">
        <w:trPr>
          <w:trHeight w:val="20"/>
        </w:trPr>
        <w:tc>
          <w:tcPr>
            <w:tcW w:w="2787" w:type="dxa"/>
            <w:vMerge/>
            <w:shd w:val="clear" w:color="auto" w:fill="auto"/>
            <w:vAlign w:val="center"/>
          </w:tcPr>
          <w:p w14:paraId="115D6E53"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485E16EE"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5CA28BD0"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62DAA538"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79013C71"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3F78B8DB"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Concentrații ale substanțelor periculoase în apele costiere, tranzitorii și marine</w:t>
            </w:r>
          </w:p>
        </w:tc>
        <w:tc>
          <w:tcPr>
            <w:tcW w:w="1985" w:type="dxa"/>
            <w:vMerge/>
            <w:shd w:val="clear" w:color="auto" w:fill="auto"/>
            <w:vAlign w:val="center"/>
          </w:tcPr>
          <w:p w14:paraId="15588280"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5D0717E0" w14:textId="77777777" w:rsidTr="001925BA">
        <w:trPr>
          <w:trHeight w:val="20"/>
        </w:trPr>
        <w:tc>
          <w:tcPr>
            <w:tcW w:w="2787" w:type="dxa"/>
            <w:vMerge/>
            <w:shd w:val="clear" w:color="auto" w:fill="auto"/>
            <w:vAlign w:val="center"/>
          </w:tcPr>
          <w:p w14:paraId="4D230F45"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550DBA3C"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0AAE666B"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5F9BC972"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768C0B8E"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75A42B10"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Concentrații ale substanțelor periculoase în sedimentele din mediul marin</w:t>
            </w:r>
          </w:p>
        </w:tc>
        <w:tc>
          <w:tcPr>
            <w:tcW w:w="1985" w:type="dxa"/>
            <w:vMerge/>
            <w:shd w:val="clear" w:color="auto" w:fill="auto"/>
            <w:vAlign w:val="center"/>
          </w:tcPr>
          <w:p w14:paraId="3614F4FB"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568E6298" w14:textId="77777777" w:rsidTr="001925BA">
        <w:trPr>
          <w:trHeight w:val="20"/>
        </w:trPr>
        <w:tc>
          <w:tcPr>
            <w:tcW w:w="2787" w:type="dxa"/>
            <w:vMerge/>
            <w:shd w:val="clear" w:color="auto" w:fill="auto"/>
            <w:vAlign w:val="center"/>
          </w:tcPr>
          <w:p w14:paraId="742BCC48"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4F48D32D"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37DA4A47"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4C6052F8"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265BD162"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2B7C558C"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Concentrații ale substanțelor periculoase în apele interioare (Dunăre, lacuri)</w:t>
            </w:r>
          </w:p>
        </w:tc>
        <w:tc>
          <w:tcPr>
            <w:tcW w:w="1985" w:type="dxa"/>
            <w:vMerge/>
            <w:shd w:val="clear" w:color="auto" w:fill="auto"/>
            <w:vAlign w:val="center"/>
          </w:tcPr>
          <w:p w14:paraId="5BEAB77F"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3ECB37BA" w14:textId="77777777" w:rsidTr="001925BA">
        <w:trPr>
          <w:trHeight w:val="20"/>
        </w:trPr>
        <w:tc>
          <w:tcPr>
            <w:tcW w:w="2787" w:type="dxa"/>
            <w:vMerge/>
            <w:shd w:val="clear" w:color="auto" w:fill="auto"/>
            <w:vAlign w:val="center"/>
          </w:tcPr>
          <w:p w14:paraId="2F694ACB"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756724F6"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1101DBB2"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0F55E58D"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6D541A4D"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auto"/>
            <w:vAlign w:val="center"/>
          </w:tcPr>
          <w:p w14:paraId="4E81F222"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Concentrații ale substanțelor </w:t>
            </w:r>
            <w:r w:rsidRPr="00344FCE">
              <w:rPr>
                <w:rFonts w:eastAsia="Times New Roman" w:cs="Times New Roman"/>
                <w:kern w:val="0"/>
                <w:sz w:val="22"/>
                <w:szCs w:val="22"/>
                <w:lang w:val="ro-RO"/>
              </w:rPr>
              <w:lastRenderedPageBreak/>
              <w:t>periculoase în sedimentele din mediul dulcicol</w:t>
            </w:r>
          </w:p>
        </w:tc>
        <w:tc>
          <w:tcPr>
            <w:tcW w:w="1985" w:type="dxa"/>
            <w:vMerge/>
            <w:shd w:val="clear" w:color="auto" w:fill="auto"/>
            <w:vAlign w:val="center"/>
          </w:tcPr>
          <w:p w14:paraId="6A32ED6C"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7705A5F1" w14:textId="77777777" w:rsidTr="001925BA">
        <w:trPr>
          <w:trHeight w:val="20"/>
        </w:trPr>
        <w:tc>
          <w:tcPr>
            <w:tcW w:w="2787" w:type="dxa"/>
            <w:vMerge/>
            <w:shd w:val="clear" w:color="auto" w:fill="auto"/>
            <w:vAlign w:val="center"/>
          </w:tcPr>
          <w:p w14:paraId="1525BF34"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6424DF31"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75934891"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2E53E6DA"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63CBFC8E"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auto"/>
            <w:vAlign w:val="center"/>
          </w:tcPr>
          <w:p w14:paraId="23A4B8BE"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Concentrații ale substanțelor periculoase în pești (specii comerciale) și fructe de mare din mediul marin</w:t>
            </w:r>
          </w:p>
        </w:tc>
        <w:tc>
          <w:tcPr>
            <w:tcW w:w="1985" w:type="dxa"/>
            <w:vMerge/>
            <w:shd w:val="clear" w:color="auto" w:fill="auto"/>
            <w:vAlign w:val="center"/>
          </w:tcPr>
          <w:p w14:paraId="01500CBF"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577D9D97" w14:textId="77777777" w:rsidTr="001925BA">
        <w:trPr>
          <w:trHeight w:val="20"/>
        </w:trPr>
        <w:tc>
          <w:tcPr>
            <w:tcW w:w="2787" w:type="dxa"/>
            <w:vMerge/>
            <w:shd w:val="clear" w:color="auto" w:fill="auto"/>
            <w:vAlign w:val="center"/>
          </w:tcPr>
          <w:p w14:paraId="2EBC1559"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008BD406"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0F5191BF"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4750FC44"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08EAA4AB"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auto"/>
            <w:vAlign w:val="center"/>
          </w:tcPr>
          <w:p w14:paraId="2CBBFBC1"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Concentrații ale substanțelor periculoase în soluri</w:t>
            </w:r>
          </w:p>
        </w:tc>
        <w:tc>
          <w:tcPr>
            <w:tcW w:w="1985" w:type="dxa"/>
            <w:vMerge/>
            <w:shd w:val="clear" w:color="auto" w:fill="auto"/>
            <w:vAlign w:val="center"/>
          </w:tcPr>
          <w:p w14:paraId="42B5E777"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45E0CD26" w14:textId="77777777" w:rsidTr="001925BA">
        <w:trPr>
          <w:trHeight w:val="20"/>
        </w:trPr>
        <w:tc>
          <w:tcPr>
            <w:tcW w:w="2787" w:type="dxa"/>
            <w:vMerge w:val="restart"/>
            <w:shd w:val="clear" w:color="auto" w:fill="auto"/>
            <w:vAlign w:val="center"/>
          </w:tcPr>
          <w:p w14:paraId="09139023"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B.</w:t>
            </w:r>
            <w:r>
              <w:rPr>
                <w:rFonts w:eastAsia="Times New Roman" w:cs="Times New Roman"/>
                <w:kern w:val="0"/>
                <w:sz w:val="22"/>
                <w:szCs w:val="22"/>
                <w:lang w:val="ro-RO"/>
              </w:rPr>
              <w:t>5</w:t>
            </w:r>
            <w:r w:rsidRPr="00344FCE">
              <w:rPr>
                <w:rFonts w:eastAsia="Times New Roman" w:cs="Times New Roman"/>
                <w:kern w:val="0"/>
                <w:sz w:val="22"/>
                <w:szCs w:val="22"/>
                <w:lang w:val="ro-RO"/>
              </w:rPr>
              <w:t xml:space="preserve"> </w:t>
            </w:r>
            <w:r>
              <w:rPr>
                <w:rFonts w:eastAsia="Times New Roman" w:cs="Times New Roman"/>
                <w:kern w:val="0"/>
                <w:sz w:val="22"/>
                <w:szCs w:val="22"/>
                <w:lang w:val="ro-RO"/>
              </w:rPr>
              <w:t>Gestionarea</w:t>
            </w:r>
            <w:r w:rsidRPr="00344FCE">
              <w:rPr>
                <w:rFonts w:eastAsia="Times New Roman" w:cs="Times New Roman"/>
                <w:kern w:val="0"/>
                <w:sz w:val="22"/>
                <w:szCs w:val="22"/>
                <w:lang w:val="ro-RO"/>
              </w:rPr>
              <w:t xml:space="preserve"> siturilor contaminate și potențial contaminate din zona costieră</w:t>
            </w:r>
          </w:p>
        </w:tc>
        <w:tc>
          <w:tcPr>
            <w:tcW w:w="1999" w:type="dxa"/>
            <w:vMerge w:val="restart"/>
            <w:shd w:val="clear" w:color="auto" w:fill="auto"/>
            <w:vAlign w:val="center"/>
          </w:tcPr>
          <w:p w14:paraId="4E8D3FDE"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MMAP, </w:t>
            </w:r>
            <w:r>
              <w:rPr>
                <w:rFonts w:eastAsia="Times New Roman" w:cs="Times New Roman"/>
                <w:kern w:val="0"/>
                <w:sz w:val="22"/>
                <w:szCs w:val="22"/>
                <w:lang w:val="ro-RO"/>
              </w:rPr>
              <w:t xml:space="preserve">autorități locale, </w:t>
            </w:r>
            <w:r w:rsidRPr="00344FCE">
              <w:rPr>
                <w:rFonts w:eastAsia="Times New Roman" w:cs="Times New Roman"/>
                <w:kern w:val="0"/>
                <w:sz w:val="22"/>
                <w:szCs w:val="22"/>
                <w:lang w:val="ro-RO"/>
              </w:rPr>
              <w:t>MCID (Academia Română, INCD GeoEcoMar, INCDM Grigore Antipa, INCDDD), ME</w:t>
            </w:r>
          </w:p>
        </w:tc>
        <w:tc>
          <w:tcPr>
            <w:tcW w:w="1559" w:type="dxa"/>
            <w:vMerge w:val="restart"/>
            <w:shd w:val="clear" w:color="auto" w:fill="auto"/>
            <w:vAlign w:val="center"/>
          </w:tcPr>
          <w:p w14:paraId="1BD8077C"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vMerge w:val="restart"/>
            <w:shd w:val="clear" w:color="auto" w:fill="auto"/>
            <w:vAlign w:val="center"/>
          </w:tcPr>
          <w:p w14:paraId="49A3DFBC"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raportului situri remediate și monitorizate post remediere / situri contaminate și potențial contaminate</w:t>
            </w:r>
          </w:p>
        </w:tc>
        <w:tc>
          <w:tcPr>
            <w:tcW w:w="2409" w:type="dxa"/>
            <w:vMerge w:val="restart"/>
            <w:shd w:val="clear" w:color="auto" w:fill="auto"/>
            <w:vAlign w:val="center"/>
          </w:tcPr>
          <w:p w14:paraId="2ECB1846"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Situri contaminate și potențial contaminate</w:t>
            </w:r>
          </w:p>
        </w:tc>
        <w:tc>
          <w:tcPr>
            <w:tcW w:w="2268" w:type="dxa"/>
            <w:shd w:val="clear" w:color="auto" w:fill="auto"/>
            <w:vAlign w:val="center"/>
          </w:tcPr>
          <w:p w14:paraId="406EFB43"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situri contaminate și potențial contaminate identificate</w:t>
            </w:r>
          </w:p>
        </w:tc>
        <w:tc>
          <w:tcPr>
            <w:tcW w:w="1985" w:type="dxa"/>
            <w:vMerge w:val="restart"/>
            <w:shd w:val="clear" w:color="auto" w:fill="auto"/>
            <w:vAlign w:val="center"/>
          </w:tcPr>
          <w:p w14:paraId="7CAA1E44"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25580A3F"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3D8DC9F6"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p w14:paraId="0389A941"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532ECFA5"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2034</w:t>
            </w:r>
          </w:p>
        </w:tc>
      </w:tr>
      <w:tr w:rsidR="00670FD4" w:rsidRPr="00344FCE" w14:paraId="7921AC63" w14:textId="77777777" w:rsidTr="001925BA">
        <w:trPr>
          <w:trHeight w:val="20"/>
        </w:trPr>
        <w:tc>
          <w:tcPr>
            <w:tcW w:w="2787" w:type="dxa"/>
            <w:vMerge/>
            <w:shd w:val="clear" w:color="auto" w:fill="auto"/>
            <w:vAlign w:val="center"/>
          </w:tcPr>
          <w:p w14:paraId="5C2B0D56"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7AAB709C"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1E0BFEBE"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4D38926B" w14:textId="77777777" w:rsidR="00670FD4" w:rsidRPr="00344FCE" w:rsidRDefault="00670FD4" w:rsidP="001925BA">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auto"/>
            <w:vAlign w:val="center"/>
          </w:tcPr>
          <w:p w14:paraId="0E55F315"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125B28CD"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situri remediate</w:t>
            </w:r>
          </w:p>
        </w:tc>
        <w:tc>
          <w:tcPr>
            <w:tcW w:w="1985" w:type="dxa"/>
            <w:vMerge/>
            <w:shd w:val="clear" w:color="auto" w:fill="auto"/>
            <w:vAlign w:val="center"/>
          </w:tcPr>
          <w:p w14:paraId="4E38EE7A"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074A149C" w14:textId="77777777" w:rsidTr="001925BA">
        <w:trPr>
          <w:trHeight w:val="20"/>
        </w:trPr>
        <w:tc>
          <w:tcPr>
            <w:tcW w:w="2787" w:type="dxa"/>
            <w:vMerge w:val="restart"/>
            <w:shd w:val="clear" w:color="auto" w:fill="auto"/>
            <w:vAlign w:val="center"/>
          </w:tcPr>
          <w:p w14:paraId="1BDF4BA7" w14:textId="77777777" w:rsidR="00670FD4" w:rsidRPr="00344FCE" w:rsidRDefault="00670FD4" w:rsidP="001925BA">
            <w:pPr>
              <w:spacing w:before="0" w:after="0" w:line="240" w:lineRule="auto"/>
              <w:ind w:firstLine="0"/>
              <w:rPr>
                <w:rFonts w:eastAsia="Times New Roman" w:cs="Times New Roman"/>
                <w:kern w:val="0"/>
                <w:sz w:val="20"/>
                <w:szCs w:val="20"/>
                <w:lang w:val="ro-RO"/>
              </w:rPr>
            </w:pPr>
            <w:r w:rsidRPr="00344FCE">
              <w:rPr>
                <w:rFonts w:eastAsia="Times New Roman" w:cs="Times New Roman"/>
                <w:kern w:val="0"/>
                <w:sz w:val="22"/>
                <w:szCs w:val="22"/>
                <w:lang w:val="ro-RO"/>
              </w:rPr>
              <w:t>B.</w:t>
            </w:r>
            <w:r>
              <w:rPr>
                <w:rFonts w:eastAsia="Times New Roman" w:cs="Times New Roman"/>
                <w:kern w:val="0"/>
                <w:sz w:val="22"/>
                <w:szCs w:val="22"/>
                <w:lang w:val="ro-RO"/>
              </w:rPr>
              <w:t>6</w:t>
            </w:r>
            <w:r w:rsidRPr="00344FCE">
              <w:rPr>
                <w:rFonts w:eastAsia="Times New Roman" w:cs="Times New Roman"/>
                <w:kern w:val="0"/>
                <w:sz w:val="22"/>
                <w:szCs w:val="22"/>
                <w:lang w:val="ro-RO"/>
              </w:rPr>
              <w:t xml:space="preserve"> Dezvoltarea infrastructurii verzi în zona carierelor active de calcare și șisturi verzi (zona Tașaul-Luminița)</w:t>
            </w:r>
          </w:p>
        </w:tc>
        <w:tc>
          <w:tcPr>
            <w:tcW w:w="1999" w:type="dxa"/>
            <w:vMerge w:val="restart"/>
            <w:shd w:val="clear" w:color="auto" w:fill="auto"/>
            <w:vAlign w:val="center"/>
          </w:tcPr>
          <w:p w14:paraId="6065F88B"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MMAP (AJPM Constanța, ANANP), autorități locale (CJ Constanța)</w:t>
            </w:r>
          </w:p>
        </w:tc>
        <w:tc>
          <w:tcPr>
            <w:tcW w:w="1559" w:type="dxa"/>
            <w:vMerge w:val="restart"/>
            <w:shd w:val="clear" w:color="auto" w:fill="auto"/>
            <w:vAlign w:val="center"/>
          </w:tcPr>
          <w:p w14:paraId="42FCD326"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vMerge w:val="restart"/>
            <w:shd w:val="clear" w:color="auto" w:fill="auto"/>
            <w:vAlign w:val="center"/>
          </w:tcPr>
          <w:p w14:paraId="783D2CCC"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Reducerea poluării atmosferice în zona de interes</w:t>
            </w:r>
          </w:p>
          <w:p w14:paraId="5DEC7FB3"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biodiversității în zona de interes</w:t>
            </w:r>
          </w:p>
          <w:p w14:paraId="54EBDDF4"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suprafeței plantate în zona de interes</w:t>
            </w:r>
          </w:p>
        </w:tc>
        <w:tc>
          <w:tcPr>
            <w:tcW w:w="2409" w:type="dxa"/>
            <w:vMerge w:val="restart"/>
            <w:shd w:val="clear" w:color="auto" w:fill="auto"/>
            <w:vAlign w:val="center"/>
          </w:tcPr>
          <w:p w14:paraId="77AEB101" w14:textId="77777777" w:rsidR="00670FD4" w:rsidRPr="00344FCE" w:rsidRDefault="00670FD4" w:rsidP="001925BA">
            <w:pPr>
              <w:spacing w:before="0" w:after="0" w:line="240" w:lineRule="auto"/>
              <w:ind w:firstLine="0"/>
              <w:rPr>
                <w:rFonts w:eastAsia="Times New Roman" w:cs="Times New Roman"/>
                <w:kern w:val="0"/>
                <w:sz w:val="20"/>
                <w:szCs w:val="20"/>
                <w:lang w:val="ro-RO"/>
              </w:rPr>
            </w:pPr>
            <w:r w:rsidRPr="00344FCE">
              <w:rPr>
                <w:rFonts w:eastAsia="Times New Roman" w:cs="Times New Roman"/>
                <w:kern w:val="0"/>
                <w:sz w:val="22"/>
                <w:szCs w:val="22"/>
                <w:lang w:val="ro-RO"/>
              </w:rPr>
              <w:t>Management eficient al ariilor protejate</w:t>
            </w:r>
          </w:p>
        </w:tc>
        <w:tc>
          <w:tcPr>
            <w:tcW w:w="2268" w:type="dxa"/>
            <w:shd w:val="clear" w:color="auto" w:fill="auto"/>
            <w:vAlign w:val="center"/>
          </w:tcPr>
          <w:p w14:paraId="03C96BA1" w14:textId="77777777" w:rsidR="00670FD4" w:rsidRPr="00344FCE" w:rsidRDefault="00670FD4" w:rsidP="001925BA">
            <w:pPr>
              <w:spacing w:before="0" w:after="0" w:line="240" w:lineRule="auto"/>
              <w:ind w:firstLine="0"/>
              <w:rPr>
                <w:rFonts w:eastAsia="Times New Roman" w:cs="Times New Roman"/>
                <w:kern w:val="0"/>
                <w:sz w:val="20"/>
                <w:szCs w:val="20"/>
                <w:lang w:val="ro-RO"/>
              </w:rPr>
            </w:pPr>
            <w:r w:rsidRPr="00344FCE">
              <w:rPr>
                <w:rFonts w:eastAsia="Times New Roman" w:cs="Times New Roman"/>
                <w:kern w:val="0"/>
                <w:sz w:val="22"/>
                <w:szCs w:val="22"/>
                <w:lang w:val="ro-RO"/>
              </w:rPr>
              <w:t>Suprafața totală a zonelor degradate din ariile protejate în urma desfășurării de activității umane</w:t>
            </w:r>
          </w:p>
        </w:tc>
        <w:tc>
          <w:tcPr>
            <w:tcW w:w="1985" w:type="dxa"/>
            <w:vMerge w:val="restart"/>
            <w:shd w:val="clear" w:color="auto" w:fill="auto"/>
            <w:vAlign w:val="center"/>
          </w:tcPr>
          <w:p w14:paraId="6132A121"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6E5C5E2E"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6895F9D4"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5C9E223D"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p w14:paraId="39947167"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0ECF3DD5"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3F83DDCF"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2034</w:t>
            </w:r>
          </w:p>
          <w:p w14:paraId="40E12857"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18D558CA"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4BBC064A"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r>
      <w:tr w:rsidR="00670FD4" w:rsidRPr="00344FCE" w14:paraId="382E69F5" w14:textId="77777777" w:rsidTr="001925BA">
        <w:trPr>
          <w:trHeight w:val="20"/>
        </w:trPr>
        <w:tc>
          <w:tcPr>
            <w:tcW w:w="2787" w:type="dxa"/>
            <w:vMerge/>
            <w:shd w:val="clear" w:color="auto" w:fill="auto"/>
            <w:vAlign w:val="center"/>
          </w:tcPr>
          <w:p w14:paraId="40056257"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299A69E4"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23DD11D8"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73023FEA"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385AF9E8" w14:textId="77777777" w:rsidR="00670FD4" w:rsidRPr="00344FCE" w:rsidRDefault="00670FD4" w:rsidP="001925BA">
            <w:pPr>
              <w:spacing w:before="0" w:after="0" w:line="240" w:lineRule="auto"/>
              <w:ind w:firstLine="0"/>
              <w:jc w:val="center"/>
              <w:rPr>
                <w:rFonts w:eastAsia="Times New Roman" w:cs="Times New Roman"/>
                <w:kern w:val="0"/>
                <w:lang w:val="ro-RO"/>
              </w:rPr>
            </w:pPr>
          </w:p>
        </w:tc>
        <w:tc>
          <w:tcPr>
            <w:tcW w:w="2268" w:type="dxa"/>
            <w:shd w:val="clear" w:color="auto" w:fill="auto"/>
            <w:vAlign w:val="center"/>
          </w:tcPr>
          <w:p w14:paraId="1532038A" w14:textId="77777777" w:rsidR="00670FD4" w:rsidRPr="00344FCE" w:rsidRDefault="00670FD4" w:rsidP="001925BA">
            <w:pPr>
              <w:spacing w:before="0" w:after="0" w:line="240" w:lineRule="auto"/>
              <w:ind w:firstLine="0"/>
              <w:rPr>
                <w:rFonts w:eastAsia="Times New Roman" w:cs="Times New Roman"/>
                <w:kern w:val="0"/>
                <w:sz w:val="20"/>
                <w:szCs w:val="20"/>
                <w:lang w:val="ro-RO"/>
              </w:rPr>
            </w:pPr>
            <w:r w:rsidRPr="00344FCE">
              <w:rPr>
                <w:rFonts w:eastAsia="Times New Roman" w:cs="Times New Roman"/>
                <w:kern w:val="0"/>
                <w:sz w:val="22"/>
                <w:szCs w:val="22"/>
                <w:lang w:val="ro-RO"/>
              </w:rPr>
              <w:t>Rata pierderii sau deteriorării ariilor protejate</w:t>
            </w:r>
          </w:p>
        </w:tc>
        <w:tc>
          <w:tcPr>
            <w:tcW w:w="1985" w:type="dxa"/>
            <w:vMerge/>
            <w:shd w:val="clear" w:color="auto" w:fill="auto"/>
            <w:vAlign w:val="center"/>
          </w:tcPr>
          <w:p w14:paraId="3ABE78D6"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r>
      <w:tr w:rsidR="00670FD4" w:rsidRPr="00344FCE" w14:paraId="40033E46" w14:textId="77777777" w:rsidTr="001925BA">
        <w:trPr>
          <w:trHeight w:val="20"/>
        </w:trPr>
        <w:tc>
          <w:tcPr>
            <w:tcW w:w="2787" w:type="dxa"/>
            <w:vMerge/>
            <w:shd w:val="clear" w:color="auto" w:fill="auto"/>
            <w:vAlign w:val="center"/>
          </w:tcPr>
          <w:p w14:paraId="67A3A907"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0C986742"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4DBE102A"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0F7EF626"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2409" w:type="dxa"/>
            <w:vMerge w:val="restart"/>
            <w:shd w:val="clear" w:color="auto" w:fill="auto"/>
            <w:vAlign w:val="center"/>
          </w:tcPr>
          <w:p w14:paraId="14B5CFF2" w14:textId="77777777" w:rsidR="00670FD4" w:rsidRPr="00344FCE" w:rsidRDefault="00670FD4" w:rsidP="001925BA">
            <w:pPr>
              <w:spacing w:before="0" w:after="0" w:line="240" w:lineRule="auto"/>
              <w:ind w:firstLine="0"/>
              <w:jc w:val="center"/>
              <w:rPr>
                <w:rFonts w:eastAsia="Times New Roman" w:cs="Times New Roman"/>
                <w:kern w:val="0"/>
                <w:sz w:val="20"/>
                <w:szCs w:val="20"/>
                <w:lang w:val="ro-RO"/>
              </w:rPr>
            </w:pPr>
            <w:r w:rsidRPr="00344FCE">
              <w:rPr>
                <w:rFonts w:eastAsia="Times New Roman" w:cs="Times New Roman"/>
                <w:kern w:val="0"/>
                <w:sz w:val="22"/>
                <w:szCs w:val="22"/>
                <w:lang w:val="ro-RO"/>
              </w:rPr>
              <w:t>Poluare cu substanțe periculoase</w:t>
            </w:r>
          </w:p>
        </w:tc>
        <w:tc>
          <w:tcPr>
            <w:tcW w:w="2268" w:type="dxa"/>
            <w:shd w:val="clear" w:color="auto" w:fill="auto"/>
            <w:vAlign w:val="center"/>
          </w:tcPr>
          <w:p w14:paraId="1DF73CF9"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Descărcări de substanțe periculoase în mediul acvatic din surse punctiforme</w:t>
            </w:r>
          </w:p>
        </w:tc>
        <w:tc>
          <w:tcPr>
            <w:tcW w:w="1985" w:type="dxa"/>
            <w:vMerge/>
            <w:shd w:val="clear" w:color="auto" w:fill="auto"/>
            <w:vAlign w:val="center"/>
          </w:tcPr>
          <w:p w14:paraId="30EAEFEE"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r>
      <w:tr w:rsidR="00670FD4" w:rsidRPr="00344FCE" w14:paraId="68AB3A94" w14:textId="77777777" w:rsidTr="001925BA">
        <w:trPr>
          <w:trHeight w:val="20"/>
        </w:trPr>
        <w:tc>
          <w:tcPr>
            <w:tcW w:w="2787" w:type="dxa"/>
            <w:vMerge/>
            <w:shd w:val="clear" w:color="auto" w:fill="auto"/>
            <w:vAlign w:val="center"/>
          </w:tcPr>
          <w:p w14:paraId="5778E1D7"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537CC9D9"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75587461"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5D759251"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027B089E"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45064B0C"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Concentrații ale substanțelor periculoase în </w:t>
            </w:r>
            <w:r w:rsidRPr="00344FCE">
              <w:rPr>
                <w:rFonts w:eastAsia="Times New Roman" w:cs="Times New Roman"/>
                <w:kern w:val="0"/>
                <w:sz w:val="22"/>
                <w:szCs w:val="22"/>
                <w:lang w:val="ro-RO"/>
              </w:rPr>
              <w:lastRenderedPageBreak/>
              <w:t>sedimentele din mediul dulcicol</w:t>
            </w:r>
          </w:p>
        </w:tc>
        <w:tc>
          <w:tcPr>
            <w:tcW w:w="1985" w:type="dxa"/>
            <w:vMerge/>
            <w:shd w:val="clear" w:color="auto" w:fill="auto"/>
            <w:vAlign w:val="center"/>
          </w:tcPr>
          <w:p w14:paraId="1D79E74D"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r>
      <w:tr w:rsidR="00670FD4" w:rsidRPr="00344FCE" w14:paraId="33E8C81A" w14:textId="77777777" w:rsidTr="001925BA">
        <w:trPr>
          <w:trHeight w:val="20"/>
        </w:trPr>
        <w:tc>
          <w:tcPr>
            <w:tcW w:w="2787" w:type="dxa"/>
            <w:vMerge/>
            <w:shd w:val="clear" w:color="auto" w:fill="auto"/>
            <w:vAlign w:val="center"/>
          </w:tcPr>
          <w:p w14:paraId="0BF33628"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0C714FB6"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720BAEEA"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454230E2"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175A1AE8"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76C6F0B9"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Concentrații ale substanțelor periculoase în soluri</w:t>
            </w:r>
          </w:p>
        </w:tc>
        <w:tc>
          <w:tcPr>
            <w:tcW w:w="1985" w:type="dxa"/>
            <w:vMerge/>
            <w:shd w:val="clear" w:color="auto" w:fill="auto"/>
            <w:vAlign w:val="center"/>
          </w:tcPr>
          <w:p w14:paraId="490DDD1F"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r>
      <w:tr w:rsidR="00670FD4" w:rsidRPr="00344FCE" w14:paraId="33536CA6" w14:textId="77777777" w:rsidTr="001925BA">
        <w:trPr>
          <w:trHeight w:val="20"/>
        </w:trPr>
        <w:tc>
          <w:tcPr>
            <w:tcW w:w="2787" w:type="dxa"/>
            <w:vMerge/>
            <w:shd w:val="clear" w:color="auto" w:fill="auto"/>
            <w:vAlign w:val="center"/>
          </w:tcPr>
          <w:p w14:paraId="04515F1F"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40BADB4A"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5B7B741B"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2A2221ED"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2409" w:type="dxa"/>
            <w:vMerge w:val="restart"/>
            <w:shd w:val="clear" w:color="auto" w:fill="auto"/>
            <w:vAlign w:val="center"/>
          </w:tcPr>
          <w:p w14:paraId="7A7C4D12"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Calitatea aerului</w:t>
            </w:r>
          </w:p>
        </w:tc>
        <w:tc>
          <w:tcPr>
            <w:tcW w:w="2268"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14:paraId="0DA5B2CA"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Concentrațiile poluanților atmosferici (valori orare, la 8 ore, zilnice)</w:t>
            </w:r>
          </w:p>
        </w:tc>
        <w:tc>
          <w:tcPr>
            <w:tcW w:w="1985" w:type="dxa"/>
            <w:vMerge/>
            <w:shd w:val="clear" w:color="auto" w:fill="auto"/>
            <w:vAlign w:val="center"/>
          </w:tcPr>
          <w:p w14:paraId="28C89D9E"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r>
      <w:tr w:rsidR="00670FD4" w:rsidRPr="00344FCE" w14:paraId="0B285090" w14:textId="77777777" w:rsidTr="001925BA">
        <w:trPr>
          <w:trHeight w:val="20"/>
        </w:trPr>
        <w:tc>
          <w:tcPr>
            <w:tcW w:w="2787" w:type="dxa"/>
            <w:vMerge/>
            <w:shd w:val="clear" w:color="auto" w:fill="auto"/>
            <w:vAlign w:val="center"/>
          </w:tcPr>
          <w:p w14:paraId="227BE344"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05CA5BB5"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3F2CE47A"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3845FF3A"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705D24EA"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tc>
        <w:tc>
          <w:tcPr>
            <w:tcW w:w="2268"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center"/>
          </w:tcPr>
          <w:p w14:paraId="405E24D6"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Modele de dispersie a poluanților atmosferici</w:t>
            </w:r>
          </w:p>
        </w:tc>
        <w:tc>
          <w:tcPr>
            <w:tcW w:w="1985" w:type="dxa"/>
            <w:vMerge/>
            <w:shd w:val="clear" w:color="auto" w:fill="auto"/>
            <w:vAlign w:val="center"/>
          </w:tcPr>
          <w:p w14:paraId="76B7FB15"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r>
      <w:tr w:rsidR="00670FD4" w:rsidRPr="00344FCE" w14:paraId="6EA0ECFE" w14:textId="77777777" w:rsidTr="001925BA">
        <w:trPr>
          <w:trHeight w:val="20"/>
        </w:trPr>
        <w:tc>
          <w:tcPr>
            <w:tcW w:w="2787" w:type="dxa"/>
            <w:vMerge/>
            <w:shd w:val="clear" w:color="auto" w:fill="auto"/>
            <w:vAlign w:val="center"/>
          </w:tcPr>
          <w:p w14:paraId="24A76893"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45639516"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185B43FD"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004BEFF8"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240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14:paraId="7C41B343"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Gradul de informare și implicare a cetățenilor</w:t>
            </w:r>
          </w:p>
        </w:tc>
        <w:tc>
          <w:tcPr>
            <w:tcW w:w="2268"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7F871E0E"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voluntari implicați în monitorizarea zonei costiere</w:t>
            </w:r>
          </w:p>
        </w:tc>
        <w:tc>
          <w:tcPr>
            <w:tcW w:w="1985" w:type="dxa"/>
            <w:vMerge/>
            <w:shd w:val="clear" w:color="auto" w:fill="auto"/>
            <w:vAlign w:val="center"/>
          </w:tcPr>
          <w:p w14:paraId="7D98EBF4"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r>
      <w:tr w:rsidR="00670FD4" w:rsidRPr="00344FCE" w14:paraId="38DEBBFC" w14:textId="77777777" w:rsidTr="001925BA">
        <w:trPr>
          <w:trHeight w:val="20"/>
        </w:trPr>
        <w:tc>
          <w:tcPr>
            <w:tcW w:w="2787" w:type="dxa"/>
            <w:vMerge w:val="restart"/>
            <w:shd w:val="clear" w:color="auto" w:fill="auto"/>
            <w:vAlign w:val="center"/>
          </w:tcPr>
          <w:p w14:paraId="2EB0C822"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B.</w:t>
            </w:r>
            <w:r>
              <w:rPr>
                <w:rFonts w:eastAsia="Times New Roman" w:cs="Times New Roman"/>
                <w:kern w:val="0"/>
                <w:sz w:val="22"/>
                <w:szCs w:val="22"/>
                <w:lang w:val="ro-RO"/>
              </w:rPr>
              <w:t>7</w:t>
            </w:r>
            <w:r w:rsidRPr="00344FCE">
              <w:rPr>
                <w:rFonts w:eastAsia="Times New Roman" w:cs="Times New Roman"/>
                <w:kern w:val="0"/>
                <w:sz w:val="22"/>
                <w:szCs w:val="22"/>
                <w:lang w:val="ro-RO"/>
              </w:rPr>
              <w:t xml:space="preserve"> Restaurarea ecologică a lacurilor urbane în scopul valorificării potențialului lor natural și turistic (lacurile Tăbăcărie, Costinești, Belona, Neptun, etc.)</w:t>
            </w:r>
          </w:p>
        </w:tc>
        <w:tc>
          <w:tcPr>
            <w:tcW w:w="1999" w:type="dxa"/>
            <w:vMerge w:val="restart"/>
            <w:shd w:val="clear" w:color="auto" w:fill="auto"/>
            <w:vAlign w:val="center"/>
          </w:tcPr>
          <w:p w14:paraId="4EFA7D91"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MADR (prin ANPA) și autoritățile locale</w:t>
            </w:r>
          </w:p>
        </w:tc>
        <w:tc>
          <w:tcPr>
            <w:tcW w:w="1559" w:type="dxa"/>
            <w:vMerge w:val="restart"/>
            <w:shd w:val="clear" w:color="auto" w:fill="auto"/>
            <w:vAlign w:val="center"/>
          </w:tcPr>
          <w:p w14:paraId="7AB00CDF"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vMerge w:val="restart"/>
            <w:shd w:val="clear" w:color="auto" w:fill="auto"/>
            <w:vAlign w:val="center"/>
          </w:tcPr>
          <w:p w14:paraId="4EEAC81D"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Restaurarea ecologică a tuturor lacurilor urbane din zona costieră</w:t>
            </w:r>
          </w:p>
          <w:p w14:paraId="200BD92D"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tc>
        <w:tc>
          <w:tcPr>
            <w:tcW w:w="2409" w:type="dxa"/>
            <w:vMerge w:val="restart"/>
            <w:shd w:val="clear" w:color="auto" w:fill="auto"/>
            <w:vAlign w:val="center"/>
          </w:tcPr>
          <w:p w14:paraId="0197689F"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Poluare cu substanțe periculoase</w:t>
            </w:r>
          </w:p>
          <w:p w14:paraId="28954400"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015E7C3C"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20D0CCAC"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Evacuări de substanțe periculoase în mediul acvatic din surse punctiforme</w:t>
            </w:r>
          </w:p>
        </w:tc>
        <w:tc>
          <w:tcPr>
            <w:tcW w:w="1985" w:type="dxa"/>
            <w:vMerge w:val="restart"/>
            <w:shd w:val="clear" w:color="auto" w:fill="auto"/>
            <w:vAlign w:val="center"/>
          </w:tcPr>
          <w:p w14:paraId="0548AD88"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5035E2DE"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3E4D3BC9"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p w14:paraId="33FB5F65"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4D876335"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5DF5C6F6"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2034</w:t>
            </w:r>
          </w:p>
        </w:tc>
      </w:tr>
      <w:tr w:rsidR="00670FD4" w:rsidRPr="00344FCE" w14:paraId="597F957F" w14:textId="77777777" w:rsidTr="001925BA">
        <w:trPr>
          <w:trHeight w:val="20"/>
        </w:trPr>
        <w:tc>
          <w:tcPr>
            <w:tcW w:w="2787" w:type="dxa"/>
            <w:vMerge/>
            <w:shd w:val="clear" w:color="auto" w:fill="auto"/>
            <w:vAlign w:val="center"/>
          </w:tcPr>
          <w:p w14:paraId="53DE8C9C"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1BC52340"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74E61B46"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3AB14225"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409" w:type="dxa"/>
            <w:vMerge/>
            <w:shd w:val="clear" w:color="auto" w:fill="auto"/>
            <w:vAlign w:val="center"/>
          </w:tcPr>
          <w:p w14:paraId="3D4346B4"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58FC493F"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Valorile modelate ale evacuărilor de substanțe periculoase din surse difuze</w:t>
            </w:r>
          </w:p>
        </w:tc>
        <w:tc>
          <w:tcPr>
            <w:tcW w:w="1985" w:type="dxa"/>
            <w:vMerge/>
            <w:shd w:val="clear" w:color="auto" w:fill="auto"/>
            <w:vAlign w:val="center"/>
          </w:tcPr>
          <w:p w14:paraId="6192D844"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18890070" w14:textId="77777777" w:rsidTr="001925BA">
        <w:trPr>
          <w:trHeight w:val="20"/>
        </w:trPr>
        <w:tc>
          <w:tcPr>
            <w:tcW w:w="2787" w:type="dxa"/>
            <w:vMerge/>
            <w:shd w:val="clear" w:color="auto" w:fill="auto"/>
            <w:vAlign w:val="center"/>
          </w:tcPr>
          <w:p w14:paraId="0E971F74"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569E5159"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12A3A39E"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2AC8A789"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409" w:type="dxa"/>
            <w:vMerge/>
            <w:shd w:val="clear" w:color="auto" w:fill="auto"/>
            <w:vAlign w:val="center"/>
          </w:tcPr>
          <w:p w14:paraId="6ED00304"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3D109EE6"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Concentrații ale substanțelor periculoase în apele interioare (Dunăre, lacuri)</w:t>
            </w:r>
          </w:p>
        </w:tc>
        <w:tc>
          <w:tcPr>
            <w:tcW w:w="1985" w:type="dxa"/>
            <w:vMerge/>
            <w:shd w:val="clear" w:color="auto" w:fill="auto"/>
            <w:vAlign w:val="center"/>
          </w:tcPr>
          <w:p w14:paraId="41ACAD81"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275FD421" w14:textId="77777777" w:rsidTr="001925BA">
        <w:trPr>
          <w:trHeight w:val="20"/>
        </w:trPr>
        <w:tc>
          <w:tcPr>
            <w:tcW w:w="2787" w:type="dxa"/>
            <w:vMerge/>
            <w:shd w:val="clear" w:color="auto" w:fill="auto"/>
            <w:vAlign w:val="center"/>
          </w:tcPr>
          <w:p w14:paraId="5AE2829B"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3EB95DCF"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68509E72"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77DB69DB"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409" w:type="dxa"/>
            <w:vMerge/>
            <w:shd w:val="clear" w:color="auto" w:fill="auto"/>
            <w:vAlign w:val="center"/>
          </w:tcPr>
          <w:p w14:paraId="3778ECB9"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351E39EB"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Concentrații ale substanțelor periculoase în sedimentele din mediul dulcicol</w:t>
            </w:r>
          </w:p>
        </w:tc>
        <w:tc>
          <w:tcPr>
            <w:tcW w:w="1985" w:type="dxa"/>
            <w:vMerge/>
            <w:shd w:val="clear" w:color="auto" w:fill="auto"/>
            <w:vAlign w:val="center"/>
          </w:tcPr>
          <w:p w14:paraId="63A0B580"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7A0F5C3A" w14:textId="77777777" w:rsidTr="001925BA">
        <w:trPr>
          <w:trHeight w:val="20"/>
        </w:trPr>
        <w:tc>
          <w:tcPr>
            <w:tcW w:w="2787" w:type="dxa"/>
            <w:vMerge/>
            <w:shd w:val="clear" w:color="auto" w:fill="auto"/>
            <w:vAlign w:val="center"/>
          </w:tcPr>
          <w:p w14:paraId="2259CDA8"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6A336D70"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51FA3F7F"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0862D4DD"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val="restart"/>
            <w:shd w:val="clear" w:color="auto" w:fill="auto"/>
            <w:vAlign w:val="center"/>
          </w:tcPr>
          <w:p w14:paraId="528CE113"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Introducerea de nutrienți în mediul acvatic</w:t>
            </w:r>
          </w:p>
          <w:p w14:paraId="01A377FD"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773ECF77"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lastRenderedPageBreak/>
              <w:t xml:space="preserve">Cantitate de azot și fosfor introdusă în </w:t>
            </w:r>
            <w:r w:rsidRPr="00344FCE">
              <w:rPr>
                <w:rFonts w:eastAsia="Times New Roman" w:cs="Times New Roman"/>
                <w:kern w:val="0"/>
                <w:sz w:val="22"/>
                <w:szCs w:val="22"/>
                <w:lang w:val="ro-RO"/>
              </w:rPr>
              <w:lastRenderedPageBreak/>
              <w:t>mediul acvatic (ape costiere, tranzitorii și ape interioare) din surse punctiforme</w:t>
            </w:r>
          </w:p>
        </w:tc>
        <w:tc>
          <w:tcPr>
            <w:tcW w:w="1985" w:type="dxa"/>
            <w:vMerge/>
            <w:shd w:val="clear" w:color="auto" w:fill="auto"/>
            <w:vAlign w:val="center"/>
          </w:tcPr>
          <w:p w14:paraId="3FAA0F07"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32CD3035" w14:textId="77777777" w:rsidTr="001925BA">
        <w:trPr>
          <w:trHeight w:val="20"/>
        </w:trPr>
        <w:tc>
          <w:tcPr>
            <w:tcW w:w="2787" w:type="dxa"/>
            <w:vMerge/>
            <w:shd w:val="clear" w:color="auto" w:fill="auto"/>
            <w:vAlign w:val="center"/>
          </w:tcPr>
          <w:p w14:paraId="3A52115C"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7970CCA9"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77687237"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7CF2ADE0"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05055AFF"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39809C6A"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Cantitate de azot și fosfor introdusă în mediul acvatic din surse difuze</w:t>
            </w:r>
          </w:p>
        </w:tc>
        <w:tc>
          <w:tcPr>
            <w:tcW w:w="1985" w:type="dxa"/>
            <w:vMerge/>
            <w:shd w:val="clear" w:color="auto" w:fill="auto"/>
            <w:vAlign w:val="center"/>
          </w:tcPr>
          <w:p w14:paraId="15FD55B1"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0F983DC2" w14:textId="77777777" w:rsidTr="001925BA">
        <w:trPr>
          <w:trHeight w:val="20"/>
        </w:trPr>
        <w:tc>
          <w:tcPr>
            <w:tcW w:w="2787" w:type="dxa"/>
            <w:vMerge/>
            <w:shd w:val="clear" w:color="auto" w:fill="auto"/>
            <w:vAlign w:val="center"/>
          </w:tcPr>
          <w:p w14:paraId="04BF30FB"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35C6CADA"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2660D37B"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6B9DD7B1"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val="restart"/>
            <w:shd w:val="clear" w:color="auto" w:fill="auto"/>
            <w:vAlign w:val="center"/>
          </w:tcPr>
          <w:p w14:paraId="2168A27B"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Eutrofizarea apelor interioare</w:t>
            </w:r>
          </w:p>
        </w:tc>
        <w:tc>
          <w:tcPr>
            <w:tcW w:w="2268" w:type="dxa"/>
            <w:shd w:val="clear" w:color="auto" w:fill="auto"/>
            <w:vAlign w:val="center"/>
          </w:tcPr>
          <w:p w14:paraId="462E01DB"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Concentrația nutrienților în apele interioare</w:t>
            </w:r>
          </w:p>
        </w:tc>
        <w:tc>
          <w:tcPr>
            <w:tcW w:w="1985" w:type="dxa"/>
            <w:vMerge/>
            <w:shd w:val="clear" w:color="auto" w:fill="auto"/>
            <w:vAlign w:val="center"/>
          </w:tcPr>
          <w:p w14:paraId="6E09F8BC"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4180BC0C" w14:textId="77777777" w:rsidTr="001925BA">
        <w:trPr>
          <w:trHeight w:val="20"/>
        </w:trPr>
        <w:tc>
          <w:tcPr>
            <w:tcW w:w="2787" w:type="dxa"/>
            <w:vMerge/>
            <w:shd w:val="clear" w:color="auto" w:fill="auto"/>
            <w:vAlign w:val="center"/>
          </w:tcPr>
          <w:p w14:paraId="5E85FFE2"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55B67B15"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549CC9BE"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1DF45432"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414EB14B"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02F46DC1"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Concentrația de materie organică în apele interioare</w:t>
            </w:r>
          </w:p>
        </w:tc>
        <w:tc>
          <w:tcPr>
            <w:tcW w:w="1985" w:type="dxa"/>
            <w:vMerge/>
            <w:shd w:val="clear" w:color="auto" w:fill="auto"/>
            <w:vAlign w:val="center"/>
          </w:tcPr>
          <w:p w14:paraId="762340FA"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378F6640" w14:textId="77777777" w:rsidTr="001925BA">
        <w:trPr>
          <w:trHeight w:val="20"/>
        </w:trPr>
        <w:tc>
          <w:tcPr>
            <w:tcW w:w="2787" w:type="dxa"/>
            <w:vMerge/>
            <w:shd w:val="clear" w:color="auto" w:fill="auto"/>
            <w:vAlign w:val="center"/>
          </w:tcPr>
          <w:p w14:paraId="02BAE145"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5660BD6D"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584FE2A1"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0BB617C7"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63BAE63D"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141F8DCD"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Conținutul de oxigen dizolvat în apele interioare</w:t>
            </w:r>
          </w:p>
        </w:tc>
        <w:tc>
          <w:tcPr>
            <w:tcW w:w="1985" w:type="dxa"/>
            <w:vMerge/>
            <w:shd w:val="clear" w:color="auto" w:fill="auto"/>
            <w:vAlign w:val="center"/>
          </w:tcPr>
          <w:p w14:paraId="198FAA92"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5C480EFC" w14:textId="77777777" w:rsidTr="001925BA">
        <w:trPr>
          <w:trHeight w:val="20"/>
        </w:trPr>
        <w:tc>
          <w:tcPr>
            <w:tcW w:w="2787" w:type="dxa"/>
            <w:vMerge/>
            <w:shd w:val="clear" w:color="auto" w:fill="auto"/>
            <w:vAlign w:val="center"/>
          </w:tcPr>
          <w:p w14:paraId="13527C78"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5E7DCB8D"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1AF6D6C3"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0A99B7F5"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4632DF8F"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28B75B93"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Turbiditatea și suspensii totale în apele interioare</w:t>
            </w:r>
          </w:p>
        </w:tc>
        <w:tc>
          <w:tcPr>
            <w:tcW w:w="1985" w:type="dxa"/>
            <w:vMerge/>
            <w:shd w:val="clear" w:color="auto" w:fill="auto"/>
            <w:vAlign w:val="center"/>
          </w:tcPr>
          <w:p w14:paraId="1D40DC17"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26AC9737" w14:textId="77777777" w:rsidTr="001925BA">
        <w:trPr>
          <w:trHeight w:val="20"/>
        </w:trPr>
        <w:tc>
          <w:tcPr>
            <w:tcW w:w="2787" w:type="dxa"/>
            <w:vMerge/>
            <w:shd w:val="clear" w:color="auto" w:fill="auto"/>
            <w:vAlign w:val="center"/>
          </w:tcPr>
          <w:p w14:paraId="5373AEF7"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180C1645"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22BF150F"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17979893"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shd w:val="clear" w:color="auto" w:fill="auto"/>
            <w:vAlign w:val="center"/>
          </w:tcPr>
          <w:p w14:paraId="2DC4F4C1"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Cantitatea de deșeuri</w:t>
            </w:r>
          </w:p>
        </w:tc>
        <w:tc>
          <w:tcPr>
            <w:tcW w:w="2268" w:type="dxa"/>
            <w:shd w:val="clear" w:color="auto" w:fill="auto"/>
            <w:vAlign w:val="center"/>
          </w:tcPr>
          <w:p w14:paraId="77EE502D"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Suprafața depozitelor ilegale de deșeuri</w:t>
            </w:r>
          </w:p>
        </w:tc>
        <w:tc>
          <w:tcPr>
            <w:tcW w:w="1985" w:type="dxa"/>
            <w:vMerge/>
            <w:shd w:val="clear" w:color="auto" w:fill="auto"/>
            <w:vAlign w:val="center"/>
          </w:tcPr>
          <w:p w14:paraId="0C86B3CE"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5AD3F1C6" w14:textId="77777777" w:rsidTr="001925BA">
        <w:trPr>
          <w:trHeight w:val="20"/>
        </w:trPr>
        <w:tc>
          <w:tcPr>
            <w:tcW w:w="2787" w:type="dxa"/>
            <w:vMerge w:val="restart"/>
            <w:shd w:val="clear" w:color="auto" w:fill="auto"/>
            <w:vAlign w:val="center"/>
          </w:tcPr>
          <w:p w14:paraId="4631E75B"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B.</w:t>
            </w:r>
            <w:r>
              <w:rPr>
                <w:rFonts w:eastAsia="Times New Roman" w:cs="Times New Roman"/>
                <w:kern w:val="0"/>
                <w:sz w:val="22"/>
                <w:szCs w:val="22"/>
                <w:lang w:val="ro-RO"/>
              </w:rPr>
              <w:t>8</w:t>
            </w:r>
            <w:r w:rsidRPr="00344FCE">
              <w:rPr>
                <w:rFonts w:eastAsia="Times New Roman" w:cs="Times New Roman"/>
                <w:kern w:val="0"/>
                <w:sz w:val="22"/>
                <w:szCs w:val="22"/>
                <w:lang w:val="ro-RO"/>
              </w:rPr>
              <w:t xml:space="preserve"> Inițierea și implementarea de programe pentru îmbunătățirea infrastructurii de gestionare a deșeurilor</w:t>
            </w:r>
          </w:p>
        </w:tc>
        <w:tc>
          <w:tcPr>
            <w:tcW w:w="1999" w:type="dxa"/>
            <w:vMerge w:val="restart"/>
            <w:shd w:val="clear" w:color="auto" w:fill="auto"/>
            <w:vAlign w:val="center"/>
          </w:tcPr>
          <w:p w14:paraId="038567C0"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MMAP, autorități locale</w:t>
            </w:r>
          </w:p>
        </w:tc>
        <w:tc>
          <w:tcPr>
            <w:tcW w:w="1559" w:type="dxa"/>
            <w:vMerge w:val="restart"/>
            <w:shd w:val="clear" w:color="auto" w:fill="auto"/>
            <w:vAlign w:val="center"/>
          </w:tcPr>
          <w:p w14:paraId="2FE9F47D"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vMerge w:val="restart"/>
            <w:shd w:val="clear" w:color="auto" w:fill="auto"/>
            <w:vAlign w:val="center"/>
          </w:tcPr>
          <w:p w14:paraId="3D551AAE"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Atingerea gradului de conectare la serviciile de salubrizare de 100 % în zona costieră;</w:t>
            </w:r>
          </w:p>
          <w:p w14:paraId="04ED52B1"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Reducerea procentului de deșeuri </w:t>
            </w:r>
            <w:r>
              <w:rPr>
                <w:rFonts w:eastAsia="Times New Roman" w:cs="Times New Roman"/>
                <w:kern w:val="0"/>
                <w:sz w:val="22"/>
                <w:szCs w:val="22"/>
                <w:lang w:val="ro-RO"/>
              </w:rPr>
              <w:t xml:space="preserve">eliminate prin </w:t>
            </w:r>
            <w:r w:rsidRPr="00344FCE">
              <w:rPr>
                <w:rFonts w:eastAsia="Times New Roman" w:cs="Times New Roman"/>
                <w:kern w:val="0"/>
                <w:sz w:val="22"/>
                <w:szCs w:val="22"/>
                <w:lang w:val="ro-RO"/>
              </w:rPr>
              <w:t>depozita</w:t>
            </w:r>
            <w:r>
              <w:rPr>
                <w:rFonts w:eastAsia="Times New Roman" w:cs="Times New Roman"/>
                <w:kern w:val="0"/>
                <w:sz w:val="22"/>
                <w:szCs w:val="22"/>
                <w:lang w:val="ro-RO"/>
              </w:rPr>
              <w:t>r</w:t>
            </w:r>
            <w:r w:rsidRPr="00344FCE">
              <w:rPr>
                <w:rFonts w:eastAsia="Times New Roman" w:cs="Times New Roman"/>
                <w:kern w:val="0"/>
                <w:sz w:val="22"/>
                <w:szCs w:val="22"/>
                <w:lang w:val="ro-RO"/>
              </w:rPr>
              <w:t xml:space="preserve">e </w:t>
            </w:r>
          </w:p>
        </w:tc>
        <w:tc>
          <w:tcPr>
            <w:tcW w:w="2409" w:type="dxa"/>
            <w:vMerge w:val="restart"/>
            <w:shd w:val="clear" w:color="auto" w:fill="auto"/>
            <w:vAlign w:val="center"/>
          </w:tcPr>
          <w:p w14:paraId="1F89FCBC"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0BB18720"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Cantitatea de deșeuri</w:t>
            </w:r>
          </w:p>
        </w:tc>
        <w:tc>
          <w:tcPr>
            <w:tcW w:w="2268" w:type="dxa"/>
            <w:shd w:val="clear" w:color="auto" w:fill="auto"/>
            <w:vAlign w:val="center"/>
          </w:tcPr>
          <w:p w14:paraId="34998D66"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Suprafața depozitelor ilegale de deșeuri</w:t>
            </w:r>
          </w:p>
        </w:tc>
        <w:tc>
          <w:tcPr>
            <w:tcW w:w="1985" w:type="dxa"/>
            <w:vMerge w:val="restart"/>
            <w:shd w:val="clear" w:color="auto" w:fill="auto"/>
            <w:vAlign w:val="center"/>
          </w:tcPr>
          <w:p w14:paraId="01D2536E"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7CD76079"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6D9D0708"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p w14:paraId="3C239F3D"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3DA0BF34"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2034</w:t>
            </w:r>
          </w:p>
        </w:tc>
      </w:tr>
      <w:tr w:rsidR="00670FD4" w:rsidRPr="00344FCE" w14:paraId="66996657" w14:textId="77777777" w:rsidTr="001925BA">
        <w:trPr>
          <w:trHeight w:val="20"/>
        </w:trPr>
        <w:tc>
          <w:tcPr>
            <w:tcW w:w="2787" w:type="dxa"/>
            <w:vMerge/>
            <w:shd w:val="clear" w:color="auto" w:fill="auto"/>
            <w:vAlign w:val="center"/>
          </w:tcPr>
          <w:p w14:paraId="0FEF2880" w14:textId="77777777" w:rsidR="00670FD4" w:rsidRPr="00344FCE" w:rsidRDefault="00670FD4" w:rsidP="001925BA">
            <w:pPr>
              <w:widowControl w:val="0"/>
              <w:pBdr>
                <w:top w:val="nil"/>
                <w:left w:val="nil"/>
                <w:bottom w:val="nil"/>
                <w:right w:val="nil"/>
                <w:between w:val="nil"/>
              </w:pBdr>
              <w:spacing w:before="0" w:after="0"/>
              <w:ind w:firstLine="0"/>
              <w:jc w:val="center"/>
              <w:rPr>
                <w:rFonts w:eastAsia="Times New Roman" w:cs="Times New Roman"/>
                <w:kern w:val="0"/>
                <w:sz w:val="22"/>
                <w:szCs w:val="22"/>
                <w:lang w:val="ro-RO"/>
              </w:rPr>
            </w:pPr>
          </w:p>
        </w:tc>
        <w:tc>
          <w:tcPr>
            <w:tcW w:w="1999" w:type="dxa"/>
            <w:vMerge/>
            <w:shd w:val="clear" w:color="auto" w:fill="auto"/>
            <w:vAlign w:val="center"/>
          </w:tcPr>
          <w:p w14:paraId="64F17BBB" w14:textId="77777777" w:rsidR="00670FD4" w:rsidRPr="00344FCE" w:rsidRDefault="00670FD4" w:rsidP="001925BA">
            <w:pPr>
              <w:widowControl w:val="0"/>
              <w:pBdr>
                <w:top w:val="nil"/>
                <w:left w:val="nil"/>
                <w:bottom w:val="nil"/>
                <w:right w:val="nil"/>
                <w:between w:val="nil"/>
              </w:pBdr>
              <w:spacing w:before="0" w:after="0"/>
              <w:ind w:firstLine="0"/>
              <w:jc w:val="center"/>
              <w:rPr>
                <w:rFonts w:eastAsia="Times New Roman" w:cs="Times New Roman"/>
                <w:kern w:val="0"/>
                <w:sz w:val="22"/>
                <w:szCs w:val="22"/>
                <w:lang w:val="ro-RO"/>
              </w:rPr>
            </w:pPr>
          </w:p>
        </w:tc>
        <w:tc>
          <w:tcPr>
            <w:tcW w:w="1559" w:type="dxa"/>
            <w:vMerge/>
            <w:shd w:val="clear" w:color="auto" w:fill="auto"/>
            <w:vAlign w:val="center"/>
          </w:tcPr>
          <w:p w14:paraId="1F24AED8" w14:textId="77777777" w:rsidR="00670FD4" w:rsidRPr="00344FCE" w:rsidRDefault="00670FD4" w:rsidP="001925BA">
            <w:pPr>
              <w:widowControl w:val="0"/>
              <w:pBdr>
                <w:top w:val="nil"/>
                <w:left w:val="nil"/>
                <w:bottom w:val="nil"/>
                <w:right w:val="nil"/>
                <w:between w:val="nil"/>
              </w:pBdr>
              <w:spacing w:before="0" w:after="0"/>
              <w:ind w:firstLine="0"/>
              <w:jc w:val="center"/>
              <w:rPr>
                <w:rFonts w:eastAsia="Times New Roman" w:cs="Times New Roman"/>
                <w:kern w:val="0"/>
                <w:sz w:val="22"/>
                <w:szCs w:val="22"/>
                <w:lang w:val="ro-RO"/>
              </w:rPr>
            </w:pPr>
          </w:p>
        </w:tc>
        <w:tc>
          <w:tcPr>
            <w:tcW w:w="2127" w:type="dxa"/>
            <w:vMerge/>
            <w:shd w:val="clear" w:color="auto" w:fill="auto"/>
            <w:vAlign w:val="center"/>
          </w:tcPr>
          <w:p w14:paraId="5D545C40" w14:textId="77777777" w:rsidR="00670FD4" w:rsidRPr="00344FCE" w:rsidRDefault="00670FD4" w:rsidP="001925BA">
            <w:pPr>
              <w:widowControl w:val="0"/>
              <w:pBdr>
                <w:top w:val="nil"/>
                <w:left w:val="nil"/>
                <w:bottom w:val="nil"/>
                <w:right w:val="nil"/>
                <w:between w:val="nil"/>
              </w:pBdr>
              <w:spacing w:before="0"/>
              <w:ind w:firstLine="0"/>
              <w:rPr>
                <w:rFonts w:eastAsia="Times New Roman" w:cs="Times New Roman"/>
                <w:kern w:val="0"/>
                <w:sz w:val="22"/>
                <w:szCs w:val="22"/>
                <w:lang w:val="ro-RO"/>
              </w:rPr>
            </w:pPr>
          </w:p>
        </w:tc>
        <w:tc>
          <w:tcPr>
            <w:tcW w:w="2409" w:type="dxa"/>
            <w:vMerge/>
            <w:shd w:val="clear" w:color="auto" w:fill="auto"/>
            <w:vAlign w:val="center"/>
          </w:tcPr>
          <w:p w14:paraId="0863DD8B"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tcBorders>
              <w:bottom w:val="single" w:sz="4" w:space="0" w:color="000000"/>
            </w:tcBorders>
            <w:shd w:val="clear" w:color="auto" w:fill="auto"/>
            <w:vAlign w:val="center"/>
          </w:tcPr>
          <w:p w14:paraId="7A36CC40" w14:textId="77777777" w:rsidR="00670FD4" w:rsidRPr="00344FCE" w:rsidRDefault="00670FD4" w:rsidP="001925BA">
            <w:pPr>
              <w:spacing w:before="0" w:after="0" w:line="252"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Volumul de deșeuri trata</w:t>
            </w:r>
            <w:r>
              <w:rPr>
                <w:rFonts w:eastAsia="Times New Roman" w:cs="Times New Roman"/>
                <w:kern w:val="0"/>
                <w:sz w:val="22"/>
                <w:szCs w:val="22"/>
                <w:lang w:val="ro-RO"/>
              </w:rPr>
              <w:t>t</w:t>
            </w:r>
            <w:r w:rsidRPr="00344FCE">
              <w:rPr>
                <w:rFonts w:eastAsia="Times New Roman" w:cs="Times New Roman"/>
                <w:kern w:val="0"/>
                <w:sz w:val="22"/>
                <w:szCs w:val="22"/>
                <w:lang w:val="ro-RO"/>
              </w:rPr>
              <w:t>e și recicla</w:t>
            </w:r>
            <w:r>
              <w:rPr>
                <w:rFonts w:eastAsia="Times New Roman" w:cs="Times New Roman"/>
                <w:kern w:val="0"/>
                <w:sz w:val="22"/>
                <w:szCs w:val="22"/>
                <w:lang w:val="ro-RO"/>
              </w:rPr>
              <w:t>t</w:t>
            </w:r>
            <w:r w:rsidRPr="00344FCE">
              <w:rPr>
                <w:rFonts w:eastAsia="Times New Roman" w:cs="Times New Roman"/>
                <w:kern w:val="0"/>
                <w:sz w:val="22"/>
                <w:szCs w:val="22"/>
                <w:lang w:val="ro-RO"/>
              </w:rPr>
              <w:t>e</w:t>
            </w:r>
          </w:p>
        </w:tc>
        <w:tc>
          <w:tcPr>
            <w:tcW w:w="1985" w:type="dxa"/>
            <w:vMerge/>
            <w:shd w:val="clear" w:color="auto" w:fill="auto"/>
            <w:vAlign w:val="center"/>
          </w:tcPr>
          <w:p w14:paraId="23469A47" w14:textId="77777777" w:rsidR="00670FD4" w:rsidRPr="00344FCE" w:rsidRDefault="00670FD4" w:rsidP="001925BA">
            <w:pPr>
              <w:widowControl w:val="0"/>
              <w:pBdr>
                <w:top w:val="nil"/>
                <w:left w:val="nil"/>
                <w:bottom w:val="nil"/>
                <w:right w:val="nil"/>
                <w:between w:val="nil"/>
              </w:pBdr>
              <w:spacing w:before="0" w:after="0"/>
              <w:ind w:firstLine="0"/>
              <w:jc w:val="center"/>
              <w:rPr>
                <w:rFonts w:eastAsia="Times New Roman" w:cs="Times New Roman"/>
                <w:kern w:val="0"/>
                <w:sz w:val="22"/>
                <w:szCs w:val="22"/>
                <w:lang w:val="ro-RO"/>
              </w:rPr>
            </w:pPr>
          </w:p>
        </w:tc>
      </w:tr>
      <w:tr w:rsidR="00670FD4" w:rsidRPr="00344FCE" w14:paraId="089765B9" w14:textId="77777777" w:rsidTr="001925BA">
        <w:trPr>
          <w:trHeight w:val="20"/>
        </w:trPr>
        <w:tc>
          <w:tcPr>
            <w:tcW w:w="2787" w:type="dxa"/>
            <w:vMerge w:val="restart"/>
            <w:shd w:val="clear" w:color="auto" w:fill="F2F2F2"/>
            <w:vAlign w:val="center"/>
          </w:tcPr>
          <w:p w14:paraId="25F7FB90"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C.1 Realizarea și aplicarea de soluții moderne, simple și </w:t>
            </w:r>
            <w:r w:rsidRPr="00344FCE">
              <w:rPr>
                <w:rFonts w:eastAsia="Times New Roman" w:cs="Times New Roman"/>
                <w:kern w:val="0"/>
                <w:sz w:val="22"/>
                <w:szCs w:val="22"/>
                <w:lang w:val="ro-RO"/>
              </w:rPr>
              <w:lastRenderedPageBreak/>
              <w:t>cost-eficiente pentru monitorizarea efectelor hazardelor naturale</w:t>
            </w:r>
          </w:p>
        </w:tc>
        <w:tc>
          <w:tcPr>
            <w:tcW w:w="1999" w:type="dxa"/>
            <w:vMerge w:val="restart"/>
            <w:shd w:val="clear" w:color="auto" w:fill="F2F2F2"/>
            <w:vAlign w:val="center"/>
          </w:tcPr>
          <w:p w14:paraId="357A82A1"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lastRenderedPageBreak/>
              <w:t xml:space="preserve">MMAP (ANAR/ABADL, </w:t>
            </w:r>
            <w:r w:rsidRPr="00344FCE">
              <w:rPr>
                <w:rFonts w:eastAsia="Times New Roman" w:cs="Times New Roman"/>
                <w:kern w:val="0"/>
                <w:sz w:val="22"/>
                <w:szCs w:val="22"/>
                <w:lang w:val="ro-RO"/>
              </w:rPr>
              <w:lastRenderedPageBreak/>
              <w:t>ARBDD, ANM, INHGA), MCID (INCD GeoEcoMar, INCDM Grigore Antipa, INCDDD, ME (UB, UOC).</w:t>
            </w:r>
          </w:p>
        </w:tc>
        <w:tc>
          <w:tcPr>
            <w:tcW w:w="1559" w:type="dxa"/>
            <w:vMerge w:val="restart"/>
            <w:shd w:val="clear" w:color="auto" w:fill="F2F2F2"/>
            <w:vAlign w:val="center"/>
          </w:tcPr>
          <w:p w14:paraId="37F2209F"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lastRenderedPageBreak/>
              <w:t>2030</w:t>
            </w:r>
          </w:p>
        </w:tc>
        <w:tc>
          <w:tcPr>
            <w:tcW w:w="2127" w:type="dxa"/>
            <w:vMerge w:val="restart"/>
            <w:shd w:val="clear" w:color="auto" w:fill="F2F2F2"/>
            <w:vAlign w:val="center"/>
          </w:tcPr>
          <w:p w14:paraId="5EDA4E33"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lungimii de coastă protejată contra eroziunii</w:t>
            </w:r>
          </w:p>
          <w:p w14:paraId="77F6DD94" w14:textId="77777777" w:rsidR="00670FD4" w:rsidRPr="00344FCE" w:rsidRDefault="00670FD4" w:rsidP="001925BA">
            <w:pPr>
              <w:spacing w:before="0" w:line="240" w:lineRule="auto"/>
              <w:ind w:firstLine="0"/>
              <w:rPr>
                <w:rFonts w:eastAsia="Times New Roman" w:cs="Times New Roman"/>
                <w:kern w:val="0"/>
                <w:sz w:val="22"/>
                <w:szCs w:val="22"/>
                <w:lang w:val="ro-RO"/>
              </w:rPr>
            </w:pPr>
          </w:p>
        </w:tc>
        <w:tc>
          <w:tcPr>
            <w:tcW w:w="2409" w:type="dxa"/>
            <w:vMerge w:val="restart"/>
            <w:shd w:val="clear" w:color="auto" w:fill="F2F2F2"/>
            <w:vAlign w:val="center"/>
          </w:tcPr>
          <w:p w14:paraId="549F7BEA"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Eroziune costieră și acumulare</w:t>
            </w:r>
          </w:p>
        </w:tc>
        <w:tc>
          <w:tcPr>
            <w:tcW w:w="2268" w:type="dxa"/>
            <w:shd w:val="clear" w:color="auto" w:fill="F2F2F2"/>
            <w:vAlign w:val="center"/>
          </w:tcPr>
          <w:p w14:paraId="0561914F"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Lungimea țărmului dinamic</w:t>
            </w:r>
          </w:p>
        </w:tc>
        <w:tc>
          <w:tcPr>
            <w:tcW w:w="1985" w:type="dxa"/>
            <w:vMerge w:val="restart"/>
            <w:shd w:val="clear" w:color="auto" w:fill="F2F2F2"/>
            <w:vAlign w:val="center"/>
          </w:tcPr>
          <w:p w14:paraId="0B103A40"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670FD4" w:rsidRPr="00344FCE" w14:paraId="3CFB0D58" w14:textId="77777777" w:rsidTr="001925BA">
        <w:trPr>
          <w:trHeight w:val="20"/>
        </w:trPr>
        <w:tc>
          <w:tcPr>
            <w:tcW w:w="2787" w:type="dxa"/>
            <w:vMerge/>
            <w:shd w:val="clear" w:color="auto" w:fill="F2F2F2"/>
            <w:vAlign w:val="center"/>
          </w:tcPr>
          <w:p w14:paraId="33260DB9"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F2F2F2"/>
            <w:vAlign w:val="center"/>
          </w:tcPr>
          <w:p w14:paraId="55E94FCB"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F2F2F2"/>
            <w:vAlign w:val="center"/>
          </w:tcPr>
          <w:p w14:paraId="72A6F390"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09DACCD5" w14:textId="77777777" w:rsidR="00670FD4" w:rsidRPr="00344FCE" w:rsidRDefault="00670FD4" w:rsidP="001925BA">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29F0C20D"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F2F2F2"/>
            <w:vAlign w:val="center"/>
          </w:tcPr>
          <w:p w14:paraId="145128D1"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Suprafața de uscat pierdută / erodată </w:t>
            </w:r>
            <w:r w:rsidRPr="00344FCE">
              <w:rPr>
                <w:rFonts w:eastAsia="Times New Roman" w:cs="Times New Roman"/>
                <w:i/>
                <w:kern w:val="0"/>
                <w:sz w:val="22"/>
                <w:szCs w:val="22"/>
                <w:lang w:val="ro-RO"/>
              </w:rPr>
              <w:t>per</w:t>
            </w:r>
            <w:r w:rsidRPr="00344FCE">
              <w:rPr>
                <w:rFonts w:eastAsia="Times New Roman" w:cs="Times New Roman"/>
                <w:kern w:val="0"/>
                <w:sz w:val="22"/>
                <w:szCs w:val="22"/>
                <w:lang w:val="ro-RO"/>
              </w:rPr>
              <w:t xml:space="preserve"> an</w:t>
            </w:r>
          </w:p>
        </w:tc>
        <w:tc>
          <w:tcPr>
            <w:tcW w:w="1985" w:type="dxa"/>
            <w:vMerge/>
            <w:shd w:val="clear" w:color="auto" w:fill="F2F2F2"/>
            <w:vAlign w:val="center"/>
          </w:tcPr>
          <w:p w14:paraId="0897A755"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62D2E489" w14:textId="77777777" w:rsidTr="001925BA">
        <w:trPr>
          <w:trHeight w:val="20"/>
        </w:trPr>
        <w:tc>
          <w:tcPr>
            <w:tcW w:w="2787" w:type="dxa"/>
            <w:vMerge/>
            <w:shd w:val="clear" w:color="auto" w:fill="F2F2F2"/>
            <w:vAlign w:val="center"/>
          </w:tcPr>
          <w:p w14:paraId="063BBBEB"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F2F2F2"/>
            <w:vAlign w:val="center"/>
          </w:tcPr>
          <w:p w14:paraId="3CA4DCC5"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F2F2F2"/>
            <w:vAlign w:val="center"/>
          </w:tcPr>
          <w:p w14:paraId="1BB64676"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3AB9EEFD" w14:textId="77777777" w:rsidR="00670FD4" w:rsidRPr="00344FCE" w:rsidRDefault="00670FD4" w:rsidP="001925BA">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val="restart"/>
            <w:shd w:val="clear" w:color="auto" w:fill="F2F2F2"/>
            <w:vAlign w:val="center"/>
          </w:tcPr>
          <w:p w14:paraId="0A123CC0"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nivelului mării și condiții meteo extreme</w:t>
            </w:r>
          </w:p>
        </w:tc>
        <w:tc>
          <w:tcPr>
            <w:tcW w:w="2268"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78B1473F"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Numărul de zile cu furtuni puternice</w:t>
            </w:r>
          </w:p>
        </w:tc>
        <w:tc>
          <w:tcPr>
            <w:tcW w:w="1985" w:type="dxa"/>
            <w:vMerge w:val="restart"/>
            <w:shd w:val="clear" w:color="auto" w:fill="F2F2F2"/>
            <w:vAlign w:val="center"/>
          </w:tcPr>
          <w:p w14:paraId="44073040"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r>
      <w:tr w:rsidR="00670FD4" w:rsidRPr="00344FCE" w14:paraId="6D460696" w14:textId="77777777" w:rsidTr="001925BA">
        <w:trPr>
          <w:trHeight w:val="20"/>
        </w:trPr>
        <w:tc>
          <w:tcPr>
            <w:tcW w:w="2787" w:type="dxa"/>
            <w:vMerge/>
            <w:shd w:val="clear" w:color="auto" w:fill="F2F2F2"/>
            <w:vAlign w:val="center"/>
          </w:tcPr>
          <w:p w14:paraId="4F963B14"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F2F2F2"/>
            <w:vAlign w:val="center"/>
          </w:tcPr>
          <w:p w14:paraId="516549E7"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F2F2F2"/>
            <w:vAlign w:val="center"/>
          </w:tcPr>
          <w:p w14:paraId="35D10261"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2E550673" w14:textId="77777777" w:rsidR="00670FD4" w:rsidRPr="00344FCE" w:rsidRDefault="00670FD4" w:rsidP="001925BA">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0EE540FF"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0BFB3A9A"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Nivelul mării</w:t>
            </w:r>
          </w:p>
        </w:tc>
        <w:tc>
          <w:tcPr>
            <w:tcW w:w="1985" w:type="dxa"/>
            <w:vMerge/>
            <w:shd w:val="clear" w:color="auto" w:fill="F2F2F2"/>
            <w:vAlign w:val="center"/>
          </w:tcPr>
          <w:p w14:paraId="4003CFC1"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1BF9953C" w14:textId="77777777" w:rsidTr="001925BA">
        <w:trPr>
          <w:trHeight w:val="20"/>
        </w:trPr>
        <w:tc>
          <w:tcPr>
            <w:tcW w:w="2787" w:type="dxa"/>
            <w:vMerge/>
            <w:shd w:val="clear" w:color="auto" w:fill="F2F2F2"/>
            <w:vAlign w:val="center"/>
          </w:tcPr>
          <w:p w14:paraId="3277A2C7"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F2F2F2"/>
            <w:vAlign w:val="center"/>
          </w:tcPr>
          <w:p w14:paraId="32AC708E"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F2F2F2"/>
            <w:vAlign w:val="center"/>
          </w:tcPr>
          <w:p w14:paraId="1C66BD46"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2C77D70F" w14:textId="77777777" w:rsidR="00670FD4" w:rsidRPr="00344FCE" w:rsidRDefault="00670FD4" w:rsidP="001925BA">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0C822FDF"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7973342F"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Lungimea coastei protejate</w:t>
            </w:r>
          </w:p>
        </w:tc>
        <w:tc>
          <w:tcPr>
            <w:tcW w:w="1985" w:type="dxa"/>
            <w:vMerge/>
            <w:shd w:val="clear" w:color="auto" w:fill="F2F2F2"/>
            <w:vAlign w:val="center"/>
          </w:tcPr>
          <w:p w14:paraId="53A5D56D"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3B09905F" w14:textId="77777777" w:rsidTr="001925BA">
        <w:trPr>
          <w:trHeight w:val="20"/>
        </w:trPr>
        <w:tc>
          <w:tcPr>
            <w:tcW w:w="2787" w:type="dxa"/>
            <w:vMerge w:val="restart"/>
            <w:shd w:val="clear" w:color="auto" w:fill="F2F2F2"/>
            <w:vAlign w:val="center"/>
          </w:tcPr>
          <w:p w14:paraId="50DEE215"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C.2 Realizarea unei evaluări detaliate a vulnerabilității zonei de coastă la fenomene extreme, identificarea și analizarea riscurilor potențiale și stabilirea de măsuri prioritare de prevenire, atenuare, adaptare și remediere</w:t>
            </w:r>
          </w:p>
        </w:tc>
        <w:tc>
          <w:tcPr>
            <w:tcW w:w="1999" w:type="dxa"/>
            <w:vMerge w:val="restart"/>
            <w:shd w:val="clear" w:color="auto" w:fill="F2F2F2"/>
            <w:vAlign w:val="center"/>
          </w:tcPr>
          <w:p w14:paraId="11941DD1"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MM</w:t>
            </w:r>
            <w:r>
              <w:rPr>
                <w:rFonts w:eastAsia="Times New Roman" w:cs="Times New Roman"/>
                <w:kern w:val="0"/>
                <w:sz w:val="22"/>
                <w:szCs w:val="22"/>
                <w:lang w:val="ro-RO"/>
              </w:rPr>
              <w:t>AP (prin ANAR/ ABADL), MADR, MT</w:t>
            </w:r>
            <w:r w:rsidRPr="00344FCE">
              <w:rPr>
                <w:rFonts w:eastAsia="Times New Roman" w:cs="Times New Roman"/>
                <w:kern w:val="0"/>
                <w:sz w:val="22"/>
                <w:szCs w:val="22"/>
                <w:lang w:val="ro-RO"/>
              </w:rPr>
              <w:t>,  autorități locale.</w:t>
            </w:r>
          </w:p>
        </w:tc>
        <w:tc>
          <w:tcPr>
            <w:tcW w:w="1559" w:type="dxa"/>
            <w:vMerge w:val="restart"/>
            <w:shd w:val="clear" w:color="auto" w:fill="F2F2F2"/>
            <w:vAlign w:val="center"/>
          </w:tcPr>
          <w:p w14:paraId="7A489AC3"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vMerge w:val="restart"/>
            <w:shd w:val="clear" w:color="auto" w:fill="F2F2F2"/>
            <w:vAlign w:val="center"/>
          </w:tcPr>
          <w:p w14:paraId="4E6621C0"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Reducerea numărului persoanelor afectate de hazarde naturale în zona costieră</w:t>
            </w:r>
          </w:p>
          <w:p w14:paraId="3F29A6C8"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Reducerea pierderilor economice datorate hazardelor naturale în zona costieră</w:t>
            </w:r>
          </w:p>
        </w:tc>
        <w:tc>
          <w:tcPr>
            <w:tcW w:w="2409" w:type="dxa"/>
            <w:vMerge w:val="restart"/>
            <w:shd w:val="clear" w:color="auto" w:fill="F2F2F2"/>
            <w:vAlign w:val="center"/>
          </w:tcPr>
          <w:p w14:paraId="3BF00CF1"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032D3B91"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7952DE1F"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Valori naturale, umane și economice aflate în zone de risc</w:t>
            </w:r>
          </w:p>
        </w:tc>
        <w:tc>
          <w:tcPr>
            <w:tcW w:w="2268" w:type="dxa"/>
            <w:shd w:val="clear" w:color="auto" w:fill="F2F2F2"/>
            <w:vAlign w:val="center"/>
          </w:tcPr>
          <w:p w14:paraId="7B205128"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Suprafața ariilor protejate aflate în zona de risc</w:t>
            </w:r>
          </w:p>
        </w:tc>
        <w:tc>
          <w:tcPr>
            <w:tcW w:w="1985" w:type="dxa"/>
            <w:vMerge w:val="restart"/>
            <w:shd w:val="clear" w:color="auto" w:fill="F2F2F2"/>
            <w:vAlign w:val="center"/>
          </w:tcPr>
          <w:p w14:paraId="21D67314"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670FD4" w:rsidRPr="00344FCE" w14:paraId="68C3FEC4" w14:textId="77777777" w:rsidTr="001925BA">
        <w:trPr>
          <w:trHeight w:val="20"/>
        </w:trPr>
        <w:tc>
          <w:tcPr>
            <w:tcW w:w="2787" w:type="dxa"/>
            <w:vMerge/>
            <w:shd w:val="clear" w:color="auto" w:fill="F2F2F2"/>
            <w:vAlign w:val="center"/>
          </w:tcPr>
          <w:p w14:paraId="78F458A3"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F2F2F2"/>
            <w:vAlign w:val="center"/>
          </w:tcPr>
          <w:p w14:paraId="50F95408"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F2F2F2"/>
            <w:vAlign w:val="center"/>
          </w:tcPr>
          <w:p w14:paraId="0819A9A0"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5B8D161F" w14:textId="77777777" w:rsidR="00670FD4" w:rsidRPr="00344FCE" w:rsidRDefault="00670FD4" w:rsidP="001925BA">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4E96898A"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F2F2F2"/>
            <w:vAlign w:val="center"/>
          </w:tcPr>
          <w:p w14:paraId="00274AA7"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Valoarea activelor economice aflate în zona de risc</w:t>
            </w:r>
          </w:p>
        </w:tc>
        <w:tc>
          <w:tcPr>
            <w:tcW w:w="1985" w:type="dxa"/>
            <w:vMerge/>
            <w:shd w:val="clear" w:color="auto" w:fill="F2F2F2"/>
            <w:vAlign w:val="center"/>
          </w:tcPr>
          <w:p w14:paraId="7E67A222"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7A342215" w14:textId="77777777" w:rsidTr="001925BA">
        <w:trPr>
          <w:trHeight w:val="20"/>
        </w:trPr>
        <w:tc>
          <w:tcPr>
            <w:tcW w:w="2787" w:type="dxa"/>
            <w:vMerge/>
            <w:shd w:val="clear" w:color="auto" w:fill="F2F2F2"/>
            <w:vAlign w:val="center"/>
          </w:tcPr>
          <w:p w14:paraId="42119C90"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F2F2F2"/>
            <w:vAlign w:val="center"/>
          </w:tcPr>
          <w:p w14:paraId="38B027B7"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F2F2F2"/>
            <w:vAlign w:val="center"/>
          </w:tcPr>
          <w:p w14:paraId="58F0646E"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1949BEB5" w14:textId="77777777" w:rsidR="00670FD4" w:rsidRPr="00344FCE" w:rsidRDefault="00670FD4" w:rsidP="001925BA">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3D25EB10"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tcBorders>
              <w:bottom w:val="single" w:sz="4" w:space="0" w:color="000000"/>
            </w:tcBorders>
            <w:shd w:val="clear" w:color="auto" w:fill="F2F2F2"/>
            <w:vAlign w:val="center"/>
          </w:tcPr>
          <w:p w14:paraId="72B79F53"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persoane ce locuiesc în zone de risc</w:t>
            </w:r>
          </w:p>
        </w:tc>
        <w:tc>
          <w:tcPr>
            <w:tcW w:w="1985" w:type="dxa"/>
            <w:vMerge/>
            <w:shd w:val="clear" w:color="auto" w:fill="F2F2F2"/>
            <w:vAlign w:val="center"/>
          </w:tcPr>
          <w:p w14:paraId="09681D2E"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0673BF66" w14:textId="77777777" w:rsidTr="001925BA">
        <w:trPr>
          <w:trHeight w:val="20"/>
        </w:trPr>
        <w:tc>
          <w:tcPr>
            <w:tcW w:w="2787" w:type="dxa"/>
            <w:shd w:val="clear" w:color="auto" w:fill="auto"/>
            <w:vAlign w:val="center"/>
          </w:tcPr>
          <w:p w14:paraId="3D0C7E8F"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D.1 Consolidarea infrastructurii antreprenoriale locale</w:t>
            </w:r>
          </w:p>
        </w:tc>
        <w:tc>
          <w:tcPr>
            <w:tcW w:w="1999" w:type="dxa"/>
            <w:shd w:val="clear" w:color="auto" w:fill="auto"/>
            <w:vAlign w:val="center"/>
          </w:tcPr>
          <w:p w14:paraId="23600267"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MEAT</w:t>
            </w:r>
          </w:p>
        </w:tc>
        <w:tc>
          <w:tcPr>
            <w:tcW w:w="1559" w:type="dxa"/>
            <w:shd w:val="clear" w:color="auto" w:fill="auto"/>
            <w:vAlign w:val="center"/>
          </w:tcPr>
          <w:p w14:paraId="3548E3B7"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tc>
        <w:tc>
          <w:tcPr>
            <w:tcW w:w="2127" w:type="dxa"/>
            <w:shd w:val="clear" w:color="auto" w:fill="auto"/>
            <w:vAlign w:val="center"/>
          </w:tcPr>
          <w:p w14:paraId="4854A318"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numărului de proiecte verzi/albastre propuse de antreprenorii locali și care obțin finanțare</w:t>
            </w:r>
          </w:p>
        </w:tc>
        <w:tc>
          <w:tcPr>
            <w:tcW w:w="2409" w:type="dxa"/>
            <w:shd w:val="clear" w:color="auto" w:fill="auto"/>
            <w:vAlign w:val="center"/>
          </w:tcPr>
          <w:p w14:paraId="7201B1B9"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460BF686"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Economie albastră</w:t>
            </w:r>
          </w:p>
        </w:tc>
        <w:tc>
          <w:tcPr>
            <w:tcW w:w="2268" w:type="dxa"/>
            <w:shd w:val="clear" w:color="auto" w:fill="auto"/>
            <w:vAlign w:val="center"/>
          </w:tcPr>
          <w:p w14:paraId="53FD574F"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Numărul persoanelor angajate în sectoarele Economiei Albastre</w:t>
            </w:r>
          </w:p>
          <w:p w14:paraId="390B495E"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Total venituri generate de sectoarele Economiei Albastre</w:t>
            </w:r>
          </w:p>
        </w:tc>
        <w:tc>
          <w:tcPr>
            <w:tcW w:w="1985" w:type="dxa"/>
            <w:shd w:val="clear" w:color="auto" w:fill="auto"/>
            <w:vAlign w:val="center"/>
          </w:tcPr>
          <w:p w14:paraId="010A628F"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670FD4" w:rsidRPr="00344FCE" w14:paraId="3931839F" w14:textId="77777777" w:rsidTr="001925BA">
        <w:trPr>
          <w:trHeight w:val="20"/>
        </w:trPr>
        <w:tc>
          <w:tcPr>
            <w:tcW w:w="2787" w:type="dxa"/>
            <w:vMerge w:val="restart"/>
            <w:shd w:val="clear" w:color="auto" w:fill="auto"/>
            <w:vAlign w:val="center"/>
          </w:tcPr>
          <w:p w14:paraId="21826F6B"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D.2 Program național de stimulare a întreprinderilor care obțin eticheta ecologică pentru activitatea de cazare turistică</w:t>
            </w:r>
          </w:p>
        </w:tc>
        <w:tc>
          <w:tcPr>
            <w:tcW w:w="1999" w:type="dxa"/>
            <w:vMerge w:val="restart"/>
            <w:shd w:val="clear" w:color="auto" w:fill="auto"/>
            <w:vAlign w:val="center"/>
          </w:tcPr>
          <w:p w14:paraId="23F92629"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MEAT, MMAP</w:t>
            </w:r>
          </w:p>
        </w:tc>
        <w:tc>
          <w:tcPr>
            <w:tcW w:w="1559" w:type="dxa"/>
            <w:vMerge w:val="restart"/>
            <w:shd w:val="clear" w:color="auto" w:fill="auto"/>
            <w:vAlign w:val="center"/>
          </w:tcPr>
          <w:p w14:paraId="2839B59F"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tc>
        <w:tc>
          <w:tcPr>
            <w:tcW w:w="2127" w:type="dxa"/>
            <w:vMerge w:val="restart"/>
            <w:shd w:val="clear" w:color="auto" w:fill="auto"/>
            <w:vAlign w:val="center"/>
          </w:tcPr>
          <w:p w14:paraId="48F951DE"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numărului de întreprinderi din sectorul turismului din zona costieră care vor obține “Eticheta ecologică în turism“;</w:t>
            </w:r>
          </w:p>
          <w:p w14:paraId="1FC67D37"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Creșterea numărului de sosiri ale turiștilor și a numărului de </w:t>
            </w:r>
            <w:r w:rsidRPr="00344FCE">
              <w:rPr>
                <w:rFonts w:eastAsia="Times New Roman" w:cs="Times New Roman"/>
                <w:kern w:val="0"/>
                <w:sz w:val="22"/>
                <w:szCs w:val="22"/>
                <w:lang w:val="ro-RO"/>
              </w:rPr>
              <w:lastRenderedPageBreak/>
              <w:t>înnoptări ale acestora, respectiv creșterea veniturilor obținute de unitățile de cazare turistică deținătoare ale acestei distincții.</w:t>
            </w:r>
          </w:p>
        </w:tc>
        <w:tc>
          <w:tcPr>
            <w:tcW w:w="2409" w:type="dxa"/>
            <w:vMerge w:val="restart"/>
            <w:shd w:val="clear" w:color="auto" w:fill="auto"/>
            <w:vAlign w:val="center"/>
          </w:tcPr>
          <w:p w14:paraId="1CBE74C2"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5191FEC8"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68E8235C"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2CA15F0F"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45C885BC"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38BF5B7C"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202563E3"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5575CC03"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Intensitatea turismului</w:t>
            </w:r>
          </w:p>
          <w:p w14:paraId="2320730C"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2EEA52AD"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Numărul de sosiri și de înnoptări în structurile de primire turistică având funcțiuni de cazare turistică</w:t>
            </w:r>
          </w:p>
        </w:tc>
        <w:tc>
          <w:tcPr>
            <w:tcW w:w="1985" w:type="dxa"/>
            <w:vMerge w:val="restart"/>
            <w:shd w:val="clear" w:color="auto" w:fill="auto"/>
            <w:vAlign w:val="center"/>
          </w:tcPr>
          <w:p w14:paraId="6E727CFA"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670FD4" w:rsidRPr="00344FCE" w14:paraId="01C81695" w14:textId="77777777" w:rsidTr="001925BA">
        <w:trPr>
          <w:trHeight w:val="20"/>
        </w:trPr>
        <w:tc>
          <w:tcPr>
            <w:tcW w:w="2787" w:type="dxa"/>
            <w:vMerge/>
            <w:shd w:val="clear" w:color="auto" w:fill="auto"/>
            <w:vAlign w:val="center"/>
          </w:tcPr>
          <w:p w14:paraId="3B934DE4"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1D200995"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711C663A"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698ABBC0"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0A51982F"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7747F7F8"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Capacitatea de cazare turistică în funcțiune pe tipuri de structuri de primire turistică (în locuri-zile)</w:t>
            </w:r>
          </w:p>
        </w:tc>
        <w:tc>
          <w:tcPr>
            <w:tcW w:w="1985" w:type="dxa"/>
            <w:vMerge/>
            <w:shd w:val="clear" w:color="auto" w:fill="auto"/>
            <w:vAlign w:val="center"/>
          </w:tcPr>
          <w:p w14:paraId="1F00EE71"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1AB5FEDD" w14:textId="77777777" w:rsidTr="001925BA">
        <w:trPr>
          <w:trHeight w:val="20"/>
        </w:trPr>
        <w:tc>
          <w:tcPr>
            <w:tcW w:w="2787" w:type="dxa"/>
            <w:vMerge/>
            <w:shd w:val="clear" w:color="auto" w:fill="auto"/>
            <w:vAlign w:val="center"/>
          </w:tcPr>
          <w:p w14:paraId="74170813"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329DB8B7"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67C41FF7"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6A0B3E9D"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4C6DFEDA"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auto"/>
            <w:vAlign w:val="center"/>
          </w:tcPr>
          <w:p w14:paraId="32D6C7AA"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Densitatea presiunii turistice la nivel teritorial (nr. de sosiri ale turiștilor/ km</w:t>
            </w:r>
            <w:r w:rsidRPr="00344FCE">
              <w:rPr>
                <w:rFonts w:eastAsia="Times New Roman" w:cs="Times New Roman"/>
                <w:kern w:val="0"/>
                <w:sz w:val="22"/>
                <w:szCs w:val="22"/>
                <w:vertAlign w:val="superscript"/>
                <w:lang w:val="ro-RO"/>
              </w:rPr>
              <w:t>2</w:t>
            </w:r>
            <w:r w:rsidRPr="00344FCE">
              <w:rPr>
                <w:rFonts w:eastAsia="Times New Roman" w:cs="Times New Roman"/>
                <w:kern w:val="0"/>
                <w:sz w:val="22"/>
                <w:szCs w:val="22"/>
                <w:lang w:val="ro-RO"/>
              </w:rPr>
              <w:t>/an)</w:t>
            </w:r>
          </w:p>
        </w:tc>
        <w:tc>
          <w:tcPr>
            <w:tcW w:w="1985" w:type="dxa"/>
            <w:vMerge/>
            <w:shd w:val="clear" w:color="auto" w:fill="auto"/>
            <w:vAlign w:val="center"/>
          </w:tcPr>
          <w:p w14:paraId="74B68FC2"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31C77741" w14:textId="77777777" w:rsidTr="001925BA">
        <w:trPr>
          <w:trHeight w:val="20"/>
        </w:trPr>
        <w:tc>
          <w:tcPr>
            <w:tcW w:w="2787" w:type="dxa"/>
            <w:vMerge/>
            <w:shd w:val="clear" w:color="auto" w:fill="auto"/>
            <w:vAlign w:val="center"/>
          </w:tcPr>
          <w:p w14:paraId="52FF21A7"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20BAD471"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3A74C58C"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2CCB652D"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11F5369C"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auto"/>
            <w:vAlign w:val="center"/>
          </w:tcPr>
          <w:p w14:paraId="073CA830"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Durata presiunii turistice (nr. înnoptări/km</w:t>
            </w:r>
            <w:r w:rsidRPr="00344FCE">
              <w:rPr>
                <w:rFonts w:eastAsia="Times New Roman" w:cs="Times New Roman"/>
                <w:kern w:val="0"/>
                <w:sz w:val="22"/>
                <w:szCs w:val="22"/>
                <w:vertAlign w:val="superscript"/>
                <w:lang w:val="ro-RO"/>
              </w:rPr>
              <w:t>2</w:t>
            </w:r>
            <w:r w:rsidRPr="00344FCE">
              <w:rPr>
                <w:rFonts w:eastAsia="Times New Roman" w:cs="Times New Roman"/>
                <w:kern w:val="0"/>
                <w:sz w:val="22"/>
                <w:szCs w:val="22"/>
                <w:lang w:val="ro-RO"/>
              </w:rPr>
              <w:t xml:space="preserve"> /an)</w:t>
            </w:r>
          </w:p>
        </w:tc>
        <w:tc>
          <w:tcPr>
            <w:tcW w:w="1985" w:type="dxa"/>
            <w:vMerge/>
            <w:shd w:val="clear" w:color="auto" w:fill="auto"/>
            <w:vAlign w:val="center"/>
          </w:tcPr>
          <w:p w14:paraId="3D0CDEAD"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0485309C" w14:textId="77777777" w:rsidTr="001925BA">
        <w:trPr>
          <w:trHeight w:val="20"/>
        </w:trPr>
        <w:tc>
          <w:tcPr>
            <w:tcW w:w="2787" w:type="dxa"/>
            <w:vMerge/>
            <w:shd w:val="clear" w:color="auto" w:fill="auto"/>
            <w:vAlign w:val="center"/>
          </w:tcPr>
          <w:p w14:paraId="4C36BB60"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6ABF25A4"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421407A1"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1575796B"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56BFADC0"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auto"/>
            <w:vAlign w:val="center"/>
          </w:tcPr>
          <w:p w14:paraId="12797B37"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Presiunea socială generată de turiști (nr. de sosiri ale turiștilor/nr. locuitori din destinație)</w:t>
            </w:r>
          </w:p>
        </w:tc>
        <w:tc>
          <w:tcPr>
            <w:tcW w:w="1985" w:type="dxa"/>
            <w:vMerge/>
            <w:shd w:val="clear" w:color="auto" w:fill="auto"/>
            <w:vAlign w:val="center"/>
          </w:tcPr>
          <w:p w14:paraId="5978A600"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12E0AAE1" w14:textId="77777777" w:rsidTr="001925BA">
        <w:trPr>
          <w:trHeight w:val="20"/>
        </w:trPr>
        <w:tc>
          <w:tcPr>
            <w:tcW w:w="2787" w:type="dxa"/>
            <w:vMerge/>
            <w:shd w:val="clear" w:color="auto" w:fill="auto"/>
            <w:vAlign w:val="center"/>
          </w:tcPr>
          <w:p w14:paraId="04A685A6"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0361F4E5"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5FFCA285"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79F3C465"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shd w:val="clear" w:color="auto" w:fill="auto"/>
            <w:vAlign w:val="center"/>
          </w:tcPr>
          <w:p w14:paraId="17C24F1B"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Sustenabilitatea turismului</w:t>
            </w:r>
          </w:p>
        </w:tc>
        <w:tc>
          <w:tcPr>
            <w:tcW w:w="2268" w:type="dxa"/>
            <w:shd w:val="clear" w:color="auto" w:fill="auto"/>
            <w:vAlign w:val="center"/>
          </w:tcPr>
          <w:p w14:paraId="14616E64"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Număr de operatori de turism ce dețin eticheta ecologică</w:t>
            </w:r>
          </w:p>
        </w:tc>
        <w:tc>
          <w:tcPr>
            <w:tcW w:w="1985" w:type="dxa"/>
            <w:vMerge/>
            <w:shd w:val="clear" w:color="auto" w:fill="auto"/>
            <w:vAlign w:val="center"/>
          </w:tcPr>
          <w:p w14:paraId="78D4B2EA"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1AA59F7A" w14:textId="77777777" w:rsidTr="001925BA">
        <w:trPr>
          <w:trHeight w:val="20"/>
        </w:trPr>
        <w:tc>
          <w:tcPr>
            <w:tcW w:w="2787" w:type="dxa"/>
            <w:vMerge w:val="restart"/>
            <w:shd w:val="clear" w:color="auto" w:fill="auto"/>
            <w:vAlign w:val="center"/>
          </w:tcPr>
          <w:p w14:paraId="5008348E"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D.3 Program de stimulare a operatorilor de plaje și de porturi de agrement care reușesc să obțină distincția Blue Flag</w:t>
            </w:r>
          </w:p>
        </w:tc>
        <w:tc>
          <w:tcPr>
            <w:tcW w:w="1999" w:type="dxa"/>
            <w:vMerge w:val="restart"/>
            <w:shd w:val="clear" w:color="auto" w:fill="auto"/>
            <w:vAlign w:val="center"/>
          </w:tcPr>
          <w:p w14:paraId="65D51BFA"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MMAP</w:t>
            </w:r>
            <w:r>
              <w:rPr>
                <w:rFonts w:eastAsia="Times New Roman" w:cs="Times New Roman"/>
                <w:kern w:val="0"/>
                <w:sz w:val="22"/>
                <w:szCs w:val="22"/>
                <w:lang w:val="ro-RO"/>
              </w:rPr>
              <w:t>, MEAT</w:t>
            </w:r>
          </w:p>
        </w:tc>
        <w:tc>
          <w:tcPr>
            <w:tcW w:w="1559" w:type="dxa"/>
            <w:vMerge w:val="restart"/>
            <w:shd w:val="clear" w:color="auto" w:fill="auto"/>
            <w:vAlign w:val="center"/>
          </w:tcPr>
          <w:p w14:paraId="3B9F3158"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tc>
        <w:tc>
          <w:tcPr>
            <w:tcW w:w="2127" w:type="dxa"/>
            <w:vMerge w:val="restart"/>
            <w:shd w:val="clear" w:color="auto" w:fill="auto"/>
            <w:vAlign w:val="center"/>
          </w:tcPr>
          <w:p w14:paraId="6534C98B"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numărului de întreprinderi din sectorul turismului din zona costieră care vor obține distincția“Blue Flag“;</w:t>
            </w:r>
          </w:p>
          <w:p w14:paraId="3524CBC3"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Creșterea numărului de turiști și a numărului de înnoptări ale acestora, respectiv creșterea veniturilor obținute de unitățile de cazare turistică unde sunt găzduiți aceștia, precum și a întreprinderilor cu activitate de </w:t>
            </w:r>
            <w:r w:rsidRPr="00344FCE">
              <w:rPr>
                <w:rFonts w:eastAsia="Times New Roman" w:cs="Times New Roman"/>
                <w:kern w:val="0"/>
                <w:sz w:val="22"/>
                <w:szCs w:val="22"/>
                <w:lang w:val="ro-RO"/>
              </w:rPr>
              <w:lastRenderedPageBreak/>
              <w:t>exploatare plaje, respectiv care administrează porturi de agrement, deținătoare ale acestei distincții.</w:t>
            </w:r>
          </w:p>
          <w:p w14:paraId="5FA9D1C1"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Calitate foarte bună a apelor de îmbăiere</w:t>
            </w:r>
          </w:p>
        </w:tc>
        <w:tc>
          <w:tcPr>
            <w:tcW w:w="2409" w:type="dxa"/>
            <w:vMerge w:val="restart"/>
            <w:shd w:val="clear" w:color="auto" w:fill="auto"/>
            <w:vAlign w:val="center"/>
          </w:tcPr>
          <w:p w14:paraId="10E0B1C2"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17100E62"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5E049433"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70B6571E"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Intensitatea turismului</w:t>
            </w:r>
          </w:p>
        </w:tc>
        <w:tc>
          <w:tcPr>
            <w:tcW w:w="2268" w:type="dxa"/>
            <w:shd w:val="clear" w:color="auto" w:fill="auto"/>
            <w:vAlign w:val="center"/>
          </w:tcPr>
          <w:p w14:paraId="1E391E00"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Capacitatea de cazare turistică în funcțiune pe tipuri de structuri de primire turistică (în locuri-zile)</w:t>
            </w:r>
          </w:p>
        </w:tc>
        <w:tc>
          <w:tcPr>
            <w:tcW w:w="1985" w:type="dxa"/>
            <w:vMerge w:val="restart"/>
            <w:shd w:val="clear" w:color="auto" w:fill="auto"/>
            <w:vAlign w:val="center"/>
          </w:tcPr>
          <w:p w14:paraId="1040A278"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670FD4" w:rsidRPr="00344FCE" w14:paraId="258F8E4C" w14:textId="77777777" w:rsidTr="001925BA">
        <w:trPr>
          <w:trHeight w:val="20"/>
        </w:trPr>
        <w:tc>
          <w:tcPr>
            <w:tcW w:w="2787" w:type="dxa"/>
            <w:vMerge/>
            <w:shd w:val="clear" w:color="auto" w:fill="auto"/>
            <w:vAlign w:val="center"/>
          </w:tcPr>
          <w:p w14:paraId="5EE3C28A"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62AB2350"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5A76A594"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14BAFFBA"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409" w:type="dxa"/>
            <w:vMerge/>
            <w:shd w:val="clear" w:color="auto" w:fill="auto"/>
            <w:vAlign w:val="center"/>
          </w:tcPr>
          <w:p w14:paraId="64F137B1"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14F27930"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Densitatea presiunii turistice la nivel teritorial (nr. de sosiri ale turiștilor/ km</w:t>
            </w:r>
            <w:r w:rsidRPr="00344FCE">
              <w:rPr>
                <w:rFonts w:eastAsia="Times New Roman" w:cs="Times New Roman"/>
                <w:kern w:val="0"/>
                <w:sz w:val="22"/>
                <w:szCs w:val="22"/>
                <w:vertAlign w:val="superscript"/>
                <w:lang w:val="ro-RO"/>
              </w:rPr>
              <w:t>2</w:t>
            </w:r>
            <w:r w:rsidRPr="00344FCE">
              <w:rPr>
                <w:rFonts w:eastAsia="Times New Roman" w:cs="Times New Roman"/>
                <w:kern w:val="0"/>
                <w:sz w:val="22"/>
                <w:szCs w:val="22"/>
                <w:lang w:val="ro-RO"/>
              </w:rPr>
              <w:t>/an)</w:t>
            </w:r>
          </w:p>
        </w:tc>
        <w:tc>
          <w:tcPr>
            <w:tcW w:w="1985" w:type="dxa"/>
            <w:vMerge/>
            <w:shd w:val="clear" w:color="auto" w:fill="auto"/>
            <w:vAlign w:val="center"/>
          </w:tcPr>
          <w:p w14:paraId="351FF1E4"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2489EF38" w14:textId="77777777" w:rsidTr="001925BA">
        <w:trPr>
          <w:trHeight w:val="20"/>
        </w:trPr>
        <w:tc>
          <w:tcPr>
            <w:tcW w:w="2787" w:type="dxa"/>
            <w:vMerge/>
            <w:shd w:val="clear" w:color="auto" w:fill="auto"/>
            <w:vAlign w:val="center"/>
          </w:tcPr>
          <w:p w14:paraId="0F52C49E"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754D8E0E"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3B4F92D1"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76C02CC5"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409" w:type="dxa"/>
            <w:vMerge/>
            <w:shd w:val="clear" w:color="auto" w:fill="auto"/>
            <w:vAlign w:val="center"/>
          </w:tcPr>
          <w:p w14:paraId="45828165"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3AAAD509"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Durata presiunii turistice (nr. înnoptări/km</w:t>
            </w:r>
            <w:r w:rsidRPr="00344FCE">
              <w:rPr>
                <w:rFonts w:eastAsia="Times New Roman" w:cs="Times New Roman"/>
                <w:kern w:val="0"/>
                <w:sz w:val="22"/>
                <w:szCs w:val="22"/>
                <w:vertAlign w:val="superscript"/>
                <w:lang w:val="ro-RO"/>
              </w:rPr>
              <w:t>2</w:t>
            </w:r>
            <w:r w:rsidRPr="00344FCE">
              <w:rPr>
                <w:rFonts w:eastAsia="Times New Roman" w:cs="Times New Roman"/>
                <w:kern w:val="0"/>
                <w:sz w:val="22"/>
                <w:szCs w:val="22"/>
                <w:lang w:val="ro-RO"/>
              </w:rPr>
              <w:t xml:space="preserve"> /an)</w:t>
            </w:r>
          </w:p>
        </w:tc>
        <w:tc>
          <w:tcPr>
            <w:tcW w:w="1985" w:type="dxa"/>
            <w:vMerge/>
            <w:shd w:val="clear" w:color="auto" w:fill="auto"/>
            <w:vAlign w:val="center"/>
          </w:tcPr>
          <w:p w14:paraId="46BB8FD6"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49E9BF40" w14:textId="77777777" w:rsidTr="001925BA">
        <w:trPr>
          <w:trHeight w:val="20"/>
        </w:trPr>
        <w:tc>
          <w:tcPr>
            <w:tcW w:w="2787" w:type="dxa"/>
            <w:vMerge/>
            <w:shd w:val="clear" w:color="auto" w:fill="auto"/>
            <w:vAlign w:val="center"/>
          </w:tcPr>
          <w:p w14:paraId="5AAAEF17"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6AA32496"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0FBF8987"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420BBD42"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409" w:type="dxa"/>
            <w:vMerge/>
            <w:shd w:val="clear" w:color="auto" w:fill="auto"/>
            <w:vAlign w:val="center"/>
          </w:tcPr>
          <w:p w14:paraId="5768762D"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5D8A7716"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Presiunea socială generată de turiști (nr. de sosiri ale turiștilor/nr. locuitori din destinație)</w:t>
            </w:r>
          </w:p>
        </w:tc>
        <w:tc>
          <w:tcPr>
            <w:tcW w:w="1985" w:type="dxa"/>
            <w:vMerge/>
            <w:shd w:val="clear" w:color="auto" w:fill="auto"/>
            <w:vAlign w:val="center"/>
          </w:tcPr>
          <w:p w14:paraId="24075F8F"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7B858098" w14:textId="77777777" w:rsidTr="001925BA">
        <w:trPr>
          <w:trHeight w:val="20"/>
        </w:trPr>
        <w:tc>
          <w:tcPr>
            <w:tcW w:w="2787" w:type="dxa"/>
            <w:vMerge/>
            <w:shd w:val="clear" w:color="auto" w:fill="auto"/>
            <w:vAlign w:val="center"/>
          </w:tcPr>
          <w:p w14:paraId="275ACCF9"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61763450"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0EC1C253"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3A4894CA"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409" w:type="dxa"/>
            <w:shd w:val="clear" w:color="auto" w:fill="auto"/>
            <w:vAlign w:val="center"/>
          </w:tcPr>
          <w:p w14:paraId="0D80CA6D"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Sustenabilitatea turismului</w:t>
            </w:r>
          </w:p>
        </w:tc>
        <w:tc>
          <w:tcPr>
            <w:tcW w:w="2268" w:type="dxa"/>
            <w:shd w:val="clear" w:color="auto" w:fill="auto"/>
            <w:vAlign w:val="center"/>
          </w:tcPr>
          <w:p w14:paraId="20E25E30"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Număr de plaje și porturi de agrement ce </w:t>
            </w:r>
            <w:r w:rsidRPr="00344FCE">
              <w:rPr>
                <w:rFonts w:eastAsia="Times New Roman" w:cs="Times New Roman"/>
                <w:kern w:val="0"/>
                <w:sz w:val="22"/>
                <w:szCs w:val="22"/>
                <w:lang w:val="ro-RO"/>
              </w:rPr>
              <w:lastRenderedPageBreak/>
              <w:t>dețin distincția Blue Flag</w:t>
            </w:r>
          </w:p>
        </w:tc>
        <w:tc>
          <w:tcPr>
            <w:tcW w:w="1985" w:type="dxa"/>
            <w:vMerge/>
            <w:shd w:val="clear" w:color="auto" w:fill="auto"/>
            <w:vAlign w:val="center"/>
          </w:tcPr>
          <w:p w14:paraId="27441FD2"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16EC7193" w14:textId="77777777" w:rsidTr="001925BA">
        <w:trPr>
          <w:trHeight w:val="20"/>
        </w:trPr>
        <w:tc>
          <w:tcPr>
            <w:tcW w:w="2787" w:type="dxa"/>
            <w:vMerge/>
            <w:shd w:val="clear" w:color="auto" w:fill="auto"/>
            <w:vAlign w:val="center"/>
          </w:tcPr>
          <w:p w14:paraId="4BA34818"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5211AABE"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0AD015B1"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6BDCD288"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409" w:type="dxa"/>
            <w:shd w:val="clear" w:color="auto" w:fill="auto"/>
            <w:vAlign w:val="center"/>
          </w:tcPr>
          <w:p w14:paraId="1185A432"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Calitatea apelor de îmbăiere</w:t>
            </w:r>
          </w:p>
        </w:tc>
        <w:tc>
          <w:tcPr>
            <w:tcW w:w="2268" w:type="dxa"/>
            <w:shd w:val="clear" w:color="auto" w:fill="auto"/>
            <w:vAlign w:val="center"/>
          </w:tcPr>
          <w:p w14:paraId="4EF8BE25"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Numărul de plaje cu stare excelentă conform Directivei Ape de Îmbăiere</w:t>
            </w:r>
          </w:p>
        </w:tc>
        <w:tc>
          <w:tcPr>
            <w:tcW w:w="1985" w:type="dxa"/>
            <w:vMerge/>
            <w:shd w:val="clear" w:color="auto" w:fill="auto"/>
            <w:vAlign w:val="center"/>
          </w:tcPr>
          <w:p w14:paraId="37A3832F"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7D9B89C5" w14:textId="77777777" w:rsidTr="001925BA">
        <w:trPr>
          <w:trHeight w:val="20"/>
        </w:trPr>
        <w:tc>
          <w:tcPr>
            <w:tcW w:w="2787" w:type="dxa"/>
            <w:vMerge w:val="restart"/>
            <w:shd w:val="clear" w:color="auto" w:fill="auto"/>
            <w:vAlign w:val="center"/>
          </w:tcPr>
          <w:p w14:paraId="07CDE388" w14:textId="77777777" w:rsidR="00670FD4" w:rsidRPr="00344FCE" w:rsidRDefault="00670FD4" w:rsidP="001925BA">
            <w:pPr>
              <w:spacing w:before="0" w:after="0" w:line="240" w:lineRule="auto"/>
              <w:ind w:firstLine="0"/>
              <w:rPr>
                <w:rFonts w:eastAsia="Times New Roman" w:cs="Times New Roman"/>
                <w:kern w:val="0"/>
                <w:sz w:val="20"/>
                <w:szCs w:val="20"/>
                <w:lang w:val="ro-RO"/>
              </w:rPr>
            </w:pPr>
            <w:r w:rsidRPr="00344FCE">
              <w:rPr>
                <w:rFonts w:eastAsia="Times New Roman" w:cs="Times New Roman"/>
                <w:kern w:val="0"/>
                <w:sz w:val="22"/>
                <w:szCs w:val="22"/>
                <w:lang w:val="ro-RO"/>
              </w:rPr>
              <w:t>D.4 Inițierea și implementarea unui program de dezvoltare a turismului subacvatic</w:t>
            </w:r>
          </w:p>
        </w:tc>
        <w:tc>
          <w:tcPr>
            <w:tcW w:w="1999" w:type="dxa"/>
            <w:vMerge w:val="restart"/>
            <w:shd w:val="clear" w:color="auto" w:fill="auto"/>
            <w:vAlign w:val="center"/>
          </w:tcPr>
          <w:p w14:paraId="009E84B1"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MC, </w:t>
            </w:r>
            <w:r>
              <w:rPr>
                <w:rFonts w:eastAsia="Times New Roman" w:cs="Times New Roman"/>
                <w:kern w:val="0"/>
                <w:sz w:val="22"/>
                <w:szCs w:val="22"/>
                <w:lang w:val="ro-RO"/>
              </w:rPr>
              <w:t xml:space="preserve">MEAT, </w:t>
            </w:r>
            <w:r w:rsidRPr="00344FCE">
              <w:rPr>
                <w:rFonts w:eastAsia="Times New Roman" w:cs="Times New Roman"/>
                <w:kern w:val="0"/>
                <w:sz w:val="22"/>
                <w:szCs w:val="22"/>
                <w:lang w:val="ro-RO"/>
              </w:rPr>
              <w:t>MCID (INCD GeoEcoMar), MApN (Centrul de scafandri)</w:t>
            </w:r>
          </w:p>
        </w:tc>
        <w:tc>
          <w:tcPr>
            <w:tcW w:w="1559" w:type="dxa"/>
            <w:vMerge w:val="restart"/>
            <w:shd w:val="clear" w:color="auto" w:fill="auto"/>
            <w:vAlign w:val="center"/>
          </w:tcPr>
          <w:p w14:paraId="5C553B30"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tc>
        <w:tc>
          <w:tcPr>
            <w:tcW w:w="2127" w:type="dxa"/>
            <w:vMerge w:val="restart"/>
            <w:shd w:val="clear" w:color="auto" w:fill="auto"/>
            <w:vAlign w:val="center"/>
          </w:tcPr>
          <w:p w14:paraId="4CCC85D1" w14:textId="77777777" w:rsidR="00670FD4" w:rsidRPr="00344FCE" w:rsidRDefault="00670FD4" w:rsidP="001925BA">
            <w:pPr>
              <w:spacing w:before="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Creșterea numărului de operatori turistici ce oferă servicii de turism subacvatic</w:t>
            </w:r>
          </w:p>
          <w:p w14:paraId="5D367F03" w14:textId="77777777" w:rsidR="00670FD4" w:rsidRPr="00344FCE" w:rsidRDefault="00670FD4" w:rsidP="001925BA">
            <w:pPr>
              <w:spacing w:before="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Creșterea veniturilor generate de activitatea de turism subacvatic</w:t>
            </w:r>
          </w:p>
          <w:p w14:paraId="0EB37900" w14:textId="77777777" w:rsidR="00670FD4" w:rsidRPr="00344FCE" w:rsidRDefault="00670FD4" w:rsidP="001925BA">
            <w:pPr>
              <w:spacing w:before="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Creșterea numărului de locuri de muncă generate de activitatea de turism subacvatic</w:t>
            </w:r>
          </w:p>
          <w:p w14:paraId="16359F7D" w14:textId="77777777" w:rsidR="00670FD4" w:rsidRPr="00344FCE" w:rsidRDefault="00670FD4" w:rsidP="001925BA">
            <w:pPr>
              <w:spacing w:before="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Creșterea numărului de situri și obiecte subacvatice inventariate și protejate</w:t>
            </w:r>
          </w:p>
        </w:tc>
        <w:tc>
          <w:tcPr>
            <w:tcW w:w="2409" w:type="dxa"/>
            <w:vMerge w:val="restart"/>
            <w:shd w:val="clear" w:color="auto" w:fill="auto"/>
            <w:vAlign w:val="center"/>
          </w:tcPr>
          <w:p w14:paraId="22343183"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Economie verde / albastră</w:t>
            </w:r>
          </w:p>
          <w:p w14:paraId="475C43C8"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39A13DA7"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tc>
        <w:tc>
          <w:tcPr>
            <w:tcW w:w="2268"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14:paraId="79C6FC04"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Numărul persoanelor angajate în sectoarele Economiei Albastre - turism subacvatic</w:t>
            </w:r>
          </w:p>
        </w:tc>
        <w:tc>
          <w:tcPr>
            <w:tcW w:w="1985" w:type="dxa"/>
            <w:vMerge w:val="restart"/>
            <w:shd w:val="clear" w:color="auto" w:fill="auto"/>
            <w:vAlign w:val="center"/>
          </w:tcPr>
          <w:p w14:paraId="61BF292D"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670FD4" w:rsidRPr="00344FCE" w14:paraId="7486FCB1" w14:textId="77777777" w:rsidTr="001925BA">
        <w:trPr>
          <w:trHeight w:val="20"/>
        </w:trPr>
        <w:tc>
          <w:tcPr>
            <w:tcW w:w="2787" w:type="dxa"/>
            <w:vMerge/>
            <w:shd w:val="clear" w:color="auto" w:fill="auto"/>
            <w:vAlign w:val="center"/>
          </w:tcPr>
          <w:p w14:paraId="53015662"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755BC557"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5CAE8F58"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2FBDFCCF" w14:textId="77777777" w:rsidR="00670FD4" w:rsidRPr="00344FCE" w:rsidRDefault="00670FD4" w:rsidP="001925BA">
            <w:pPr>
              <w:spacing w:before="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269862DF"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tc>
        <w:tc>
          <w:tcPr>
            <w:tcW w:w="2268"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center"/>
          </w:tcPr>
          <w:p w14:paraId="3F15DE67"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Total venituri generate de sectoarele Economiei Albastre - turism subacvatic</w:t>
            </w:r>
          </w:p>
        </w:tc>
        <w:tc>
          <w:tcPr>
            <w:tcW w:w="1985" w:type="dxa"/>
            <w:vMerge/>
            <w:shd w:val="clear" w:color="auto" w:fill="auto"/>
            <w:vAlign w:val="center"/>
          </w:tcPr>
          <w:p w14:paraId="4501E3A5"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r>
      <w:tr w:rsidR="00670FD4" w:rsidRPr="00344FCE" w14:paraId="03DD7501" w14:textId="77777777" w:rsidTr="001925BA">
        <w:trPr>
          <w:trHeight w:val="20"/>
        </w:trPr>
        <w:tc>
          <w:tcPr>
            <w:tcW w:w="2787" w:type="dxa"/>
            <w:vMerge/>
            <w:shd w:val="clear" w:color="auto" w:fill="auto"/>
            <w:vAlign w:val="center"/>
          </w:tcPr>
          <w:p w14:paraId="799904A3"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7E53E89B"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740F8B33"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135C1E56" w14:textId="77777777" w:rsidR="00670FD4" w:rsidRPr="00344FCE" w:rsidRDefault="00670FD4" w:rsidP="001925BA">
            <w:pPr>
              <w:spacing w:before="0" w:line="240" w:lineRule="auto"/>
              <w:ind w:firstLine="0"/>
              <w:jc w:val="center"/>
              <w:rPr>
                <w:rFonts w:eastAsia="Times New Roman" w:cs="Times New Roman"/>
                <w:kern w:val="0"/>
                <w:sz w:val="22"/>
                <w:szCs w:val="22"/>
                <w:lang w:val="ro-RO"/>
              </w:rPr>
            </w:pPr>
          </w:p>
        </w:tc>
        <w:tc>
          <w:tcPr>
            <w:tcW w:w="2409" w:type="dxa"/>
            <w:shd w:val="clear" w:color="auto" w:fill="auto"/>
            <w:vAlign w:val="center"/>
          </w:tcPr>
          <w:p w14:paraId="500497FE" w14:textId="77777777" w:rsidR="00670FD4" w:rsidRPr="00344FCE" w:rsidRDefault="00670FD4" w:rsidP="001925BA">
            <w:pPr>
              <w:spacing w:before="0" w:after="0" w:line="240" w:lineRule="auto"/>
              <w:ind w:firstLine="0"/>
              <w:rPr>
                <w:rFonts w:eastAsia="Times New Roman" w:cs="Times New Roman"/>
                <w:kern w:val="0"/>
                <w:sz w:val="20"/>
                <w:szCs w:val="20"/>
                <w:lang w:val="ro-RO"/>
              </w:rPr>
            </w:pPr>
            <w:r w:rsidRPr="00344FCE">
              <w:rPr>
                <w:rFonts w:eastAsia="Times New Roman" w:cs="Times New Roman"/>
                <w:kern w:val="0"/>
                <w:sz w:val="22"/>
                <w:szCs w:val="22"/>
                <w:lang w:val="ro-RO"/>
              </w:rPr>
              <w:t>Protejarea patrimoniului cultural</w:t>
            </w:r>
          </w:p>
        </w:tc>
        <w:tc>
          <w:tcPr>
            <w:tcW w:w="2268" w:type="dxa"/>
            <w:shd w:val="clear" w:color="auto" w:fill="auto"/>
            <w:vAlign w:val="center"/>
          </w:tcPr>
          <w:p w14:paraId="5B47C171"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situri subacvatice inventariate</w:t>
            </w:r>
          </w:p>
        </w:tc>
        <w:tc>
          <w:tcPr>
            <w:tcW w:w="1985" w:type="dxa"/>
            <w:vMerge/>
            <w:shd w:val="clear" w:color="auto" w:fill="auto"/>
            <w:vAlign w:val="center"/>
          </w:tcPr>
          <w:p w14:paraId="6AD4E18B"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r>
      <w:tr w:rsidR="00670FD4" w:rsidRPr="00344FCE" w14:paraId="5DEAD6FF" w14:textId="77777777" w:rsidTr="001925BA">
        <w:trPr>
          <w:trHeight w:val="20"/>
        </w:trPr>
        <w:tc>
          <w:tcPr>
            <w:tcW w:w="2787" w:type="dxa"/>
            <w:vMerge w:val="restart"/>
            <w:shd w:val="clear" w:color="auto" w:fill="auto"/>
            <w:vAlign w:val="center"/>
          </w:tcPr>
          <w:p w14:paraId="61DE633B"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D.5 Identificarea măsurilor pentru reabilitarea stocurilor de pești cu valoare comercială, încurajarea și susținerea implementării </w:t>
            </w:r>
            <w:r w:rsidRPr="00344FCE">
              <w:rPr>
                <w:rFonts w:eastAsia="Times New Roman" w:cs="Times New Roman"/>
                <w:kern w:val="0"/>
                <w:sz w:val="22"/>
                <w:szCs w:val="22"/>
                <w:lang w:val="ro-RO"/>
              </w:rPr>
              <w:lastRenderedPageBreak/>
              <w:t>procedurilor/tehnicilor și tehnologiilor de pescuit sustenabil prin acordarea de stimulente</w:t>
            </w:r>
          </w:p>
        </w:tc>
        <w:tc>
          <w:tcPr>
            <w:tcW w:w="1999" w:type="dxa"/>
            <w:vMerge w:val="restart"/>
            <w:shd w:val="clear" w:color="auto" w:fill="auto"/>
            <w:vAlign w:val="center"/>
          </w:tcPr>
          <w:p w14:paraId="2B91AD4B"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lastRenderedPageBreak/>
              <w:t xml:space="preserve">MADR (prin ANPA), MMAP (prin ARBDD, ANANP), MCID </w:t>
            </w:r>
            <w:r w:rsidRPr="00344FCE">
              <w:rPr>
                <w:rFonts w:eastAsia="Times New Roman" w:cs="Times New Roman"/>
                <w:kern w:val="0"/>
                <w:sz w:val="22"/>
                <w:szCs w:val="22"/>
                <w:lang w:val="ro-RO"/>
              </w:rPr>
              <w:lastRenderedPageBreak/>
              <w:t>(INCDM Grigore Antipa, INCDDD)</w:t>
            </w:r>
          </w:p>
        </w:tc>
        <w:tc>
          <w:tcPr>
            <w:tcW w:w="1559" w:type="dxa"/>
            <w:vMerge w:val="restart"/>
            <w:shd w:val="clear" w:color="auto" w:fill="auto"/>
            <w:vAlign w:val="center"/>
          </w:tcPr>
          <w:p w14:paraId="0EB1EE71"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lastRenderedPageBreak/>
              <w:t>2030</w:t>
            </w:r>
          </w:p>
        </w:tc>
        <w:tc>
          <w:tcPr>
            <w:tcW w:w="2127" w:type="dxa"/>
            <w:vMerge w:val="restart"/>
            <w:shd w:val="clear" w:color="auto" w:fill="auto"/>
            <w:vAlign w:val="center"/>
          </w:tcPr>
          <w:p w14:paraId="5B151082" w14:textId="77777777" w:rsidR="00670FD4" w:rsidRPr="00344FCE" w:rsidRDefault="00670FD4" w:rsidP="001925BA">
            <w:pPr>
              <w:spacing w:before="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 xml:space="preserve">Creșterea suprafeței zonelor reabilitate ecologic pentru reproducere și creștere a stadiilor </w:t>
            </w:r>
            <w:r w:rsidRPr="00344FCE">
              <w:rPr>
                <w:rFonts w:eastAsia="Times New Roman" w:cs="Times New Roman"/>
                <w:kern w:val="0"/>
                <w:sz w:val="22"/>
                <w:szCs w:val="22"/>
                <w:lang w:val="ro-RO"/>
              </w:rPr>
              <w:lastRenderedPageBreak/>
              <w:t>timpurii, pentru refacerea stocurilor și rutelor de migraţie a peştilor;</w:t>
            </w:r>
          </w:p>
          <w:p w14:paraId="5227328D" w14:textId="77777777" w:rsidR="00670FD4" w:rsidRPr="00344FCE" w:rsidRDefault="00670FD4" w:rsidP="001925BA">
            <w:pPr>
              <w:spacing w:before="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Realizarea de baze de reproducere (fixe sau volante) pentru specii de peşti tradiţional valoroase, care să asigure producerea de material biologic pentru popularea apelor naturale crescătoriilor (icre embrionate, larve, puiet);</w:t>
            </w:r>
          </w:p>
        </w:tc>
        <w:tc>
          <w:tcPr>
            <w:tcW w:w="2409" w:type="dxa"/>
            <w:shd w:val="clear" w:color="auto" w:fill="auto"/>
            <w:vAlign w:val="center"/>
          </w:tcPr>
          <w:p w14:paraId="44CB3792"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lastRenderedPageBreak/>
              <w:t>Sustenabilitatea pescuitului</w:t>
            </w:r>
          </w:p>
        </w:tc>
        <w:tc>
          <w:tcPr>
            <w:tcW w:w="2268" w:type="dxa"/>
            <w:shd w:val="clear" w:color="auto" w:fill="auto"/>
            <w:vAlign w:val="center"/>
          </w:tcPr>
          <w:p w14:paraId="431FA88A"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Numărul de unelte de pescuit prietenoase cu mediul</w:t>
            </w:r>
          </w:p>
        </w:tc>
        <w:tc>
          <w:tcPr>
            <w:tcW w:w="1985" w:type="dxa"/>
            <w:vMerge w:val="restart"/>
            <w:shd w:val="clear" w:color="auto" w:fill="auto"/>
            <w:vAlign w:val="center"/>
          </w:tcPr>
          <w:p w14:paraId="3091A16E"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670FD4" w:rsidRPr="00344FCE" w14:paraId="113073FA" w14:textId="77777777" w:rsidTr="001925BA">
        <w:trPr>
          <w:trHeight w:val="20"/>
        </w:trPr>
        <w:tc>
          <w:tcPr>
            <w:tcW w:w="2787" w:type="dxa"/>
            <w:vMerge/>
            <w:shd w:val="clear" w:color="auto" w:fill="auto"/>
            <w:vAlign w:val="center"/>
          </w:tcPr>
          <w:p w14:paraId="1546CCE8"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582F92B5"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341C0CF6"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3329FFBA" w14:textId="77777777" w:rsidR="00670FD4" w:rsidRPr="00344FCE" w:rsidRDefault="00670FD4" w:rsidP="001925BA">
            <w:pPr>
              <w:widowControl w:val="0"/>
              <w:pBdr>
                <w:top w:val="nil"/>
                <w:left w:val="nil"/>
                <w:bottom w:val="nil"/>
                <w:right w:val="nil"/>
                <w:between w:val="nil"/>
              </w:pBdr>
              <w:spacing w:before="0" w:line="240" w:lineRule="auto"/>
              <w:ind w:firstLine="0"/>
              <w:jc w:val="center"/>
              <w:rPr>
                <w:rFonts w:eastAsia="Times New Roman" w:cs="Times New Roman"/>
                <w:kern w:val="0"/>
                <w:sz w:val="22"/>
                <w:szCs w:val="22"/>
                <w:lang w:val="ro-RO"/>
              </w:rPr>
            </w:pPr>
          </w:p>
        </w:tc>
        <w:tc>
          <w:tcPr>
            <w:tcW w:w="2409" w:type="dxa"/>
            <w:vMerge w:val="restart"/>
            <w:shd w:val="clear" w:color="auto" w:fill="auto"/>
            <w:vAlign w:val="center"/>
          </w:tcPr>
          <w:p w14:paraId="6D444B8C"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Stocuri de resurse acvatice vii (pești, </w:t>
            </w:r>
            <w:r w:rsidRPr="00344FCE">
              <w:rPr>
                <w:rFonts w:eastAsia="Times New Roman" w:cs="Times New Roman"/>
                <w:kern w:val="0"/>
                <w:sz w:val="22"/>
                <w:szCs w:val="22"/>
                <w:lang w:val="ro-RO"/>
              </w:rPr>
              <w:lastRenderedPageBreak/>
              <w:t>moluște, crustacee) și debarcări/totalul capturilor de pești în lacuri litorale și mare</w:t>
            </w:r>
          </w:p>
        </w:tc>
        <w:tc>
          <w:tcPr>
            <w:tcW w:w="2268" w:type="dxa"/>
            <w:shd w:val="clear" w:color="auto" w:fill="auto"/>
            <w:vAlign w:val="center"/>
          </w:tcPr>
          <w:p w14:paraId="701336E9"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lastRenderedPageBreak/>
              <w:t xml:space="preserve">Starea principalelor stocuri de pește, </w:t>
            </w:r>
            <w:r w:rsidRPr="00344FCE">
              <w:rPr>
                <w:rFonts w:eastAsia="Times New Roman" w:cs="Times New Roman"/>
                <w:kern w:val="0"/>
                <w:sz w:val="22"/>
                <w:szCs w:val="22"/>
                <w:lang w:val="ro-RO"/>
              </w:rPr>
              <w:lastRenderedPageBreak/>
              <w:t>moluște și crustacee pe specii și zone</w:t>
            </w:r>
          </w:p>
        </w:tc>
        <w:tc>
          <w:tcPr>
            <w:tcW w:w="1985" w:type="dxa"/>
            <w:vMerge/>
            <w:shd w:val="clear" w:color="auto" w:fill="auto"/>
            <w:vAlign w:val="center"/>
          </w:tcPr>
          <w:p w14:paraId="2C2E8EFE"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4B23F2D8" w14:textId="77777777" w:rsidTr="001925BA">
        <w:trPr>
          <w:trHeight w:val="20"/>
        </w:trPr>
        <w:tc>
          <w:tcPr>
            <w:tcW w:w="2787" w:type="dxa"/>
            <w:vMerge/>
            <w:shd w:val="clear" w:color="auto" w:fill="auto"/>
            <w:vAlign w:val="center"/>
          </w:tcPr>
          <w:p w14:paraId="0ADDFF29"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01928A5C"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6DD2A351"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44D04799" w14:textId="77777777" w:rsidR="00670FD4" w:rsidRPr="00344FCE" w:rsidRDefault="00670FD4" w:rsidP="001925BA">
            <w:pPr>
              <w:widowControl w:val="0"/>
              <w:pBdr>
                <w:top w:val="nil"/>
                <w:left w:val="nil"/>
                <w:bottom w:val="nil"/>
                <w:right w:val="nil"/>
                <w:between w:val="nil"/>
              </w:pBdr>
              <w:spacing w:before="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055790A0"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0B540E03"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Biomasa stocului reproducător și a stadiilor timpurii pe specii.</w:t>
            </w:r>
          </w:p>
        </w:tc>
        <w:tc>
          <w:tcPr>
            <w:tcW w:w="1985" w:type="dxa"/>
            <w:vMerge/>
            <w:shd w:val="clear" w:color="auto" w:fill="auto"/>
            <w:vAlign w:val="center"/>
          </w:tcPr>
          <w:p w14:paraId="32AA524C"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6E2CA158" w14:textId="77777777" w:rsidTr="001925BA">
        <w:trPr>
          <w:trHeight w:val="20"/>
        </w:trPr>
        <w:tc>
          <w:tcPr>
            <w:tcW w:w="2787" w:type="dxa"/>
            <w:vMerge/>
            <w:shd w:val="clear" w:color="auto" w:fill="auto"/>
            <w:vAlign w:val="center"/>
          </w:tcPr>
          <w:p w14:paraId="3D281C04"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46C78D3C"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70821115"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48D64E1C" w14:textId="77777777" w:rsidR="00670FD4" w:rsidRPr="00344FCE" w:rsidRDefault="00670FD4" w:rsidP="001925BA">
            <w:pPr>
              <w:widowControl w:val="0"/>
              <w:pBdr>
                <w:top w:val="nil"/>
                <w:left w:val="nil"/>
                <w:bottom w:val="nil"/>
                <w:right w:val="nil"/>
                <w:between w:val="nil"/>
              </w:pBdr>
              <w:spacing w:before="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607F6F32"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13D9C801"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Valoarea totală a capturilor și mortalitatea peștilor pe specii</w:t>
            </w:r>
          </w:p>
        </w:tc>
        <w:tc>
          <w:tcPr>
            <w:tcW w:w="1985" w:type="dxa"/>
            <w:vMerge/>
            <w:shd w:val="clear" w:color="auto" w:fill="auto"/>
            <w:vAlign w:val="center"/>
          </w:tcPr>
          <w:p w14:paraId="24DA84FD"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1B88AEEE" w14:textId="77777777" w:rsidTr="001925BA">
        <w:trPr>
          <w:trHeight w:val="20"/>
        </w:trPr>
        <w:tc>
          <w:tcPr>
            <w:tcW w:w="2787" w:type="dxa"/>
            <w:vMerge/>
            <w:shd w:val="clear" w:color="auto" w:fill="auto"/>
            <w:vAlign w:val="center"/>
          </w:tcPr>
          <w:p w14:paraId="41369917"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669BE563"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05BC0599"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192F7103" w14:textId="77777777" w:rsidR="00670FD4" w:rsidRPr="00344FCE" w:rsidRDefault="00670FD4" w:rsidP="001925BA">
            <w:pPr>
              <w:widowControl w:val="0"/>
              <w:pBdr>
                <w:top w:val="nil"/>
                <w:left w:val="nil"/>
                <w:bottom w:val="nil"/>
                <w:right w:val="nil"/>
                <w:between w:val="nil"/>
              </w:pBdr>
              <w:spacing w:before="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4C0F3CEE"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7FA1632E"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Valoarea capturilor totale pe port și specii.</w:t>
            </w:r>
          </w:p>
        </w:tc>
        <w:tc>
          <w:tcPr>
            <w:tcW w:w="1985" w:type="dxa"/>
            <w:vMerge/>
            <w:shd w:val="clear" w:color="auto" w:fill="auto"/>
            <w:vAlign w:val="center"/>
          </w:tcPr>
          <w:p w14:paraId="6D66CB0D"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42AFCE55" w14:textId="77777777" w:rsidTr="001925BA">
        <w:trPr>
          <w:trHeight w:val="20"/>
        </w:trPr>
        <w:tc>
          <w:tcPr>
            <w:tcW w:w="2787" w:type="dxa"/>
            <w:vMerge w:val="restart"/>
            <w:shd w:val="clear" w:color="auto" w:fill="auto"/>
            <w:vAlign w:val="center"/>
          </w:tcPr>
          <w:p w14:paraId="65ABA804"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D.6 Realizarea programelor de dezvoltarea a acvaculturii costiere (marine, terestre) prietenoase cu mediul</w:t>
            </w:r>
          </w:p>
        </w:tc>
        <w:tc>
          <w:tcPr>
            <w:tcW w:w="1999" w:type="dxa"/>
            <w:vMerge w:val="restart"/>
            <w:shd w:val="clear" w:color="auto" w:fill="auto"/>
            <w:vAlign w:val="center"/>
          </w:tcPr>
          <w:p w14:paraId="05598D34"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MADR (prin ANPA), MMAP (prin ARBDD), MCID (INCDM Grigore Antipa, INCDDD)</w:t>
            </w:r>
          </w:p>
        </w:tc>
        <w:tc>
          <w:tcPr>
            <w:tcW w:w="1559" w:type="dxa"/>
            <w:vMerge w:val="restart"/>
            <w:shd w:val="clear" w:color="auto" w:fill="auto"/>
            <w:vAlign w:val="center"/>
          </w:tcPr>
          <w:p w14:paraId="578ABF02"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vMerge w:val="restart"/>
            <w:shd w:val="clear" w:color="auto" w:fill="auto"/>
            <w:vAlign w:val="center"/>
          </w:tcPr>
          <w:p w14:paraId="00CE95A2" w14:textId="77777777" w:rsidR="00670FD4" w:rsidRPr="00344FCE" w:rsidRDefault="00670FD4" w:rsidP="001925BA">
            <w:pPr>
              <w:spacing w:before="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Creșterea numărului de locuri de muncă generată de activitatea de acvacultură;</w:t>
            </w:r>
          </w:p>
          <w:p w14:paraId="104F1C88" w14:textId="77777777" w:rsidR="00670FD4" w:rsidRPr="00344FCE" w:rsidRDefault="00670FD4" w:rsidP="001925BA">
            <w:pPr>
              <w:spacing w:before="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Creșterea veniturilor generate de activitatea de acvacultură</w:t>
            </w:r>
          </w:p>
        </w:tc>
        <w:tc>
          <w:tcPr>
            <w:tcW w:w="2409" w:type="dxa"/>
            <w:vMerge w:val="restart"/>
            <w:shd w:val="clear" w:color="auto" w:fill="auto"/>
            <w:vAlign w:val="center"/>
          </w:tcPr>
          <w:p w14:paraId="4606351F"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Economie verde / albastră</w:t>
            </w:r>
          </w:p>
        </w:tc>
        <w:tc>
          <w:tcPr>
            <w:tcW w:w="2268" w:type="dxa"/>
            <w:shd w:val="clear" w:color="auto" w:fill="auto"/>
            <w:vAlign w:val="center"/>
          </w:tcPr>
          <w:p w14:paraId="7730AF93"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Numărul persoanelor angajate în sectoarele Economiei Albastre - acvacultură</w:t>
            </w:r>
          </w:p>
        </w:tc>
        <w:tc>
          <w:tcPr>
            <w:tcW w:w="1985" w:type="dxa"/>
            <w:vMerge w:val="restart"/>
            <w:shd w:val="clear" w:color="auto" w:fill="auto"/>
            <w:vAlign w:val="center"/>
          </w:tcPr>
          <w:p w14:paraId="21CCA3AC"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670FD4" w:rsidRPr="00344FCE" w14:paraId="0204C2CB" w14:textId="77777777" w:rsidTr="001925BA">
        <w:trPr>
          <w:trHeight w:val="20"/>
        </w:trPr>
        <w:tc>
          <w:tcPr>
            <w:tcW w:w="2787" w:type="dxa"/>
            <w:vMerge/>
            <w:shd w:val="clear" w:color="auto" w:fill="auto"/>
            <w:vAlign w:val="center"/>
          </w:tcPr>
          <w:p w14:paraId="6D8B6C57"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18C8412A"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5578AFF7"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12036A0E" w14:textId="77777777" w:rsidR="00670FD4" w:rsidRPr="00344FCE" w:rsidRDefault="00670FD4" w:rsidP="001925BA">
            <w:pPr>
              <w:widowControl w:val="0"/>
              <w:pBdr>
                <w:top w:val="nil"/>
                <w:left w:val="nil"/>
                <w:bottom w:val="nil"/>
                <w:right w:val="nil"/>
                <w:between w:val="nil"/>
              </w:pBdr>
              <w:spacing w:before="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28084DF7"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61A3BD04"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Total venituri generate de sectoarele Economiei Albastre - acvacultură</w:t>
            </w:r>
          </w:p>
        </w:tc>
        <w:tc>
          <w:tcPr>
            <w:tcW w:w="1985" w:type="dxa"/>
            <w:vMerge/>
            <w:shd w:val="clear" w:color="auto" w:fill="auto"/>
            <w:vAlign w:val="center"/>
          </w:tcPr>
          <w:p w14:paraId="61973CCF"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4808F845" w14:textId="77777777" w:rsidTr="001925BA">
        <w:trPr>
          <w:trHeight w:val="20"/>
        </w:trPr>
        <w:tc>
          <w:tcPr>
            <w:tcW w:w="2787" w:type="dxa"/>
            <w:vMerge w:val="restart"/>
            <w:shd w:val="clear" w:color="auto" w:fill="auto"/>
            <w:vAlign w:val="center"/>
          </w:tcPr>
          <w:p w14:paraId="0BB1A750"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D.7</w:t>
            </w:r>
            <w:r>
              <w:rPr>
                <w:rFonts w:eastAsia="Times New Roman" w:cs="Times New Roman"/>
                <w:kern w:val="0"/>
                <w:sz w:val="22"/>
                <w:szCs w:val="22"/>
                <w:lang w:val="ro-RO"/>
              </w:rPr>
              <w:t xml:space="preserve"> </w:t>
            </w:r>
            <w:r w:rsidRPr="00344FCE">
              <w:rPr>
                <w:rFonts w:eastAsia="Times New Roman" w:cs="Times New Roman"/>
                <w:kern w:val="0"/>
                <w:sz w:val="22"/>
                <w:szCs w:val="22"/>
                <w:lang w:val="ro-RO"/>
              </w:rPr>
              <w:t xml:space="preserve">Dezvoltarea infrastructurii pescărești și utilizarea de mijloace de pescuit (ambarcațiuni, echipamente și unelte) prietenoase cu mediul pentru evitarea deteriorării </w:t>
            </w:r>
            <w:r w:rsidRPr="00344FCE">
              <w:rPr>
                <w:rFonts w:eastAsia="Times New Roman" w:cs="Times New Roman"/>
                <w:kern w:val="0"/>
                <w:sz w:val="22"/>
                <w:szCs w:val="22"/>
                <w:lang w:val="ro-RO"/>
              </w:rPr>
              <w:lastRenderedPageBreak/>
              <w:t>substratului marin și diminuarea presiunii asupra mediului</w:t>
            </w:r>
          </w:p>
        </w:tc>
        <w:tc>
          <w:tcPr>
            <w:tcW w:w="1999" w:type="dxa"/>
            <w:vMerge w:val="restart"/>
            <w:shd w:val="clear" w:color="auto" w:fill="auto"/>
            <w:vAlign w:val="center"/>
          </w:tcPr>
          <w:p w14:paraId="396C5912"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lastRenderedPageBreak/>
              <w:t>MADR (prin ANPA), MMAP (prin ARBDD), MCID (INCDM Grigore Antipa, INCDDD)</w:t>
            </w:r>
          </w:p>
        </w:tc>
        <w:tc>
          <w:tcPr>
            <w:tcW w:w="1559" w:type="dxa"/>
            <w:vMerge w:val="restart"/>
            <w:shd w:val="clear" w:color="auto" w:fill="auto"/>
            <w:vAlign w:val="center"/>
          </w:tcPr>
          <w:p w14:paraId="0CA1CA12"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vMerge w:val="restart"/>
            <w:shd w:val="clear" w:color="auto" w:fill="auto"/>
            <w:vAlign w:val="center"/>
          </w:tcPr>
          <w:p w14:paraId="35D1C41F"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Creșterea numărului de ambarcațiuni de pescuit modernizate și dotate cu echipamente de pescuit moderne, </w:t>
            </w:r>
            <w:r w:rsidRPr="00344FCE">
              <w:rPr>
                <w:rFonts w:eastAsia="Times New Roman" w:cs="Times New Roman"/>
                <w:kern w:val="0"/>
                <w:sz w:val="22"/>
                <w:szCs w:val="22"/>
                <w:lang w:val="ro-RO"/>
              </w:rPr>
              <w:lastRenderedPageBreak/>
              <w:t>prietenoase cu mediul;</w:t>
            </w:r>
          </w:p>
          <w:p w14:paraId="4B5D99D9"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Reducerea suprafeței habitatelor bentale deteriorate/distruse în urma activității de pescuit</w:t>
            </w:r>
          </w:p>
        </w:tc>
        <w:tc>
          <w:tcPr>
            <w:tcW w:w="2409" w:type="dxa"/>
            <w:shd w:val="clear" w:color="auto" w:fill="auto"/>
            <w:vAlign w:val="center"/>
          </w:tcPr>
          <w:p w14:paraId="60E409B3"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lastRenderedPageBreak/>
              <w:t>Sustenabilitatea pescuitului</w:t>
            </w:r>
          </w:p>
          <w:p w14:paraId="2754F923"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tc>
        <w:tc>
          <w:tcPr>
            <w:tcW w:w="2268" w:type="dxa"/>
            <w:tcBorders>
              <w:bottom w:val="single" w:sz="4" w:space="0" w:color="000000"/>
            </w:tcBorders>
            <w:shd w:val="clear" w:color="auto" w:fill="auto"/>
            <w:vAlign w:val="center"/>
          </w:tcPr>
          <w:p w14:paraId="01E676C8"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Numărul de unelte de pescuit prietenoase cu mediul</w:t>
            </w:r>
          </w:p>
        </w:tc>
        <w:tc>
          <w:tcPr>
            <w:tcW w:w="1985" w:type="dxa"/>
            <w:vMerge w:val="restart"/>
            <w:shd w:val="clear" w:color="auto" w:fill="auto"/>
            <w:vAlign w:val="center"/>
          </w:tcPr>
          <w:p w14:paraId="01677994"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79AFC89B"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67AFC8BA"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p w14:paraId="5DB48047"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70AA1588"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2034</w:t>
            </w:r>
          </w:p>
        </w:tc>
      </w:tr>
      <w:tr w:rsidR="00670FD4" w:rsidRPr="00344FCE" w14:paraId="4B20D55B" w14:textId="77777777" w:rsidTr="001925BA">
        <w:trPr>
          <w:trHeight w:val="20"/>
        </w:trPr>
        <w:tc>
          <w:tcPr>
            <w:tcW w:w="2787" w:type="dxa"/>
            <w:vMerge/>
            <w:shd w:val="clear" w:color="auto" w:fill="auto"/>
            <w:vAlign w:val="center"/>
          </w:tcPr>
          <w:p w14:paraId="1B293E45"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18469052"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661B568E"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41D46B57"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409" w:type="dxa"/>
            <w:vMerge w:val="restart"/>
            <w:shd w:val="clear" w:color="auto" w:fill="auto"/>
            <w:vAlign w:val="center"/>
          </w:tcPr>
          <w:p w14:paraId="0D26B5B6"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Management eficient al ariilor protejate</w:t>
            </w:r>
          </w:p>
        </w:tc>
        <w:tc>
          <w:tcPr>
            <w:tcW w:w="2268" w:type="dxa"/>
            <w:shd w:val="clear" w:color="auto" w:fill="auto"/>
            <w:vAlign w:val="center"/>
          </w:tcPr>
          <w:p w14:paraId="2115B713"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Suprafața totală și ponderea zonelor degradate din ariile protejate în urma </w:t>
            </w:r>
            <w:r w:rsidRPr="00344FCE">
              <w:rPr>
                <w:rFonts w:eastAsia="Times New Roman" w:cs="Times New Roman"/>
                <w:kern w:val="0"/>
                <w:sz w:val="22"/>
                <w:szCs w:val="22"/>
                <w:lang w:val="ro-RO"/>
              </w:rPr>
              <w:lastRenderedPageBreak/>
              <w:t>desfășurării de activității umane</w:t>
            </w:r>
          </w:p>
        </w:tc>
        <w:tc>
          <w:tcPr>
            <w:tcW w:w="1985" w:type="dxa"/>
            <w:vMerge/>
            <w:shd w:val="clear" w:color="auto" w:fill="auto"/>
            <w:vAlign w:val="center"/>
          </w:tcPr>
          <w:p w14:paraId="591D10F8"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4E7DC3E4" w14:textId="77777777" w:rsidTr="001925BA">
        <w:trPr>
          <w:trHeight w:val="20"/>
        </w:trPr>
        <w:tc>
          <w:tcPr>
            <w:tcW w:w="2787" w:type="dxa"/>
            <w:vMerge/>
            <w:shd w:val="clear" w:color="auto" w:fill="auto"/>
            <w:vAlign w:val="center"/>
          </w:tcPr>
          <w:p w14:paraId="45A5E70A"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089D4274"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140B0B20"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06B679D5"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409" w:type="dxa"/>
            <w:vMerge/>
            <w:shd w:val="clear" w:color="auto" w:fill="auto"/>
            <w:vAlign w:val="center"/>
          </w:tcPr>
          <w:p w14:paraId="216CA47E"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5FEF2D85"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Rata pierderii sau deteriorării ariilor protejate</w:t>
            </w:r>
          </w:p>
        </w:tc>
        <w:tc>
          <w:tcPr>
            <w:tcW w:w="1985" w:type="dxa"/>
            <w:vMerge/>
            <w:shd w:val="clear" w:color="auto" w:fill="auto"/>
            <w:vAlign w:val="center"/>
          </w:tcPr>
          <w:p w14:paraId="75B2268C"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4F11F8A7" w14:textId="77777777" w:rsidTr="001925BA">
        <w:trPr>
          <w:trHeight w:val="20"/>
        </w:trPr>
        <w:tc>
          <w:tcPr>
            <w:tcW w:w="2787" w:type="dxa"/>
            <w:vMerge/>
            <w:shd w:val="clear" w:color="auto" w:fill="auto"/>
            <w:vAlign w:val="center"/>
          </w:tcPr>
          <w:p w14:paraId="49D0E58F"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6E036FB8"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14E1DEB5"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382978C8"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409" w:type="dxa"/>
            <w:vMerge/>
            <w:shd w:val="clear" w:color="auto" w:fill="auto"/>
            <w:vAlign w:val="center"/>
          </w:tcPr>
          <w:p w14:paraId="2A0B5EE2"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1143CFDB"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măsuri incluse în planurile de management care să corespundă dezideratului de conservare a ariilor protejate, a habitatelor naturale și a biodiversității</w:t>
            </w:r>
          </w:p>
        </w:tc>
        <w:tc>
          <w:tcPr>
            <w:tcW w:w="1985" w:type="dxa"/>
            <w:vMerge/>
            <w:shd w:val="clear" w:color="auto" w:fill="auto"/>
            <w:vAlign w:val="center"/>
          </w:tcPr>
          <w:p w14:paraId="7189D088"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1EC8CD4E" w14:textId="77777777" w:rsidTr="001925BA">
        <w:trPr>
          <w:trHeight w:val="20"/>
        </w:trPr>
        <w:tc>
          <w:tcPr>
            <w:tcW w:w="2787" w:type="dxa"/>
            <w:vMerge w:val="restart"/>
            <w:shd w:val="clear" w:color="auto" w:fill="auto"/>
            <w:vAlign w:val="center"/>
          </w:tcPr>
          <w:p w14:paraId="7F7CF342"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D.8 Realizarea de programe  / proiecte pentru reabilitarea activităților tradiționale și valorificarea resursei stuficole din Delta Dunării</w:t>
            </w:r>
          </w:p>
        </w:tc>
        <w:tc>
          <w:tcPr>
            <w:tcW w:w="1999" w:type="dxa"/>
            <w:vMerge w:val="restart"/>
            <w:shd w:val="clear" w:color="auto" w:fill="auto"/>
            <w:vAlign w:val="center"/>
          </w:tcPr>
          <w:p w14:paraId="778D2DF3"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MMAP (prin ARBDD), MCID (Academia Română, INCDDD, INCD GeoEcoMar)</w:t>
            </w:r>
          </w:p>
        </w:tc>
        <w:tc>
          <w:tcPr>
            <w:tcW w:w="1559" w:type="dxa"/>
            <w:vMerge w:val="restart"/>
            <w:shd w:val="clear" w:color="auto" w:fill="auto"/>
            <w:vAlign w:val="center"/>
          </w:tcPr>
          <w:p w14:paraId="7E28B098"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tc>
        <w:tc>
          <w:tcPr>
            <w:tcW w:w="2127" w:type="dxa"/>
            <w:vMerge w:val="restart"/>
            <w:shd w:val="clear" w:color="auto" w:fill="auto"/>
            <w:vAlign w:val="center"/>
          </w:tcPr>
          <w:p w14:paraId="7A0BB804"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procentului suprafaței acoperită de stuf din Delta Dunării exploatată în scop economic, în mod sustenabil;</w:t>
            </w:r>
          </w:p>
          <w:p w14:paraId="2E9F7AF3"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veniturilor generate de exploatarea sustenabilă a resursei stuficole</w:t>
            </w:r>
          </w:p>
        </w:tc>
        <w:tc>
          <w:tcPr>
            <w:tcW w:w="2409" w:type="dxa"/>
            <w:vMerge w:val="restart"/>
            <w:shd w:val="clear" w:color="auto" w:fill="auto"/>
            <w:vAlign w:val="center"/>
          </w:tcPr>
          <w:p w14:paraId="373C7BBE"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2663FC18"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Economie verde / albastră</w:t>
            </w:r>
          </w:p>
        </w:tc>
        <w:tc>
          <w:tcPr>
            <w:tcW w:w="2268" w:type="dxa"/>
            <w:shd w:val="clear" w:color="auto" w:fill="auto"/>
            <w:vAlign w:val="center"/>
          </w:tcPr>
          <w:p w14:paraId="64CAF6EA"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Numărul persoanelor angajate în sectoarele Economiei Albastre</w:t>
            </w:r>
          </w:p>
        </w:tc>
        <w:tc>
          <w:tcPr>
            <w:tcW w:w="1985" w:type="dxa"/>
            <w:vMerge w:val="restart"/>
            <w:shd w:val="clear" w:color="auto" w:fill="auto"/>
            <w:vAlign w:val="center"/>
          </w:tcPr>
          <w:p w14:paraId="596F52D0"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670FD4" w:rsidRPr="00344FCE" w14:paraId="22F9F9DD" w14:textId="77777777" w:rsidTr="001925BA">
        <w:trPr>
          <w:trHeight w:val="20"/>
        </w:trPr>
        <w:tc>
          <w:tcPr>
            <w:tcW w:w="2787" w:type="dxa"/>
            <w:vMerge/>
            <w:shd w:val="clear" w:color="auto" w:fill="auto"/>
            <w:vAlign w:val="center"/>
          </w:tcPr>
          <w:p w14:paraId="1878F7B7"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73C3DACE"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3BADFAEF"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1C808475"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096649FC"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3430F4FB"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Total venituri generate de sectoarele Economiei Albastre</w:t>
            </w:r>
          </w:p>
        </w:tc>
        <w:tc>
          <w:tcPr>
            <w:tcW w:w="1985" w:type="dxa"/>
            <w:vMerge/>
            <w:shd w:val="clear" w:color="auto" w:fill="auto"/>
            <w:vAlign w:val="center"/>
          </w:tcPr>
          <w:p w14:paraId="55331002"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150FEFB4" w14:textId="77777777" w:rsidTr="001925BA">
        <w:trPr>
          <w:trHeight w:val="20"/>
        </w:trPr>
        <w:tc>
          <w:tcPr>
            <w:tcW w:w="2787" w:type="dxa"/>
            <w:vMerge/>
            <w:shd w:val="clear" w:color="auto" w:fill="auto"/>
            <w:vAlign w:val="center"/>
          </w:tcPr>
          <w:p w14:paraId="6AF364A8"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166964EA"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64511D6D"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16E2D630"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val="restart"/>
            <w:shd w:val="clear" w:color="auto" w:fill="auto"/>
            <w:vAlign w:val="center"/>
          </w:tcPr>
          <w:p w14:paraId="173F9F05"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Management eficient al ariilor protejate</w:t>
            </w:r>
          </w:p>
        </w:tc>
        <w:tc>
          <w:tcPr>
            <w:tcW w:w="2268" w:type="dxa"/>
            <w:shd w:val="clear" w:color="auto" w:fill="auto"/>
            <w:vAlign w:val="center"/>
          </w:tcPr>
          <w:p w14:paraId="7EC44367"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Suprafața totală și ponderea zonelor degradate din ariile protejate în urma desfășurării de activității umane</w:t>
            </w:r>
          </w:p>
        </w:tc>
        <w:tc>
          <w:tcPr>
            <w:tcW w:w="1985" w:type="dxa"/>
            <w:vMerge/>
            <w:shd w:val="clear" w:color="auto" w:fill="auto"/>
            <w:vAlign w:val="center"/>
          </w:tcPr>
          <w:p w14:paraId="4A5AB649"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65E72D35" w14:textId="77777777" w:rsidTr="001925BA">
        <w:trPr>
          <w:trHeight w:val="20"/>
        </w:trPr>
        <w:tc>
          <w:tcPr>
            <w:tcW w:w="2787" w:type="dxa"/>
            <w:vMerge/>
            <w:shd w:val="clear" w:color="auto" w:fill="auto"/>
            <w:vAlign w:val="center"/>
          </w:tcPr>
          <w:p w14:paraId="1F6B966C"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7D767264"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440F5945"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1BE0781F"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0D6CFEC1"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2975DC26"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Rata pierderii sau deteriorării ariilor protejate</w:t>
            </w:r>
          </w:p>
        </w:tc>
        <w:tc>
          <w:tcPr>
            <w:tcW w:w="1985" w:type="dxa"/>
            <w:vMerge/>
            <w:shd w:val="clear" w:color="auto" w:fill="auto"/>
            <w:vAlign w:val="center"/>
          </w:tcPr>
          <w:p w14:paraId="298B73D3"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06B53EE8" w14:textId="77777777" w:rsidTr="001925BA">
        <w:trPr>
          <w:trHeight w:val="20"/>
        </w:trPr>
        <w:tc>
          <w:tcPr>
            <w:tcW w:w="2787" w:type="dxa"/>
            <w:vMerge/>
            <w:shd w:val="clear" w:color="auto" w:fill="auto"/>
            <w:vAlign w:val="center"/>
          </w:tcPr>
          <w:p w14:paraId="70BE3600"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4C2A7F7B"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156977AA"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0A207068"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1984E960"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1AF9C611"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Număr de măsuri incluse în planurile de management care să corespundă dezideratului de conservare a ariilor </w:t>
            </w:r>
            <w:r w:rsidRPr="00344FCE">
              <w:rPr>
                <w:rFonts w:eastAsia="Times New Roman" w:cs="Times New Roman"/>
                <w:kern w:val="0"/>
                <w:sz w:val="22"/>
                <w:szCs w:val="22"/>
                <w:lang w:val="ro-RO"/>
              </w:rPr>
              <w:lastRenderedPageBreak/>
              <w:t>protejate, a habitatelor naturale și a biodiversității</w:t>
            </w:r>
          </w:p>
        </w:tc>
        <w:tc>
          <w:tcPr>
            <w:tcW w:w="1985" w:type="dxa"/>
            <w:vMerge/>
            <w:shd w:val="clear" w:color="auto" w:fill="auto"/>
            <w:vAlign w:val="center"/>
          </w:tcPr>
          <w:p w14:paraId="7B304ADF"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0DC32F8D" w14:textId="77777777" w:rsidTr="001925BA">
        <w:trPr>
          <w:trHeight w:val="20"/>
        </w:trPr>
        <w:tc>
          <w:tcPr>
            <w:tcW w:w="2787" w:type="dxa"/>
            <w:vMerge w:val="restart"/>
            <w:shd w:val="clear" w:color="auto" w:fill="auto"/>
            <w:vAlign w:val="center"/>
          </w:tcPr>
          <w:p w14:paraId="723B015A"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D.9 Implementarea de programe de conștientizare și susținere a producătorilor agricoli privind beneficiile aplicării în  practică a noilor politici agricole</w:t>
            </w:r>
          </w:p>
        </w:tc>
        <w:tc>
          <w:tcPr>
            <w:tcW w:w="1999" w:type="dxa"/>
            <w:vMerge w:val="restart"/>
            <w:shd w:val="clear" w:color="auto" w:fill="auto"/>
            <w:vAlign w:val="center"/>
          </w:tcPr>
          <w:p w14:paraId="5CAFC6F0"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MADR</w:t>
            </w:r>
          </w:p>
        </w:tc>
        <w:tc>
          <w:tcPr>
            <w:tcW w:w="1559" w:type="dxa"/>
            <w:vMerge w:val="restart"/>
            <w:shd w:val="clear" w:color="auto" w:fill="auto"/>
            <w:vAlign w:val="center"/>
          </w:tcPr>
          <w:p w14:paraId="5E6FDF18"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tc>
        <w:tc>
          <w:tcPr>
            <w:tcW w:w="2127" w:type="dxa"/>
            <w:vMerge w:val="restart"/>
            <w:shd w:val="clear" w:color="auto" w:fill="auto"/>
            <w:vAlign w:val="center"/>
          </w:tcPr>
          <w:p w14:paraId="04CE89DE"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procentului producției agricole ecologice din totalul producției agricole</w:t>
            </w:r>
          </w:p>
          <w:p w14:paraId="028BBD94"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Reducerea cantității de deșeuri rezultate din activități agricole</w:t>
            </w:r>
          </w:p>
        </w:tc>
        <w:tc>
          <w:tcPr>
            <w:tcW w:w="2409" w:type="dxa"/>
            <w:vMerge w:val="restart"/>
            <w:shd w:val="clear" w:color="auto" w:fill="auto"/>
            <w:vAlign w:val="center"/>
          </w:tcPr>
          <w:p w14:paraId="45F48585"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50B32658"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Agricultură sustenabilă</w:t>
            </w:r>
          </w:p>
          <w:p w14:paraId="03D2E573"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4CB91A55"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Procentul de teren agricol utilizat pentru agricultura ecologică</w:t>
            </w:r>
          </w:p>
        </w:tc>
        <w:tc>
          <w:tcPr>
            <w:tcW w:w="1985" w:type="dxa"/>
            <w:vMerge w:val="restart"/>
            <w:shd w:val="clear" w:color="auto" w:fill="auto"/>
            <w:vAlign w:val="center"/>
          </w:tcPr>
          <w:p w14:paraId="74341980"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670FD4" w:rsidRPr="00344FCE" w14:paraId="2FAEF261" w14:textId="77777777" w:rsidTr="001925BA">
        <w:trPr>
          <w:trHeight w:val="20"/>
        </w:trPr>
        <w:tc>
          <w:tcPr>
            <w:tcW w:w="2787" w:type="dxa"/>
            <w:vMerge/>
            <w:shd w:val="clear" w:color="auto" w:fill="auto"/>
            <w:vAlign w:val="center"/>
          </w:tcPr>
          <w:p w14:paraId="1403E501"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7475145A"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4A9ABB5A"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2D1252E0" w14:textId="77777777" w:rsidR="00670FD4" w:rsidRPr="00344FCE" w:rsidRDefault="00670FD4" w:rsidP="001925BA">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auto"/>
            <w:vAlign w:val="center"/>
          </w:tcPr>
          <w:p w14:paraId="3302136C"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71AFEAFA"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Procentul de teren  agricol utilizat intensiv</w:t>
            </w:r>
          </w:p>
        </w:tc>
        <w:tc>
          <w:tcPr>
            <w:tcW w:w="1985" w:type="dxa"/>
            <w:vMerge/>
            <w:shd w:val="clear" w:color="auto" w:fill="auto"/>
            <w:vAlign w:val="center"/>
          </w:tcPr>
          <w:p w14:paraId="04D6635F"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4299C697" w14:textId="77777777" w:rsidTr="001925BA">
        <w:trPr>
          <w:trHeight w:val="20"/>
        </w:trPr>
        <w:tc>
          <w:tcPr>
            <w:tcW w:w="2787" w:type="dxa"/>
            <w:vMerge/>
            <w:shd w:val="clear" w:color="auto" w:fill="auto"/>
            <w:vAlign w:val="center"/>
          </w:tcPr>
          <w:p w14:paraId="659535EC"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284291E7"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1CE4055D"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72AE8E55" w14:textId="77777777" w:rsidR="00670FD4" w:rsidRPr="00344FCE" w:rsidRDefault="00670FD4" w:rsidP="001925BA">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shd w:val="clear" w:color="auto" w:fill="auto"/>
            <w:vAlign w:val="center"/>
          </w:tcPr>
          <w:p w14:paraId="2D975302"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Poluare cu substanțe periculoase</w:t>
            </w:r>
          </w:p>
        </w:tc>
        <w:tc>
          <w:tcPr>
            <w:tcW w:w="2268" w:type="dxa"/>
            <w:shd w:val="clear" w:color="auto" w:fill="auto"/>
            <w:vAlign w:val="center"/>
          </w:tcPr>
          <w:p w14:paraId="21583E95"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Concentrații ale substanțelor periculoase în soluri</w:t>
            </w:r>
          </w:p>
        </w:tc>
        <w:tc>
          <w:tcPr>
            <w:tcW w:w="1985" w:type="dxa"/>
            <w:vMerge/>
            <w:shd w:val="clear" w:color="auto" w:fill="auto"/>
            <w:vAlign w:val="center"/>
          </w:tcPr>
          <w:p w14:paraId="51659F36"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4D9CA60B" w14:textId="77777777" w:rsidTr="001925BA">
        <w:trPr>
          <w:trHeight w:val="20"/>
        </w:trPr>
        <w:tc>
          <w:tcPr>
            <w:tcW w:w="2787" w:type="dxa"/>
            <w:shd w:val="clear" w:color="auto" w:fill="auto"/>
            <w:vAlign w:val="center"/>
          </w:tcPr>
          <w:p w14:paraId="20645EE2"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D.10 Implementarea proiectelor de transport fluvial verde în Delta Dunării</w:t>
            </w:r>
          </w:p>
        </w:tc>
        <w:tc>
          <w:tcPr>
            <w:tcW w:w="1999" w:type="dxa"/>
            <w:shd w:val="clear" w:color="auto" w:fill="auto"/>
            <w:vAlign w:val="center"/>
          </w:tcPr>
          <w:p w14:paraId="4598B747"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MTI, MCID</w:t>
            </w:r>
          </w:p>
        </w:tc>
        <w:tc>
          <w:tcPr>
            <w:tcW w:w="1559" w:type="dxa"/>
            <w:shd w:val="clear" w:color="auto" w:fill="auto"/>
            <w:vAlign w:val="center"/>
          </w:tcPr>
          <w:p w14:paraId="0EBBFAF5"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shd w:val="clear" w:color="auto" w:fill="auto"/>
            <w:vAlign w:val="center"/>
          </w:tcPr>
          <w:p w14:paraId="5C974C83"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raportului ambarcațiuni nepoluante / ambarcațiuni poluante în Delta Dunării</w:t>
            </w:r>
          </w:p>
        </w:tc>
        <w:tc>
          <w:tcPr>
            <w:tcW w:w="2409" w:type="dxa"/>
            <w:shd w:val="clear" w:color="auto" w:fill="auto"/>
            <w:vAlign w:val="center"/>
          </w:tcPr>
          <w:p w14:paraId="335F30AE"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Transport sustenabil</w:t>
            </w:r>
          </w:p>
          <w:p w14:paraId="65DB5D0C"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2B8D8D65"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Procentul de ambarcațiuni ce folosesc surse alternative de energie</w:t>
            </w:r>
          </w:p>
        </w:tc>
        <w:tc>
          <w:tcPr>
            <w:tcW w:w="1985" w:type="dxa"/>
            <w:shd w:val="clear" w:color="auto" w:fill="auto"/>
            <w:vAlign w:val="center"/>
          </w:tcPr>
          <w:p w14:paraId="70763514"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01DF34DC"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p w14:paraId="6AFB814F"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2034</w:t>
            </w:r>
          </w:p>
        </w:tc>
      </w:tr>
      <w:tr w:rsidR="00670FD4" w:rsidRPr="00344FCE" w14:paraId="2D6BCC6C" w14:textId="77777777" w:rsidTr="001925BA">
        <w:trPr>
          <w:trHeight w:val="20"/>
        </w:trPr>
        <w:tc>
          <w:tcPr>
            <w:tcW w:w="2787" w:type="dxa"/>
            <w:vMerge w:val="restart"/>
            <w:shd w:val="clear" w:color="auto" w:fill="auto"/>
            <w:vAlign w:val="center"/>
          </w:tcPr>
          <w:p w14:paraId="0D9AC599"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D.11 Evaluarea potențialului de valorificare a resurselor energetice regenerabile din zonă: energia eoliană, “inshore” și „offshore”, energia valurilor, fotovoltaică, etc.</w:t>
            </w:r>
          </w:p>
        </w:tc>
        <w:tc>
          <w:tcPr>
            <w:tcW w:w="1999" w:type="dxa"/>
            <w:vMerge w:val="restart"/>
            <w:shd w:val="clear" w:color="auto" w:fill="auto"/>
            <w:vAlign w:val="center"/>
          </w:tcPr>
          <w:p w14:paraId="059B2AA5"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Pr>
                <w:rFonts w:eastAsia="Times New Roman" w:cs="Times New Roman"/>
                <w:kern w:val="0"/>
                <w:sz w:val="22"/>
                <w:szCs w:val="22"/>
                <w:lang w:val="ro-RO"/>
              </w:rPr>
              <w:t>Ministerul Energiei</w:t>
            </w:r>
            <w:r w:rsidRPr="00344FCE">
              <w:rPr>
                <w:rFonts w:eastAsia="Times New Roman" w:cs="Times New Roman"/>
                <w:kern w:val="0"/>
                <w:sz w:val="22"/>
                <w:szCs w:val="22"/>
                <w:lang w:val="ro-RO"/>
              </w:rPr>
              <w:t>, MCDI, ME</w:t>
            </w:r>
          </w:p>
        </w:tc>
        <w:tc>
          <w:tcPr>
            <w:tcW w:w="1559" w:type="dxa"/>
            <w:vMerge w:val="restart"/>
            <w:shd w:val="clear" w:color="auto" w:fill="auto"/>
            <w:vAlign w:val="center"/>
          </w:tcPr>
          <w:p w14:paraId="2CBFA7ED"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Pr>
                <w:rFonts w:eastAsia="Times New Roman" w:cs="Times New Roman"/>
                <w:kern w:val="0"/>
                <w:sz w:val="22"/>
                <w:szCs w:val="22"/>
                <w:lang w:val="ro-RO"/>
              </w:rPr>
              <w:t>2027</w:t>
            </w:r>
          </w:p>
        </w:tc>
        <w:tc>
          <w:tcPr>
            <w:tcW w:w="2127" w:type="dxa"/>
            <w:vMerge w:val="restart"/>
            <w:shd w:val="clear" w:color="auto" w:fill="auto"/>
            <w:vAlign w:val="center"/>
          </w:tcPr>
          <w:p w14:paraId="4F99FA7A"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ponderii energiei electrice provenită din surse regenerabile, neconvenționale</w:t>
            </w:r>
          </w:p>
        </w:tc>
        <w:tc>
          <w:tcPr>
            <w:tcW w:w="2409" w:type="dxa"/>
            <w:vMerge w:val="restart"/>
            <w:shd w:val="clear" w:color="auto" w:fill="auto"/>
            <w:vAlign w:val="center"/>
          </w:tcPr>
          <w:p w14:paraId="612AE9D1"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Economie verde / albastră</w:t>
            </w:r>
          </w:p>
        </w:tc>
        <w:tc>
          <w:tcPr>
            <w:tcW w:w="2268" w:type="dxa"/>
            <w:shd w:val="clear" w:color="auto" w:fill="auto"/>
            <w:vAlign w:val="center"/>
          </w:tcPr>
          <w:p w14:paraId="4658EC6A"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Numărul persoanelor angajate în sectoarele Economiei Albastre – energie verde</w:t>
            </w:r>
          </w:p>
        </w:tc>
        <w:tc>
          <w:tcPr>
            <w:tcW w:w="1985" w:type="dxa"/>
            <w:vMerge w:val="restart"/>
            <w:shd w:val="clear" w:color="auto" w:fill="auto"/>
            <w:vAlign w:val="center"/>
          </w:tcPr>
          <w:p w14:paraId="5C727127"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670FD4" w:rsidRPr="00344FCE" w14:paraId="169E427F" w14:textId="77777777" w:rsidTr="001925BA">
        <w:trPr>
          <w:trHeight w:val="20"/>
        </w:trPr>
        <w:tc>
          <w:tcPr>
            <w:tcW w:w="2787" w:type="dxa"/>
            <w:vMerge/>
            <w:shd w:val="clear" w:color="auto" w:fill="auto"/>
            <w:vAlign w:val="center"/>
          </w:tcPr>
          <w:p w14:paraId="1B8E0A40"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332C09E0"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3B839AEF"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42DBA462" w14:textId="77777777" w:rsidR="00670FD4" w:rsidRPr="00344FCE" w:rsidRDefault="00670FD4" w:rsidP="001925BA">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auto"/>
            <w:vAlign w:val="center"/>
          </w:tcPr>
          <w:p w14:paraId="7F3E0A1B"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0A16AB18"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Total venituri generate de sectoarele Economiei Albastre – energie verde</w:t>
            </w:r>
          </w:p>
        </w:tc>
        <w:tc>
          <w:tcPr>
            <w:tcW w:w="1985" w:type="dxa"/>
            <w:vMerge/>
            <w:shd w:val="clear" w:color="auto" w:fill="auto"/>
            <w:vAlign w:val="center"/>
          </w:tcPr>
          <w:p w14:paraId="22AE5FCF"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7542DF70" w14:textId="77777777" w:rsidTr="001925BA">
        <w:trPr>
          <w:trHeight w:val="20"/>
        </w:trPr>
        <w:tc>
          <w:tcPr>
            <w:tcW w:w="2787" w:type="dxa"/>
            <w:vMerge w:val="restart"/>
            <w:shd w:val="clear" w:color="auto" w:fill="auto"/>
            <w:vAlign w:val="center"/>
          </w:tcPr>
          <w:p w14:paraId="5069C1C0"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D.12 Susținerea și dezvoltarea de noi instrumente (centre de excelență, proiecte pilot, servicii de extensie oferite de către universități, etc) pentru transferul cunoștințelor  din cercetare spre business în sectoarele Blue Economy</w:t>
            </w:r>
          </w:p>
        </w:tc>
        <w:tc>
          <w:tcPr>
            <w:tcW w:w="1999" w:type="dxa"/>
            <w:vMerge w:val="restart"/>
            <w:shd w:val="clear" w:color="auto" w:fill="auto"/>
            <w:vAlign w:val="center"/>
          </w:tcPr>
          <w:p w14:paraId="043AC4C3"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MCID (INCDM Grigore Antipa, INCDDD, INCD GeoEcoMar, Academia Român</w:t>
            </w:r>
            <w:r>
              <w:rPr>
                <w:rFonts w:eastAsia="Times New Roman" w:cs="Times New Roman"/>
                <w:kern w:val="0"/>
                <w:sz w:val="22"/>
                <w:szCs w:val="22"/>
                <w:lang w:val="ro-RO"/>
              </w:rPr>
              <w:t>ă), ME (UOC, UAIC, UB</w:t>
            </w:r>
            <w:r w:rsidRPr="00344FCE">
              <w:rPr>
                <w:rFonts w:eastAsia="Times New Roman" w:cs="Times New Roman"/>
                <w:kern w:val="0"/>
                <w:sz w:val="22"/>
                <w:szCs w:val="22"/>
                <w:lang w:val="ro-RO"/>
              </w:rPr>
              <w:t>)</w:t>
            </w:r>
          </w:p>
        </w:tc>
        <w:tc>
          <w:tcPr>
            <w:tcW w:w="1559" w:type="dxa"/>
            <w:vMerge w:val="restart"/>
            <w:shd w:val="clear" w:color="auto" w:fill="auto"/>
            <w:vAlign w:val="center"/>
          </w:tcPr>
          <w:p w14:paraId="5D9B106E"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vMerge w:val="restart"/>
            <w:shd w:val="clear" w:color="auto" w:fill="auto"/>
            <w:vAlign w:val="center"/>
          </w:tcPr>
          <w:p w14:paraId="20D23084"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gradului de valorificare a rezultatelor cercetării prin transfer tehnologic</w:t>
            </w:r>
          </w:p>
        </w:tc>
        <w:tc>
          <w:tcPr>
            <w:tcW w:w="2409" w:type="dxa"/>
            <w:vMerge w:val="restart"/>
            <w:shd w:val="clear" w:color="auto" w:fill="auto"/>
            <w:vAlign w:val="center"/>
          </w:tcPr>
          <w:p w14:paraId="3A9C08A7"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Economie verde / albastră</w:t>
            </w:r>
          </w:p>
        </w:tc>
        <w:tc>
          <w:tcPr>
            <w:tcW w:w="2268" w:type="dxa"/>
            <w:shd w:val="clear" w:color="auto" w:fill="auto"/>
            <w:vAlign w:val="center"/>
          </w:tcPr>
          <w:p w14:paraId="0F04BA33"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Numărul persoanelor angajate în sectoarele Economiei Albastre - biotehnologii</w:t>
            </w:r>
          </w:p>
        </w:tc>
        <w:tc>
          <w:tcPr>
            <w:tcW w:w="1985" w:type="dxa"/>
            <w:vMerge w:val="restart"/>
            <w:shd w:val="clear" w:color="auto" w:fill="auto"/>
            <w:vAlign w:val="center"/>
          </w:tcPr>
          <w:p w14:paraId="4367ED9A"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0512F3D5"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4320DF69"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p w14:paraId="5F279F5A"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0E19223B"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2034</w:t>
            </w:r>
          </w:p>
        </w:tc>
      </w:tr>
      <w:tr w:rsidR="00670FD4" w:rsidRPr="00344FCE" w14:paraId="72D98BDF" w14:textId="77777777" w:rsidTr="001925BA">
        <w:trPr>
          <w:trHeight w:val="20"/>
        </w:trPr>
        <w:tc>
          <w:tcPr>
            <w:tcW w:w="2787" w:type="dxa"/>
            <w:vMerge/>
            <w:shd w:val="clear" w:color="auto" w:fill="auto"/>
            <w:vAlign w:val="center"/>
          </w:tcPr>
          <w:p w14:paraId="2182B9C2"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2F1D1AE0"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0A9CBD39"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3A13EFE0"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29E638BF"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001BBF19"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Total venituri generate de sectoarele Economiei Albastre – biotehnologii</w:t>
            </w:r>
          </w:p>
        </w:tc>
        <w:tc>
          <w:tcPr>
            <w:tcW w:w="1985" w:type="dxa"/>
            <w:vMerge/>
            <w:shd w:val="clear" w:color="auto" w:fill="auto"/>
            <w:vAlign w:val="center"/>
          </w:tcPr>
          <w:p w14:paraId="437ECF0A"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5AD8C27A" w14:textId="77777777" w:rsidTr="001925BA">
        <w:trPr>
          <w:trHeight w:val="20"/>
        </w:trPr>
        <w:tc>
          <w:tcPr>
            <w:tcW w:w="2787" w:type="dxa"/>
            <w:vMerge w:val="restart"/>
            <w:tcBorders>
              <w:top w:val="single" w:sz="4" w:space="0" w:color="000000"/>
              <w:left w:val="single" w:sz="4" w:space="0" w:color="000000"/>
              <w:right w:val="single" w:sz="4" w:space="0" w:color="000000"/>
            </w:tcBorders>
            <w:vAlign w:val="center"/>
          </w:tcPr>
          <w:p w14:paraId="1ED7DF0D"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cs="Times New Roman"/>
                <w:color w:val="000000"/>
                <w:kern w:val="0"/>
                <w:sz w:val="22"/>
                <w:szCs w:val="22"/>
                <w:lang w:val="ro-RO"/>
              </w:rPr>
              <w:lastRenderedPageBreak/>
              <w:t>D.13 Dezvoltarea programelor/proiectelor privind porturile “verzi” de la litoralul românesc al Mării Negre</w:t>
            </w:r>
          </w:p>
        </w:tc>
        <w:tc>
          <w:tcPr>
            <w:tcW w:w="1999" w:type="dxa"/>
            <w:vMerge w:val="restart"/>
            <w:tcBorders>
              <w:top w:val="single" w:sz="4" w:space="0" w:color="000000"/>
              <w:left w:val="single" w:sz="4" w:space="0" w:color="000000"/>
              <w:right w:val="single" w:sz="4" w:space="0" w:color="000000"/>
            </w:tcBorders>
            <w:vAlign w:val="center"/>
          </w:tcPr>
          <w:p w14:paraId="5A94C512"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cs="Times New Roman"/>
                <w:color w:val="000000"/>
                <w:kern w:val="0"/>
                <w:sz w:val="22"/>
                <w:szCs w:val="22"/>
                <w:lang w:val="ro-RO"/>
              </w:rPr>
              <w:t>CN APM, MT</w:t>
            </w:r>
          </w:p>
        </w:tc>
        <w:tc>
          <w:tcPr>
            <w:tcW w:w="1559" w:type="dxa"/>
            <w:vMerge w:val="restart"/>
            <w:tcBorders>
              <w:top w:val="single" w:sz="4" w:space="0" w:color="000000"/>
              <w:left w:val="single" w:sz="4" w:space="0" w:color="000000"/>
              <w:right w:val="single" w:sz="4" w:space="0" w:color="000000"/>
            </w:tcBorders>
            <w:vAlign w:val="center"/>
          </w:tcPr>
          <w:p w14:paraId="18592B18"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cs="Times New Roman"/>
                <w:color w:val="000000"/>
                <w:kern w:val="0"/>
                <w:sz w:val="22"/>
                <w:szCs w:val="22"/>
                <w:lang w:val="ro-RO"/>
              </w:rPr>
              <w:t>2040</w:t>
            </w:r>
          </w:p>
        </w:tc>
        <w:tc>
          <w:tcPr>
            <w:tcW w:w="2127" w:type="dxa"/>
            <w:vMerge w:val="restart"/>
            <w:shd w:val="clear" w:color="auto" w:fill="auto"/>
            <w:vAlign w:val="center"/>
          </w:tcPr>
          <w:p w14:paraId="2FD6EC3F"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Reducerea emisiilor de gaze cu efect de seră</w:t>
            </w:r>
          </w:p>
          <w:p w14:paraId="6331ED06"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Reducerea emisiilor de poluanți atmosferici</w:t>
            </w:r>
          </w:p>
          <w:p w14:paraId="0D5EEB9B"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Reducerea cantității de deșeuri rezultate din activitățile portuare și transport maritim;</w:t>
            </w:r>
          </w:p>
          <w:p w14:paraId="0D81466B"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Reducerea emisiilor de poluanți în apă</w:t>
            </w:r>
          </w:p>
          <w:p w14:paraId="337737AF"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Creșterea numărului de locuri de muncă generată de dezvoltarea verde a porturilor maritime;</w:t>
            </w:r>
          </w:p>
          <w:p w14:paraId="7FA012FB"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Creșterea veniturilor generate de dezvoltarea verde a porturilor maritime.</w:t>
            </w:r>
          </w:p>
        </w:tc>
        <w:tc>
          <w:tcPr>
            <w:tcW w:w="2409" w:type="dxa"/>
            <w:vMerge w:val="restart"/>
            <w:shd w:val="clear" w:color="auto" w:fill="auto"/>
            <w:vAlign w:val="center"/>
          </w:tcPr>
          <w:p w14:paraId="3B05224B" w14:textId="77777777" w:rsidR="00670FD4" w:rsidRPr="00344FCE" w:rsidRDefault="00670FD4" w:rsidP="001925BA">
            <w:pPr>
              <w:spacing w:before="0" w:after="0" w:line="240" w:lineRule="auto"/>
              <w:ind w:firstLine="0"/>
              <w:rPr>
                <w:rFonts w:cs="Times New Roman"/>
                <w:color w:val="000000"/>
                <w:kern w:val="0"/>
                <w:sz w:val="22"/>
                <w:szCs w:val="22"/>
                <w:lang w:val="ro-RO"/>
              </w:rPr>
            </w:pPr>
          </w:p>
          <w:p w14:paraId="4F015B81"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cs="Times New Roman"/>
                <w:color w:val="000000"/>
                <w:kern w:val="0"/>
                <w:sz w:val="22"/>
                <w:szCs w:val="22"/>
                <w:lang w:val="ro-RO"/>
              </w:rPr>
              <w:t>Economie verde / albastră</w:t>
            </w:r>
          </w:p>
        </w:tc>
        <w:tc>
          <w:tcPr>
            <w:tcW w:w="2268" w:type="dxa"/>
            <w:shd w:val="clear" w:color="auto" w:fill="auto"/>
            <w:vAlign w:val="center"/>
          </w:tcPr>
          <w:p w14:paraId="02204FEA" w14:textId="77777777" w:rsidR="00670FD4" w:rsidRPr="00344FCE" w:rsidRDefault="00670FD4" w:rsidP="001925BA">
            <w:pPr>
              <w:spacing w:before="0" w:after="0" w:line="240" w:lineRule="auto"/>
              <w:ind w:firstLine="0"/>
              <w:rPr>
                <w:rFonts w:cs="Times New Roman"/>
                <w:kern w:val="0"/>
                <w:sz w:val="22"/>
                <w:szCs w:val="22"/>
                <w:lang w:val="ro-RO"/>
              </w:rPr>
            </w:pPr>
            <w:r w:rsidRPr="00344FCE">
              <w:rPr>
                <w:rFonts w:cs="Times New Roman"/>
                <w:color w:val="000000"/>
                <w:kern w:val="0"/>
                <w:sz w:val="22"/>
                <w:szCs w:val="22"/>
                <w:lang w:val="ro-RO"/>
              </w:rPr>
              <w:t>Numărul persoanelor angajate în sectoarele Economiei Albastre - biotehnologii</w:t>
            </w:r>
          </w:p>
        </w:tc>
        <w:tc>
          <w:tcPr>
            <w:tcW w:w="1985" w:type="dxa"/>
            <w:vMerge w:val="restart"/>
            <w:shd w:val="clear" w:color="auto" w:fill="auto"/>
            <w:vAlign w:val="center"/>
          </w:tcPr>
          <w:p w14:paraId="2CA674A3"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08D566A4"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7DCF4863"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p w14:paraId="1419019E"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1E5FC36C"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2034</w:t>
            </w:r>
          </w:p>
        </w:tc>
      </w:tr>
      <w:tr w:rsidR="00670FD4" w:rsidRPr="00344FCE" w14:paraId="29C4263C" w14:textId="77777777" w:rsidTr="001925BA">
        <w:trPr>
          <w:trHeight w:val="20"/>
        </w:trPr>
        <w:tc>
          <w:tcPr>
            <w:tcW w:w="2787" w:type="dxa"/>
            <w:vMerge/>
            <w:tcBorders>
              <w:left w:val="single" w:sz="4" w:space="0" w:color="000000"/>
              <w:right w:val="single" w:sz="4" w:space="0" w:color="000000"/>
            </w:tcBorders>
            <w:vAlign w:val="center"/>
          </w:tcPr>
          <w:p w14:paraId="48A99DA8" w14:textId="77777777" w:rsidR="00670FD4" w:rsidRPr="00344FCE" w:rsidRDefault="00670FD4" w:rsidP="001925BA">
            <w:pPr>
              <w:spacing w:before="0" w:after="0" w:line="240" w:lineRule="auto"/>
              <w:ind w:firstLine="0"/>
              <w:rPr>
                <w:rFonts w:cs="Times New Roman"/>
                <w:color w:val="000000"/>
                <w:kern w:val="0"/>
                <w:sz w:val="22"/>
                <w:szCs w:val="22"/>
                <w:lang w:val="ro-RO"/>
              </w:rPr>
            </w:pPr>
          </w:p>
        </w:tc>
        <w:tc>
          <w:tcPr>
            <w:tcW w:w="1999" w:type="dxa"/>
            <w:vMerge/>
            <w:tcBorders>
              <w:left w:val="single" w:sz="4" w:space="0" w:color="000000"/>
              <w:right w:val="single" w:sz="4" w:space="0" w:color="000000"/>
            </w:tcBorders>
            <w:vAlign w:val="center"/>
          </w:tcPr>
          <w:p w14:paraId="2E121FFB" w14:textId="77777777" w:rsidR="00670FD4" w:rsidRPr="00344FCE" w:rsidRDefault="00670FD4" w:rsidP="001925BA">
            <w:pPr>
              <w:spacing w:before="0" w:after="0" w:line="240" w:lineRule="auto"/>
              <w:ind w:firstLine="0"/>
              <w:jc w:val="center"/>
              <w:rPr>
                <w:rFonts w:cs="Times New Roman"/>
                <w:color w:val="000000"/>
                <w:kern w:val="0"/>
                <w:sz w:val="22"/>
                <w:szCs w:val="22"/>
                <w:lang w:val="ro-RO"/>
              </w:rPr>
            </w:pPr>
          </w:p>
        </w:tc>
        <w:tc>
          <w:tcPr>
            <w:tcW w:w="1559" w:type="dxa"/>
            <w:vMerge/>
            <w:tcBorders>
              <w:left w:val="single" w:sz="4" w:space="0" w:color="000000"/>
              <w:right w:val="single" w:sz="4" w:space="0" w:color="000000"/>
            </w:tcBorders>
            <w:vAlign w:val="center"/>
          </w:tcPr>
          <w:p w14:paraId="0861B3E2" w14:textId="77777777" w:rsidR="00670FD4" w:rsidRPr="00344FCE" w:rsidRDefault="00670FD4" w:rsidP="001925BA">
            <w:pPr>
              <w:spacing w:before="0" w:after="0" w:line="240" w:lineRule="auto"/>
              <w:ind w:firstLine="0"/>
              <w:jc w:val="center"/>
              <w:rPr>
                <w:rFonts w:cs="Times New Roman"/>
                <w:color w:val="000000"/>
                <w:kern w:val="0"/>
                <w:sz w:val="22"/>
                <w:szCs w:val="22"/>
                <w:lang w:val="ro-RO"/>
              </w:rPr>
            </w:pPr>
          </w:p>
        </w:tc>
        <w:tc>
          <w:tcPr>
            <w:tcW w:w="2127" w:type="dxa"/>
            <w:vMerge/>
            <w:shd w:val="clear" w:color="auto" w:fill="auto"/>
            <w:vAlign w:val="center"/>
          </w:tcPr>
          <w:p w14:paraId="273E9475"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26D21E8D" w14:textId="77777777" w:rsidR="00670FD4" w:rsidRPr="00344FCE" w:rsidRDefault="00670FD4" w:rsidP="001925BA">
            <w:pPr>
              <w:spacing w:before="0" w:after="0" w:line="240" w:lineRule="auto"/>
              <w:ind w:firstLine="0"/>
              <w:rPr>
                <w:rFonts w:cs="Times New Roman"/>
                <w:color w:val="000000"/>
                <w:kern w:val="0"/>
                <w:sz w:val="22"/>
                <w:szCs w:val="22"/>
                <w:lang w:val="ro-RO"/>
              </w:rPr>
            </w:pPr>
          </w:p>
        </w:tc>
        <w:tc>
          <w:tcPr>
            <w:tcW w:w="2268" w:type="dxa"/>
            <w:shd w:val="clear" w:color="auto" w:fill="auto"/>
            <w:vAlign w:val="center"/>
          </w:tcPr>
          <w:p w14:paraId="65EADD17" w14:textId="77777777" w:rsidR="00670FD4" w:rsidRPr="00344FCE" w:rsidRDefault="00670FD4" w:rsidP="001925BA">
            <w:pPr>
              <w:spacing w:before="0" w:after="0" w:line="240" w:lineRule="auto"/>
              <w:ind w:firstLine="0"/>
              <w:rPr>
                <w:rFonts w:cs="Times New Roman"/>
                <w:kern w:val="0"/>
                <w:sz w:val="22"/>
                <w:szCs w:val="22"/>
                <w:lang w:val="ro-RO"/>
              </w:rPr>
            </w:pPr>
            <w:r w:rsidRPr="00344FCE">
              <w:rPr>
                <w:rFonts w:cs="Times New Roman"/>
                <w:color w:val="000000"/>
                <w:kern w:val="0"/>
                <w:sz w:val="22"/>
                <w:szCs w:val="22"/>
                <w:lang w:val="ro-RO"/>
              </w:rPr>
              <w:t>Total venituri generate de sectoarele Economiei Albastre – biotehnologii</w:t>
            </w:r>
          </w:p>
        </w:tc>
        <w:tc>
          <w:tcPr>
            <w:tcW w:w="1985" w:type="dxa"/>
            <w:vMerge/>
            <w:shd w:val="clear" w:color="auto" w:fill="auto"/>
            <w:vAlign w:val="center"/>
          </w:tcPr>
          <w:p w14:paraId="7E309B56"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r>
      <w:tr w:rsidR="00670FD4" w:rsidRPr="00344FCE" w14:paraId="117A5D14" w14:textId="77777777" w:rsidTr="001925BA">
        <w:trPr>
          <w:trHeight w:val="20"/>
        </w:trPr>
        <w:tc>
          <w:tcPr>
            <w:tcW w:w="2787" w:type="dxa"/>
            <w:vMerge/>
            <w:tcBorders>
              <w:left w:val="single" w:sz="4" w:space="0" w:color="000000"/>
              <w:right w:val="single" w:sz="4" w:space="0" w:color="000000"/>
            </w:tcBorders>
            <w:vAlign w:val="center"/>
          </w:tcPr>
          <w:p w14:paraId="64FB862A" w14:textId="77777777" w:rsidR="00670FD4" w:rsidRPr="00344FCE" w:rsidRDefault="00670FD4" w:rsidP="001925BA">
            <w:pPr>
              <w:spacing w:before="0" w:after="0" w:line="240" w:lineRule="auto"/>
              <w:ind w:firstLine="0"/>
              <w:rPr>
                <w:rFonts w:cs="Times New Roman"/>
                <w:color w:val="000000"/>
                <w:kern w:val="0"/>
                <w:sz w:val="22"/>
                <w:szCs w:val="22"/>
                <w:lang w:val="ro-RO"/>
              </w:rPr>
            </w:pPr>
          </w:p>
        </w:tc>
        <w:tc>
          <w:tcPr>
            <w:tcW w:w="1999" w:type="dxa"/>
            <w:vMerge/>
            <w:tcBorders>
              <w:left w:val="single" w:sz="4" w:space="0" w:color="000000"/>
              <w:right w:val="single" w:sz="4" w:space="0" w:color="000000"/>
            </w:tcBorders>
            <w:vAlign w:val="center"/>
          </w:tcPr>
          <w:p w14:paraId="2056E635" w14:textId="77777777" w:rsidR="00670FD4" w:rsidRPr="00344FCE" w:rsidRDefault="00670FD4" w:rsidP="001925BA">
            <w:pPr>
              <w:spacing w:before="0" w:after="0" w:line="240" w:lineRule="auto"/>
              <w:ind w:firstLine="0"/>
              <w:jc w:val="center"/>
              <w:rPr>
                <w:rFonts w:cs="Times New Roman"/>
                <w:color w:val="000000"/>
                <w:kern w:val="0"/>
                <w:sz w:val="22"/>
                <w:szCs w:val="22"/>
                <w:lang w:val="ro-RO"/>
              </w:rPr>
            </w:pPr>
          </w:p>
        </w:tc>
        <w:tc>
          <w:tcPr>
            <w:tcW w:w="1559" w:type="dxa"/>
            <w:vMerge/>
            <w:tcBorders>
              <w:left w:val="single" w:sz="4" w:space="0" w:color="000000"/>
              <w:right w:val="single" w:sz="4" w:space="0" w:color="000000"/>
            </w:tcBorders>
            <w:vAlign w:val="center"/>
          </w:tcPr>
          <w:p w14:paraId="40CA36C7" w14:textId="77777777" w:rsidR="00670FD4" w:rsidRPr="00344FCE" w:rsidRDefault="00670FD4" w:rsidP="001925BA">
            <w:pPr>
              <w:spacing w:before="0" w:after="0" w:line="240" w:lineRule="auto"/>
              <w:ind w:firstLine="0"/>
              <w:jc w:val="center"/>
              <w:rPr>
                <w:rFonts w:cs="Times New Roman"/>
                <w:color w:val="000000"/>
                <w:kern w:val="0"/>
                <w:sz w:val="22"/>
                <w:szCs w:val="22"/>
                <w:lang w:val="ro-RO"/>
              </w:rPr>
            </w:pPr>
          </w:p>
        </w:tc>
        <w:tc>
          <w:tcPr>
            <w:tcW w:w="2127" w:type="dxa"/>
            <w:vMerge/>
            <w:shd w:val="clear" w:color="auto" w:fill="auto"/>
            <w:vAlign w:val="center"/>
          </w:tcPr>
          <w:p w14:paraId="28A43AA0"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2409" w:type="dxa"/>
            <w:shd w:val="clear" w:color="auto" w:fill="auto"/>
            <w:vAlign w:val="center"/>
          </w:tcPr>
          <w:p w14:paraId="3F69C6CB"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cs="Times New Roman"/>
                <w:color w:val="000000"/>
                <w:kern w:val="0"/>
                <w:sz w:val="22"/>
                <w:szCs w:val="22"/>
                <w:lang w:val="ro-RO"/>
              </w:rPr>
              <w:t>Calitatea aerului</w:t>
            </w:r>
          </w:p>
        </w:tc>
        <w:tc>
          <w:tcPr>
            <w:tcW w:w="2268" w:type="dxa"/>
            <w:shd w:val="clear" w:color="auto" w:fill="auto"/>
            <w:vAlign w:val="center"/>
          </w:tcPr>
          <w:p w14:paraId="57FC3C33" w14:textId="77777777" w:rsidR="00670FD4" w:rsidRPr="00344FCE" w:rsidRDefault="00670FD4" w:rsidP="001925BA">
            <w:pPr>
              <w:spacing w:before="0" w:after="0" w:line="240" w:lineRule="auto"/>
              <w:ind w:firstLine="0"/>
              <w:rPr>
                <w:rFonts w:cs="Times New Roman"/>
                <w:kern w:val="0"/>
                <w:sz w:val="22"/>
                <w:szCs w:val="22"/>
                <w:lang w:val="ro-RO"/>
              </w:rPr>
            </w:pPr>
            <w:r w:rsidRPr="00344FCE">
              <w:rPr>
                <w:rFonts w:cs="Times New Roman"/>
                <w:color w:val="000000"/>
                <w:kern w:val="0"/>
                <w:sz w:val="22"/>
                <w:szCs w:val="22"/>
                <w:lang w:val="ro-RO"/>
              </w:rPr>
              <w:t>Concentrațiile poluanților atmosferici (valori orare, la 8 ore, zilnice)</w:t>
            </w:r>
          </w:p>
        </w:tc>
        <w:tc>
          <w:tcPr>
            <w:tcW w:w="1985" w:type="dxa"/>
            <w:vMerge/>
            <w:shd w:val="clear" w:color="auto" w:fill="auto"/>
            <w:vAlign w:val="center"/>
          </w:tcPr>
          <w:p w14:paraId="029E644C"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r>
      <w:tr w:rsidR="00670FD4" w:rsidRPr="00344FCE" w14:paraId="0929B0EA" w14:textId="77777777" w:rsidTr="001925BA">
        <w:trPr>
          <w:trHeight w:val="20"/>
        </w:trPr>
        <w:tc>
          <w:tcPr>
            <w:tcW w:w="2787" w:type="dxa"/>
            <w:vMerge/>
            <w:tcBorders>
              <w:left w:val="single" w:sz="4" w:space="0" w:color="000000"/>
              <w:right w:val="single" w:sz="4" w:space="0" w:color="000000"/>
            </w:tcBorders>
            <w:vAlign w:val="center"/>
          </w:tcPr>
          <w:p w14:paraId="1E5174DA" w14:textId="77777777" w:rsidR="00670FD4" w:rsidRPr="00344FCE" w:rsidRDefault="00670FD4" w:rsidP="001925BA">
            <w:pPr>
              <w:spacing w:before="0" w:after="0" w:line="240" w:lineRule="auto"/>
              <w:ind w:firstLine="0"/>
              <w:rPr>
                <w:rFonts w:cs="Times New Roman"/>
                <w:color w:val="000000"/>
                <w:kern w:val="0"/>
                <w:sz w:val="22"/>
                <w:szCs w:val="22"/>
                <w:lang w:val="ro-RO"/>
              </w:rPr>
            </w:pPr>
          </w:p>
        </w:tc>
        <w:tc>
          <w:tcPr>
            <w:tcW w:w="1999" w:type="dxa"/>
            <w:vMerge/>
            <w:tcBorders>
              <w:left w:val="single" w:sz="4" w:space="0" w:color="000000"/>
              <w:right w:val="single" w:sz="4" w:space="0" w:color="000000"/>
            </w:tcBorders>
            <w:vAlign w:val="center"/>
          </w:tcPr>
          <w:p w14:paraId="35FC9C99" w14:textId="77777777" w:rsidR="00670FD4" w:rsidRPr="00344FCE" w:rsidRDefault="00670FD4" w:rsidP="001925BA">
            <w:pPr>
              <w:spacing w:before="0" w:after="0" w:line="240" w:lineRule="auto"/>
              <w:ind w:firstLine="0"/>
              <w:jc w:val="center"/>
              <w:rPr>
                <w:rFonts w:cs="Times New Roman"/>
                <w:color w:val="000000"/>
                <w:kern w:val="0"/>
                <w:sz w:val="22"/>
                <w:szCs w:val="22"/>
                <w:lang w:val="ro-RO"/>
              </w:rPr>
            </w:pPr>
          </w:p>
        </w:tc>
        <w:tc>
          <w:tcPr>
            <w:tcW w:w="1559" w:type="dxa"/>
            <w:vMerge/>
            <w:tcBorders>
              <w:left w:val="single" w:sz="4" w:space="0" w:color="000000"/>
              <w:right w:val="single" w:sz="4" w:space="0" w:color="000000"/>
            </w:tcBorders>
            <w:vAlign w:val="center"/>
          </w:tcPr>
          <w:p w14:paraId="37106569" w14:textId="77777777" w:rsidR="00670FD4" w:rsidRPr="00344FCE" w:rsidRDefault="00670FD4" w:rsidP="001925BA">
            <w:pPr>
              <w:spacing w:before="0" w:after="0" w:line="240" w:lineRule="auto"/>
              <w:ind w:firstLine="0"/>
              <w:jc w:val="center"/>
              <w:rPr>
                <w:rFonts w:cs="Times New Roman"/>
                <w:color w:val="000000"/>
                <w:kern w:val="0"/>
                <w:sz w:val="22"/>
                <w:szCs w:val="22"/>
                <w:lang w:val="ro-RO"/>
              </w:rPr>
            </w:pPr>
          </w:p>
        </w:tc>
        <w:tc>
          <w:tcPr>
            <w:tcW w:w="2127" w:type="dxa"/>
            <w:vMerge/>
            <w:shd w:val="clear" w:color="auto" w:fill="auto"/>
            <w:vAlign w:val="center"/>
          </w:tcPr>
          <w:p w14:paraId="0B0F4018"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2409" w:type="dxa"/>
            <w:vMerge w:val="restart"/>
            <w:shd w:val="clear" w:color="auto" w:fill="auto"/>
            <w:vAlign w:val="center"/>
          </w:tcPr>
          <w:p w14:paraId="631A8F1D" w14:textId="77777777" w:rsidR="00670FD4" w:rsidRPr="00344FCE" w:rsidRDefault="00670FD4" w:rsidP="001925BA">
            <w:pPr>
              <w:spacing w:before="0" w:after="0" w:line="240" w:lineRule="auto"/>
              <w:ind w:firstLine="0"/>
              <w:rPr>
                <w:rFonts w:cs="Times New Roman"/>
                <w:color w:val="000000"/>
                <w:kern w:val="0"/>
                <w:sz w:val="22"/>
                <w:szCs w:val="22"/>
                <w:lang w:val="ro-RO"/>
              </w:rPr>
            </w:pPr>
          </w:p>
          <w:p w14:paraId="0CF146CC"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cs="Times New Roman"/>
                <w:color w:val="000000"/>
                <w:kern w:val="0"/>
                <w:sz w:val="22"/>
                <w:szCs w:val="22"/>
                <w:lang w:val="ro-RO"/>
              </w:rPr>
              <w:t>Transport sustenabil</w:t>
            </w:r>
          </w:p>
        </w:tc>
        <w:tc>
          <w:tcPr>
            <w:tcW w:w="2268" w:type="dxa"/>
            <w:shd w:val="clear" w:color="auto" w:fill="auto"/>
            <w:vAlign w:val="center"/>
          </w:tcPr>
          <w:p w14:paraId="1F35ABDF" w14:textId="77777777" w:rsidR="00670FD4" w:rsidRPr="00344FCE" w:rsidRDefault="00670FD4" w:rsidP="001925BA">
            <w:pPr>
              <w:spacing w:before="0" w:after="0" w:line="240" w:lineRule="auto"/>
              <w:ind w:firstLine="0"/>
              <w:rPr>
                <w:rFonts w:cs="Times New Roman"/>
                <w:kern w:val="0"/>
                <w:sz w:val="22"/>
                <w:szCs w:val="22"/>
                <w:lang w:val="ro-RO"/>
              </w:rPr>
            </w:pPr>
            <w:r w:rsidRPr="00344FCE">
              <w:rPr>
                <w:rFonts w:cs="Times New Roman"/>
                <w:color w:val="000000"/>
                <w:kern w:val="0"/>
                <w:sz w:val="22"/>
                <w:szCs w:val="22"/>
                <w:lang w:val="ro-RO"/>
              </w:rPr>
              <w:t>Procentul de vehicule ce folosesc surse alternative de energie</w:t>
            </w:r>
          </w:p>
        </w:tc>
        <w:tc>
          <w:tcPr>
            <w:tcW w:w="1985" w:type="dxa"/>
            <w:vMerge/>
            <w:shd w:val="clear" w:color="auto" w:fill="auto"/>
            <w:vAlign w:val="center"/>
          </w:tcPr>
          <w:p w14:paraId="690F407B"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r>
      <w:tr w:rsidR="00670FD4" w:rsidRPr="00344FCE" w14:paraId="388885BA" w14:textId="77777777" w:rsidTr="001925BA">
        <w:trPr>
          <w:trHeight w:val="20"/>
        </w:trPr>
        <w:tc>
          <w:tcPr>
            <w:tcW w:w="2787" w:type="dxa"/>
            <w:vMerge/>
            <w:tcBorders>
              <w:left w:val="single" w:sz="4" w:space="0" w:color="000000"/>
              <w:right w:val="single" w:sz="4" w:space="0" w:color="000000"/>
            </w:tcBorders>
            <w:vAlign w:val="center"/>
          </w:tcPr>
          <w:p w14:paraId="1F74A8A6" w14:textId="77777777" w:rsidR="00670FD4" w:rsidRPr="00344FCE" w:rsidRDefault="00670FD4" w:rsidP="001925BA">
            <w:pPr>
              <w:spacing w:before="0" w:after="0" w:line="240" w:lineRule="auto"/>
              <w:ind w:firstLine="0"/>
              <w:rPr>
                <w:rFonts w:cs="Times New Roman"/>
                <w:color w:val="000000"/>
                <w:kern w:val="0"/>
                <w:sz w:val="22"/>
                <w:szCs w:val="22"/>
                <w:lang w:val="ro-RO"/>
              </w:rPr>
            </w:pPr>
          </w:p>
        </w:tc>
        <w:tc>
          <w:tcPr>
            <w:tcW w:w="1999" w:type="dxa"/>
            <w:vMerge/>
            <w:tcBorders>
              <w:left w:val="single" w:sz="4" w:space="0" w:color="000000"/>
              <w:right w:val="single" w:sz="4" w:space="0" w:color="000000"/>
            </w:tcBorders>
            <w:vAlign w:val="center"/>
          </w:tcPr>
          <w:p w14:paraId="59769F27" w14:textId="77777777" w:rsidR="00670FD4" w:rsidRPr="00344FCE" w:rsidRDefault="00670FD4" w:rsidP="001925BA">
            <w:pPr>
              <w:spacing w:before="0" w:after="0" w:line="240" w:lineRule="auto"/>
              <w:ind w:firstLine="0"/>
              <w:jc w:val="center"/>
              <w:rPr>
                <w:rFonts w:cs="Times New Roman"/>
                <w:color w:val="000000"/>
                <w:kern w:val="0"/>
                <w:sz w:val="22"/>
                <w:szCs w:val="22"/>
                <w:lang w:val="ro-RO"/>
              </w:rPr>
            </w:pPr>
          </w:p>
        </w:tc>
        <w:tc>
          <w:tcPr>
            <w:tcW w:w="1559" w:type="dxa"/>
            <w:vMerge/>
            <w:tcBorders>
              <w:left w:val="single" w:sz="4" w:space="0" w:color="000000"/>
              <w:right w:val="single" w:sz="4" w:space="0" w:color="000000"/>
            </w:tcBorders>
            <w:vAlign w:val="center"/>
          </w:tcPr>
          <w:p w14:paraId="36C47382" w14:textId="77777777" w:rsidR="00670FD4" w:rsidRPr="00344FCE" w:rsidRDefault="00670FD4" w:rsidP="001925BA">
            <w:pPr>
              <w:spacing w:before="0" w:after="0" w:line="240" w:lineRule="auto"/>
              <w:ind w:firstLine="0"/>
              <w:jc w:val="center"/>
              <w:rPr>
                <w:rFonts w:cs="Times New Roman"/>
                <w:color w:val="000000"/>
                <w:kern w:val="0"/>
                <w:sz w:val="22"/>
                <w:szCs w:val="22"/>
                <w:lang w:val="ro-RO"/>
              </w:rPr>
            </w:pPr>
          </w:p>
        </w:tc>
        <w:tc>
          <w:tcPr>
            <w:tcW w:w="2127" w:type="dxa"/>
            <w:vMerge/>
            <w:shd w:val="clear" w:color="auto" w:fill="auto"/>
            <w:vAlign w:val="center"/>
          </w:tcPr>
          <w:p w14:paraId="299021FD"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19749FA2" w14:textId="77777777" w:rsidR="00670FD4" w:rsidRPr="00344FCE" w:rsidRDefault="00670FD4" w:rsidP="001925BA">
            <w:pPr>
              <w:spacing w:before="0" w:after="0" w:line="240" w:lineRule="auto"/>
              <w:ind w:firstLine="0"/>
              <w:rPr>
                <w:rFonts w:cs="Times New Roman"/>
                <w:color w:val="000000"/>
                <w:kern w:val="0"/>
                <w:sz w:val="22"/>
                <w:szCs w:val="22"/>
                <w:lang w:val="ro-RO"/>
              </w:rPr>
            </w:pPr>
          </w:p>
        </w:tc>
        <w:tc>
          <w:tcPr>
            <w:tcW w:w="2268" w:type="dxa"/>
            <w:shd w:val="clear" w:color="auto" w:fill="auto"/>
            <w:vAlign w:val="center"/>
          </w:tcPr>
          <w:p w14:paraId="2A1CD096" w14:textId="77777777" w:rsidR="00670FD4" w:rsidRPr="00344FCE" w:rsidRDefault="00670FD4" w:rsidP="001925BA">
            <w:pPr>
              <w:spacing w:before="0" w:after="0" w:line="240" w:lineRule="auto"/>
              <w:ind w:firstLine="0"/>
              <w:rPr>
                <w:rFonts w:cs="Times New Roman"/>
                <w:kern w:val="0"/>
                <w:sz w:val="22"/>
                <w:szCs w:val="22"/>
                <w:lang w:val="ro-RO"/>
              </w:rPr>
            </w:pPr>
            <w:r w:rsidRPr="00344FCE">
              <w:rPr>
                <w:rFonts w:cs="Times New Roman"/>
                <w:color w:val="000000"/>
                <w:kern w:val="0"/>
                <w:sz w:val="22"/>
                <w:szCs w:val="22"/>
                <w:lang w:val="ro-RO"/>
              </w:rPr>
              <w:t>Procentul de ambarcațiuni ce folosesc surse alternative de energie</w:t>
            </w:r>
          </w:p>
        </w:tc>
        <w:tc>
          <w:tcPr>
            <w:tcW w:w="1985" w:type="dxa"/>
            <w:vMerge/>
            <w:shd w:val="clear" w:color="auto" w:fill="auto"/>
            <w:vAlign w:val="center"/>
          </w:tcPr>
          <w:p w14:paraId="2E7ACFF4"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r>
      <w:tr w:rsidR="00670FD4" w:rsidRPr="00344FCE" w14:paraId="1DBDB405" w14:textId="77777777" w:rsidTr="001925BA">
        <w:trPr>
          <w:trHeight w:val="20"/>
        </w:trPr>
        <w:tc>
          <w:tcPr>
            <w:tcW w:w="2787" w:type="dxa"/>
            <w:vMerge/>
            <w:tcBorders>
              <w:left w:val="single" w:sz="4" w:space="0" w:color="000000"/>
              <w:bottom w:val="single" w:sz="4" w:space="0" w:color="000000"/>
              <w:right w:val="single" w:sz="4" w:space="0" w:color="000000"/>
            </w:tcBorders>
            <w:vAlign w:val="center"/>
          </w:tcPr>
          <w:p w14:paraId="687F1259" w14:textId="77777777" w:rsidR="00670FD4" w:rsidRPr="00344FCE" w:rsidRDefault="00670FD4" w:rsidP="001925BA">
            <w:pPr>
              <w:spacing w:before="0" w:after="0" w:line="240" w:lineRule="auto"/>
              <w:ind w:firstLine="0"/>
              <w:rPr>
                <w:rFonts w:cs="Times New Roman"/>
                <w:color w:val="000000"/>
                <w:kern w:val="0"/>
                <w:sz w:val="22"/>
                <w:szCs w:val="22"/>
                <w:lang w:val="ro-RO"/>
              </w:rPr>
            </w:pPr>
          </w:p>
        </w:tc>
        <w:tc>
          <w:tcPr>
            <w:tcW w:w="1999" w:type="dxa"/>
            <w:vMerge/>
            <w:tcBorders>
              <w:left w:val="single" w:sz="4" w:space="0" w:color="000000"/>
              <w:bottom w:val="single" w:sz="4" w:space="0" w:color="000000"/>
              <w:right w:val="single" w:sz="4" w:space="0" w:color="000000"/>
            </w:tcBorders>
            <w:vAlign w:val="center"/>
          </w:tcPr>
          <w:p w14:paraId="6DEFE21B" w14:textId="77777777" w:rsidR="00670FD4" w:rsidRPr="00344FCE" w:rsidRDefault="00670FD4" w:rsidP="001925BA">
            <w:pPr>
              <w:spacing w:before="0" w:after="0" w:line="240" w:lineRule="auto"/>
              <w:ind w:firstLine="0"/>
              <w:jc w:val="center"/>
              <w:rPr>
                <w:rFonts w:cs="Times New Roman"/>
                <w:color w:val="000000"/>
                <w:kern w:val="0"/>
                <w:sz w:val="22"/>
                <w:szCs w:val="22"/>
                <w:lang w:val="ro-RO"/>
              </w:rPr>
            </w:pPr>
          </w:p>
        </w:tc>
        <w:tc>
          <w:tcPr>
            <w:tcW w:w="1559" w:type="dxa"/>
            <w:vMerge/>
            <w:tcBorders>
              <w:left w:val="single" w:sz="4" w:space="0" w:color="000000"/>
              <w:bottom w:val="single" w:sz="4" w:space="0" w:color="000000"/>
              <w:right w:val="single" w:sz="4" w:space="0" w:color="000000"/>
            </w:tcBorders>
            <w:vAlign w:val="center"/>
          </w:tcPr>
          <w:p w14:paraId="26C216BA" w14:textId="77777777" w:rsidR="00670FD4" w:rsidRPr="00344FCE" w:rsidRDefault="00670FD4" w:rsidP="001925BA">
            <w:pPr>
              <w:spacing w:before="0" w:after="0" w:line="240" w:lineRule="auto"/>
              <w:ind w:firstLine="0"/>
              <w:jc w:val="center"/>
              <w:rPr>
                <w:rFonts w:cs="Times New Roman"/>
                <w:color w:val="000000"/>
                <w:kern w:val="0"/>
                <w:sz w:val="22"/>
                <w:szCs w:val="22"/>
                <w:lang w:val="ro-RO"/>
              </w:rPr>
            </w:pPr>
          </w:p>
        </w:tc>
        <w:tc>
          <w:tcPr>
            <w:tcW w:w="2127" w:type="dxa"/>
            <w:vMerge/>
            <w:shd w:val="clear" w:color="auto" w:fill="auto"/>
            <w:vAlign w:val="center"/>
          </w:tcPr>
          <w:p w14:paraId="7EEEAD37"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2409" w:type="dxa"/>
            <w:shd w:val="clear" w:color="auto" w:fill="auto"/>
            <w:vAlign w:val="center"/>
          </w:tcPr>
          <w:p w14:paraId="25781A68"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Poluare cu substanțe periculoase</w:t>
            </w:r>
          </w:p>
        </w:tc>
        <w:tc>
          <w:tcPr>
            <w:tcW w:w="2268" w:type="dxa"/>
            <w:tcBorders>
              <w:bottom w:val="single" w:sz="4" w:space="0" w:color="000000"/>
            </w:tcBorders>
            <w:shd w:val="clear" w:color="auto" w:fill="auto"/>
            <w:vAlign w:val="center"/>
          </w:tcPr>
          <w:p w14:paraId="0B99D257" w14:textId="77777777" w:rsidR="00670FD4" w:rsidRPr="00344FCE" w:rsidRDefault="00670FD4" w:rsidP="001925BA">
            <w:pPr>
              <w:spacing w:before="0" w:after="0" w:line="240" w:lineRule="auto"/>
              <w:ind w:firstLine="0"/>
              <w:rPr>
                <w:rFonts w:cs="Times New Roman"/>
                <w:kern w:val="0"/>
                <w:sz w:val="22"/>
                <w:szCs w:val="22"/>
                <w:lang w:val="ro-RO"/>
              </w:rPr>
            </w:pPr>
            <w:r w:rsidRPr="00344FCE">
              <w:rPr>
                <w:rFonts w:cs="Times New Roman"/>
                <w:color w:val="000000"/>
                <w:kern w:val="0"/>
                <w:sz w:val="22"/>
                <w:szCs w:val="22"/>
                <w:lang w:val="ro-RO"/>
              </w:rPr>
              <w:t>Evacuări de substanțe periculoase în mediul acvatic din surse punctiforme</w:t>
            </w:r>
          </w:p>
        </w:tc>
        <w:tc>
          <w:tcPr>
            <w:tcW w:w="1985" w:type="dxa"/>
            <w:vMerge/>
            <w:shd w:val="clear" w:color="auto" w:fill="auto"/>
            <w:vAlign w:val="center"/>
          </w:tcPr>
          <w:p w14:paraId="2726FCD1"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r>
      <w:tr w:rsidR="00670FD4" w:rsidRPr="00344FCE" w14:paraId="2E55B6B5" w14:textId="77777777" w:rsidTr="001925BA">
        <w:trPr>
          <w:trHeight w:val="20"/>
        </w:trPr>
        <w:tc>
          <w:tcPr>
            <w:tcW w:w="2787" w:type="dxa"/>
            <w:shd w:val="clear" w:color="auto" w:fill="F2F2F2"/>
            <w:vAlign w:val="center"/>
          </w:tcPr>
          <w:p w14:paraId="11AFF258"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E.1 Crearea unui cadru coerent, integrat și sinergic de planificare spațială specific pentru teritoriul transfrontalier și regional</w:t>
            </w:r>
          </w:p>
        </w:tc>
        <w:tc>
          <w:tcPr>
            <w:tcW w:w="1999" w:type="dxa"/>
            <w:shd w:val="clear" w:color="auto" w:fill="F2F2F2"/>
            <w:vAlign w:val="center"/>
          </w:tcPr>
          <w:p w14:paraId="25F0DB3C"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MDLPA, autorități locale (prin CJ Constanța și Tulcea), MAE</w:t>
            </w:r>
          </w:p>
        </w:tc>
        <w:tc>
          <w:tcPr>
            <w:tcW w:w="1559" w:type="dxa"/>
            <w:shd w:val="clear" w:color="auto" w:fill="F2F2F2"/>
            <w:vAlign w:val="center"/>
          </w:tcPr>
          <w:p w14:paraId="2417484B"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tc>
        <w:tc>
          <w:tcPr>
            <w:tcW w:w="2127" w:type="dxa"/>
            <w:shd w:val="clear" w:color="auto" w:fill="F2F2F2"/>
            <w:vAlign w:val="center"/>
          </w:tcPr>
          <w:p w14:paraId="2C3D2144"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Realizarea metodologiilor de elaborare a planurilor de amenajare a teritoriului zonal transfrontalier și interjudețean</w:t>
            </w:r>
          </w:p>
        </w:tc>
        <w:tc>
          <w:tcPr>
            <w:tcW w:w="2409" w:type="dxa"/>
            <w:shd w:val="clear" w:color="auto" w:fill="F2F2F2"/>
            <w:vAlign w:val="center"/>
          </w:tcPr>
          <w:p w14:paraId="4031F423"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Planificarea spațială a teritoriului</w:t>
            </w:r>
          </w:p>
          <w:p w14:paraId="576FB2AA"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tc>
        <w:tc>
          <w:tcPr>
            <w:tcW w:w="2268" w:type="dxa"/>
            <w:tcBorders>
              <w:bottom w:val="single" w:sz="4" w:space="0" w:color="000000"/>
            </w:tcBorders>
            <w:shd w:val="clear" w:color="auto" w:fill="F2F2F2"/>
            <w:vAlign w:val="center"/>
          </w:tcPr>
          <w:p w14:paraId="7325F653"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PATZ</w:t>
            </w:r>
          </w:p>
        </w:tc>
        <w:tc>
          <w:tcPr>
            <w:tcW w:w="1985" w:type="dxa"/>
            <w:shd w:val="clear" w:color="auto" w:fill="F2F2F2"/>
            <w:vAlign w:val="center"/>
          </w:tcPr>
          <w:p w14:paraId="1267D4CD"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345B7FAF"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353E33CB"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r>
      <w:tr w:rsidR="00670FD4" w:rsidRPr="00344FCE" w14:paraId="4ADF2634" w14:textId="77777777" w:rsidTr="001925BA">
        <w:trPr>
          <w:trHeight w:val="20"/>
        </w:trPr>
        <w:tc>
          <w:tcPr>
            <w:tcW w:w="2787" w:type="dxa"/>
            <w:vMerge w:val="restart"/>
            <w:shd w:val="clear" w:color="auto" w:fill="F2F2F2"/>
            <w:vAlign w:val="center"/>
          </w:tcPr>
          <w:p w14:paraId="294F0DEE"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E.2 Crearea unui cadru coerent și integrat de </w:t>
            </w:r>
            <w:r w:rsidRPr="00344FCE">
              <w:rPr>
                <w:rFonts w:eastAsia="Times New Roman" w:cs="Times New Roman"/>
                <w:kern w:val="0"/>
                <w:sz w:val="22"/>
                <w:szCs w:val="22"/>
                <w:lang w:val="ro-RO"/>
              </w:rPr>
              <w:lastRenderedPageBreak/>
              <w:t>planificare strategică și planificare spațială la nivel zonal și local, specific zonei costiere</w:t>
            </w:r>
          </w:p>
        </w:tc>
        <w:tc>
          <w:tcPr>
            <w:tcW w:w="1999" w:type="dxa"/>
            <w:vMerge w:val="restart"/>
            <w:shd w:val="clear" w:color="auto" w:fill="F2F2F2"/>
            <w:vAlign w:val="center"/>
          </w:tcPr>
          <w:p w14:paraId="58D62493"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lastRenderedPageBreak/>
              <w:t xml:space="preserve">MDLPA, autorități locale (prin Consilii </w:t>
            </w:r>
            <w:r w:rsidRPr="00344FCE">
              <w:rPr>
                <w:rFonts w:eastAsia="Times New Roman" w:cs="Times New Roman"/>
                <w:kern w:val="0"/>
                <w:sz w:val="22"/>
                <w:szCs w:val="22"/>
                <w:lang w:val="ro-RO"/>
              </w:rPr>
              <w:lastRenderedPageBreak/>
              <w:t>Locale, CJ Constanța și Tulcea)</w:t>
            </w:r>
          </w:p>
        </w:tc>
        <w:tc>
          <w:tcPr>
            <w:tcW w:w="1559" w:type="dxa"/>
            <w:vMerge w:val="restart"/>
            <w:shd w:val="clear" w:color="auto" w:fill="F2F2F2"/>
            <w:vAlign w:val="center"/>
          </w:tcPr>
          <w:p w14:paraId="2A45EF53"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lastRenderedPageBreak/>
              <w:t>2030</w:t>
            </w:r>
          </w:p>
        </w:tc>
        <w:tc>
          <w:tcPr>
            <w:tcW w:w="2127" w:type="dxa"/>
            <w:vMerge w:val="restart"/>
            <w:shd w:val="clear" w:color="auto" w:fill="F2F2F2"/>
            <w:vAlign w:val="center"/>
          </w:tcPr>
          <w:p w14:paraId="57FB0769"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Realizarea regulamentului-cadru zona litorală;</w:t>
            </w:r>
          </w:p>
          <w:p w14:paraId="54583331"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Planurile de amenajare a teritoriului zonal metropolitan / intercomunitar actualizate și aprobate</w:t>
            </w:r>
          </w:p>
          <w:p w14:paraId="56B0B5CB"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PUG-uri actualizate și aprobate pentru toate UAT din zona costieră;</w:t>
            </w:r>
          </w:p>
          <w:p w14:paraId="543B022A"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PUZ-uri aprobate pentru toate zone prioritare definite/stabilite</w:t>
            </w:r>
          </w:p>
        </w:tc>
        <w:tc>
          <w:tcPr>
            <w:tcW w:w="2409" w:type="dxa"/>
            <w:vMerge w:val="restart"/>
            <w:shd w:val="clear" w:color="auto" w:fill="F2F2F2"/>
            <w:vAlign w:val="center"/>
          </w:tcPr>
          <w:p w14:paraId="76CEE1CB"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Planificarea spațială a teritoriului</w:t>
            </w:r>
          </w:p>
        </w:tc>
        <w:tc>
          <w:tcPr>
            <w:tcW w:w="2268" w:type="dxa"/>
            <w:shd w:val="clear" w:color="auto" w:fill="F2F2F2"/>
            <w:vAlign w:val="center"/>
          </w:tcPr>
          <w:p w14:paraId="79B90F18"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PUG-uri actualizate și aprobate</w:t>
            </w:r>
          </w:p>
        </w:tc>
        <w:tc>
          <w:tcPr>
            <w:tcW w:w="1985" w:type="dxa"/>
            <w:vMerge w:val="restart"/>
            <w:shd w:val="clear" w:color="auto" w:fill="F2F2F2"/>
            <w:vAlign w:val="center"/>
          </w:tcPr>
          <w:p w14:paraId="4B8510B7"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670FD4" w:rsidRPr="00344FCE" w14:paraId="65038E0A" w14:textId="77777777" w:rsidTr="001925BA">
        <w:trPr>
          <w:trHeight w:val="20"/>
        </w:trPr>
        <w:tc>
          <w:tcPr>
            <w:tcW w:w="2787" w:type="dxa"/>
            <w:vMerge/>
            <w:shd w:val="clear" w:color="auto" w:fill="F2F2F2"/>
            <w:vAlign w:val="center"/>
          </w:tcPr>
          <w:p w14:paraId="6DC97E0B"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65F54E13"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0EC12644"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22E5BFBE"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F2F2F2"/>
            <w:vAlign w:val="center"/>
          </w:tcPr>
          <w:p w14:paraId="62F9A8F9"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F2F2F2"/>
            <w:vAlign w:val="center"/>
          </w:tcPr>
          <w:p w14:paraId="1ED44734"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PUZ-uri pentru zone prioritare elaborate și aprobate</w:t>
            </w:r>
          </w:p>
        </w:tc>
        <w:tc>
          <w:tcPr>
            <w:tcW w:w="1985" w:type="dxa"/>
            <w:vMerge/>
            <w:shd w:val="clear" w:color="auto" w:fill="F2F2F2"/>
            <w:vAlign w:val="center"/>
          </w:tcPr>
          <w:p w14:paraId="50BC5B33"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5E23C7F6" w14:textId="77777777" w:rsidTr="001925BA">
        <w:trPr>
          <w:trHeight w:val="20"/>
        </w:trPr>
        <w:tc>
          <w:tcPr>
            <w:tcW w:w="2787" w:type="dxa"/>
            <w:vMerge/>
            <w:shd w:val="clear" w:color="auto" w:fill="F2F2F2"/>
            <w:vAlign w:val="center"/>
          </w:tcPr>
          <w:p w14:paraId="546CFFA8"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7498AAB1"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1FD94043"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6C831CD5"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F2F2F2"/>
            <w:vAlign w:val="center"/>
          </w:tcPr>
          <w:p w14:paraId="7CF6170E"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tcBorders>
              <w:bottom w:val="single" w:sz="4" w:space="0" w:color="000000"/>
            </w:tcBorders>
            <w:shd w:val="clear" w:color="auto" w:fill="F2F2F2"/>
            <w:vAlign w:val="center"/>
          </w:tcPr>
          <w:p w14:paraId="07DF61B6"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PATZ</w:t>
            </w:r>
          </w:p>
        </w:tc>
        <w:tc>
          <w:tcPr>
            <w:tcW w:w="1985" w:type="dxa"/>
            <w:vMerge/>
            <w:shd w:val="clear" w:color="auto" w:fill="F2F2F2"/>
            <w:vAlign w:val="center"/>
          </w:tcPr>
          <w:p w14:paraId="1FB42CB4"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4CEE3999" w14:textId="77777777" w:rsidTr="001925BA">
        <w:trPr>
          <w:trHeight w:val="20"/>
        </w:trPr>
        <w:tc>
          <w:tcPr>
            <w:tcW w:w="2787" w:type="dxa"/>
            <w:vMerge/>
            <w:shd w:val="clear" w:color="auto" w:fill="F2F2F2"/>
            <w:vAlign w:val="center"/>
          </w:tcPr>
          <w:p w14:paraId="1DBB08A7"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2B47B1CE"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787CFC15"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6DDFA012"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val="restart"/>
            <w:shd w:val="clear" w:color="auto" w:fill="F2F2F2"/>
            <w:vAlign w:val="center"/>
          </w:tcPr>
          <w:p w14:paraId="370CC8DA"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008225D8"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1BF2905C"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Tendința dezvoltării funcțiunilor urbane (locuire, turism, spații verzi/plantate, etc.) în zona costieră</w:t>
            </w:r>
          </w:p>
          <w:p w14:paraId="4398D870"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tc>
        <w:tc>
          <w:tcPr>
            <w:tcW w:w="2268" w:type="dxa"/>
            <w:shd w:val="clear" w:color="auto" w:fill="F2F2F2"/>
            <w:vAlign w:val="center"/>
          </w:tcPr>
          <w:p w14:paraId="59B41CD0"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Procent suprafață teren ocupat și/sau destinat pentru  funcțiunile urbane (locuire, turism, spații verzi/plantate, etc.) raportat la total suprafață zonă costieră și UAT-uri din zona costieră</w:t>
            </w:r>
          </w:p>
        </w:tc>
        <w:tc>
          <w:tcPr>
            <w:tcW w:w="1985" w:type="dxa"/>
            <w:vMerge/>
            <w:shd w:val="clear" w:color="auto" w:fill="F2F2F2"/>
            <w:vAlign w:val="center"/>
          </w:tcPr>
          <w:p w14:paraId="6DC22ABB"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02983296" w14:textId="77777777" w:rsidTr="001925BA">
        <w:trPr>
          <w:trHeight w:val="20"/>
        </w:trPr>
        <w:tc>
          <w:tcPr>
            <w:tcW w:w="2787" w:type="dxa"/>
            <w:vMerge/>
            <w:shd w:val="clear" w:color="auto" w:fill="F2F2F2"/>
            <w:vAlign w:val="center"/>
          </w:tcPr>
          <w:p w14:paraId="6A24918C"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17F0A870"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067A9ED7"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292C62E4"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F2F2F2"/>
            <w:vAlign w:val="center"/>
          </w:tcPr>
          <w:p w14:paraId="26DA94EE"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F2F2F2"/>
            <w:vAlign w:val="center"/>
          </w:tcPr>
          <w:p w14:paraId="2A90289B"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Procent suprafață teren ocupat și/sau destinat pentru  funcțiunile urbane (locuire, turism, spații verzi/plantate, etc.) raportat la km linie de coastă</w:t>
            </w:r>
          </w:p>
        </w:tc>
        <w:tc>
          <w:tcPr>
            <w:tcW w:w="1985" w:type="dxa"/>
            <w:vMerge/>
            <w:shd w:val="clear" w:color="auto" w:fill="F2F2F2"/>
            <w:vAlign w:val="center"/>
          </w:tcPr>
          <w:p w14:paraId="77729A59"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62138DF1" w14:textId="77777777" w:rsidTr="001925BA">
        <w:trPr>
          <w:trHeight w:val="20"/>
        </w:trPr>
        <w:tc>
          <w:tcPr>
            <w:tcW w:w="2787" w:type="dxa"/>
            <w:vMerge/>
            <w:shd w:val="clear" w:color="auto" w:fill="F2F2F2"/>
            <w:vAlign w:val="center"/>
          </w:tcPr>
          <w:p w14:paraId="23D9477C"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61983338"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26F1CDA7"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256B3F22"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F2F2F2"/>
            <w:vAlign w:val="center"/>
          </w:tcPr>
          <w:p w14:paraId="1E61CF6C"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tcBorders>
              <w:bottom w:val="single" w:sz="4" w:space="0" w:color="000000"/>
            </w:tcBorders>
            <w:shd w:val="clear" w:color="auto" w:fill="F2F2F2"/>
            <w:vAlign w:val="center"/>
          </w:tcPr>
          <w:p w14:paraId="295F346F"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Suprafață teren ocupat și/sau destinat pentru  funcțiunile urbane (locuire, turism, spații verzi/plantate, etc.) raportat la izocronele privind accesul la țărmul mării</w:t>
            </w:r>
          </w:p>
        </w:tc>
        <w:tc>
          <w:tcPr>
            <w:tcW w:w="1985" w:type="dxa"/>
            <w:vMerge/>
            <w:shd w:val="clear" w:color="auto" w:fill="F2F2F2"/>
            <w:vAlign w:val="center"/>
          </w:tcPr>
          <w:p w14:paraId="446B43C4"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5C8B8100" w14:textId="77777777" w:rsidTr="001925BA">
        <w:trPr>
          <w:trHeight w:val="20"/>
        </w:trPr>
        <w:tc>
          <w:tcPr>
            <w:tcW w:w="2787" w:type="dxa"/>
            <w:vMerge/>
            <w:shd w:val="clear" w:color="auto" w:fill="F2F2F2"/>
            <w:vAlign w:val="center"/>
          </w:tcPr>
          <w:p w14:paraId="23394B4B"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680A2F92"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69CFDE23"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6689C658"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val="restart"/>
            <w:shd w:val="clear" w:color="auto" w:fill="F2F2F2"/>
            <w:vAlign w:val="center"/>
          </w:tcPr>
          <w:p w14:paraId="4E8B11CF"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Impactul dezvoltării spațiale și al urbanizării în zona costieră</w:t>
            </w:r>
          </w:p>
        </w:tc>
        <w:tc>
          <w:tcPr>
            <w:tcW w:w="2268" w:type="dxa"/>
            <w:shd w:val="clear" w:color="auto" w:fill="F2F2F2"/>
            <w:vAlign w:val="center"/>
          </w:tcPr>
          <w:p w14:paraId="483704FF"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Procent suprafață terenuri pentru utilizări  urbane (intravilane) raportat la total suprafață zonă costieră și UAT-uri din zona costieră</w:t>
            </w:r>
          </w:p>
        </w:tc>
        <w:tc>
          <w:tcPr>
            <w:tcW w:w="1985" w:type="dxa"/>
            <w:vMerge/>
            <w:shd w:val="clear" w:color="auto" w:fill="F2F2F2"/>
            <w:vAlign w:val="center"/>
          </w:tcPr>
          <w:p w14:paraId="01C77977"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3C9C79C8" w14:textId="77777777" w:rsidTr="001925BA">
        <w:trPr>
          <w:trHeight w:val="20"/>
        </w:trPr>
        <w:tc>
          <w:tcPr>
            <w:tcW w:w="2787" w:type="dxa"/>
            <w:vMerge/>
            <w:shd w:val="clear" w:color="auto" w:fill="F2F2F2"/>
            <w:vAlign w:val="center"/>
          </w:tcPr>
          <w:p w14:paraId="6EE0D4BC"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424E2B2E"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4BDB595B"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38FFC323"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F2F2F2"/>
            <w:vAlign w:val="center"/>
          </w:tcPr>
          <w:p w14:paraId="46EDEFB4"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F2F2F2"/>
            <w:vAlign w:val="center"/>
          </w:tcPr>
          <w:p w14:paraId="3111AC00"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Procent suprafață terenuri pentru utilizări  urbane (intravilane) raportat la km linie de coastă</w:t>
            </w:r>
          </w:p>
        </w:tc>
        <w:tc>
          <w:tcPr>
            <w:tcW w:w="1985" w:type="dxa"/>
            <w:vMerge/>
            <w:shd w:val="clear" w:color="auto" w:fill="F2F2F2"/>
            <w:vAlign w:val="center"/>
          </w:tcPr>
          <w:p w14:paraId="0E004D27"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705D430D" w14:textId="77777777" w:rsidTr="001925BA">
        <w:trPr>
          <w:trHeight w:val="20"/>
        </w:trPr>
        <w:tc>
          <w:tcPr>
            <w:tcW w:w="2787" w:type="dxa"/>
            <w:vMerge w:val="restart"/>
            <w:shd w:val="clear" w:color="auto" w:fill="F2F2F2"/>
            <w:vAlign w:val="center"/>
          </w:tcPr>
          <w:p w14:paraId="59F8B25D"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E.3 Crearea unui mecanism eficient de implementare, monitorizare și verificare a instrumentelor de planificare spațială în zona costieră</w:t>
            </w:r>
          </w:p>
        </w:tc>
        <w:tc>
          <w:tcPr>
            <w:tcW w:w="1999" w:type="dxa"/>
            <w:vMerge w:val="restart"/>
            <w:shd w:val="clear" w:color="auto" w:fill="F2F2F2"/>
            <w:vAlign w:val="center"/>
          </w:tcPr>
          <w:p w14:paraId="34DF8948"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MDLPA, autorități locale (prin Consilii Locale, CJ Constanța și Tulcea)</w:t>
            </w:r>
          </w:p>
        </w:tc>
        <w:tc>
          <w:tcPr>
            <w:tcW w:w="1559" w:type="dxa"/>
            <w:vMerge w:val="restart"/>
            <w:shd w:val="clear" w:color="auto" w:fill="F2F2F2"/>
            <w:vAlign w:val="center"/>
          </w:tcPr>
          <w:p w14:paraId="7EA24D6B"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tc>
        <w:tc>
          <w:tcPr>
            <w:tcW w:w="2127" w:type="dxa"/>
            <w:vMerge w:val="restart"/>
            <w:shd w:val="clear" w:color="auto" w:fill="F2F2F2"/>
            <w:vAlign w:val="center"/>
          </w:tcPr>
          <w:p w14:paraId="3380FFE7"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Mecanism eficient de implementare, monitorizare și verificare a instrumentelor de planificare spațială în zona costieră funcțional la nivelul celor 19 UAT-uri din zona costieră și la nivelul celor 2 Consilii județene (Constanța și Tulcea)</w:t>
            </w:r>
          </w:p>
        </w:tc>
        <w:tc>
          <w:tcPr>
            <w:tcW w:w="2409" w:type="dxa"/>
            <w:vMerge w:val="restart"/>
            <w:shd w:val="clear" w:color="auto" w:fill="F2F2F2"/>
            <w:vAlign w:val="center"/>
          </w:tcPr>
          <w:p w14:paraId="76E60879"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Planificarea spațială a teritoriului</w:t>
            </w:r>
          </w:p>
          <w:p w14:paraId="71DFF5B4"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2268" w:type="dxa"/>
            <w:shd w:val="clear" w:color="auto" w:fill="F2F2F2"/>
            <w:vAlign w:val="center"/>
          </w:tcPr>
          <w:p w14:paraId="37E1DC06"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Număr PUG-uri actualizate și aprobate</w:t>
            </w:r>
          </w:p>
          <w:p w14:paraId="6EC29FBA"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3B76A2B3"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514C77E1"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7D9FDE2F"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791B9D0B"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1985" w:type="dxa"/>
            <w:vMerge w:val="restart"/>
            <w:shd w:val="clear" w:color="auto" w:fill="F2F2F2"/>
            <w:vAlign w:val="center"/>
          </w:tcPr>
          <w:p w14:paraId="3364A575"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372C5A16"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3B88DD00"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0C932F21"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0583CE92"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p w14:paraId="2C9878C1"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r>
      <w:tr w:rsidR="00670FD4" w:rsidRPr="00344FCE" w14:paraId="66AB399C" w14:textId="77777777" w:rsidTr="001925BA">
        <w:trPr>
          <w:trHeight w:val="20"/>
        </w:trPr>
        <w:tc>
          <w:tcPr>
            <w:tcW w:w="2787" w:type="dxa"/>
            <w:vMerge/>
            <w:shd w:val="clear" w:color="auto" w:fill="F2F2F2"/>
            <w:vAlign w:val="center"/>
          </w:tcPr>
          <w:p w14:paraId="44E239BE"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F2F2F2"/>
            <w:vAlign w:val="center"/>
          </w:tcPr>
          <w:p w14:paraId="35CDF6C8"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F2F2F2"/>
            <w:vAlign w:val="center"/>
          </w:tcPr>
          <w:p w14:paraId="39811872"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28939353" w14:textId="77777777" w:rsidR="00670FD4" w:rsidRPr="00344FCE" w:rsidRDefault="00670FD4" w:rsidP="001925BA">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40879CB0"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F2F2F2"/>
            <w:vAlign w:val="center"/>
          </w:tcPr>
          <w:p w14:paraId="2D92D4FE"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Număr de PUZ-uri pentru zone prioritare elaborate și aprobate</w:t>
            </w:r>
          </w:p>
        </w:tc>
        <w:tc>
          <w:tcPr>
            <w:tcW w:w="1985" w:type="dxa"/>
            <w:vMerge/>
            <w:shd w:val="clear" w:color="auto" w:fill="F2F2F2"/>
            <w:vAlign w:val="center"/>
          </w:tcPr>
          <w:p w14:paraId="7501F1EE"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2B493A15" w14:textId="77777777" w:rsidTr="001925BA">
        <w:trPr>
          <w:trHeight w:val="20"/>
        </w:trPr>
        <w:tc>
          <w:tcPr>
            <w:tcW w:w="2787" w:type="dxa"/>
            <w:shd w:val="clear" w:color="auto" w:fill="auto"/>
            <w:vAlign w:val="center"/>
          </w:tcPr>
          <w:p w14:paraId="51CE0324"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F.1 Reorganizarea Comitetului Național al Zonei Costiere</w:t>
            </w:r>
          </w:p>
        </w:tc>
        <w:tc>
          <w:tcPr>
            <w:tcW w:w="1999" w:type="dxa"/>
            <w:shd w:val="clear" w:color="auto" w:fill="auto"/>
            <w:vAlign w:val="center"/>
          </w:tcPr>
          <w:p w14:paraId="675B6460"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MMAP</w:t>
            </w:r>
          </w:p>
        </w:tc>
        <w:tc>
          <w:tcPr>
            <w:tcW w:w="1559" w:type="dxa"/>
            <w:shd w:val="clear" w:color="auto" w:fill="auto"/>
            <w:vAlign w:val="center"/>
          </w:tcPr>
          <w:p w14:paraId="3826B115"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2025</w:t>
            </w:r>
          </w:p>
        </w:tc>
        <w:tc>
          <w:tcPr>
            <w:tcW w:w="2127" w:type="dxa"/>
            <w:shd w:val="clear" w:color="auto" w:fill="auto"/>
            <w:vAlign w:val="center"/>
          </w:tcPr>
          <w:p w14:paraId="3F645649"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Comitet Național al Zonei Costiere funcțional</w:t>
            </w:r>
          </w:p>
        </w:tc>
        <w:tc>
          <w:tcPr>
            <w:tcW w:w="2409" w:type="dxa"/>
            <w:shd w:val="clear" w:color="auto" w:fill="auto"/>
            <w:vAlign w:val="center"/>
          </w:tcPr>
          <w:p w14:paraId="074EF854"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2268" w:type="dxa"/>
            <w:shd w:val="clear" w:color="auto" w:fill="auto"/>
            <w:vAlign w:val="center"/>
          </w:tcPr>
          <w:p w14:paraId="7B995EC4"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1985" w:type="dxa"/>
            <w:shd w:val="clear" w:color="auto" w:fill="auto"/>
            <w:vAlign w:val="center"/>
          </w:tcPr>
          <w:p w14:paraId="45D58482"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r>
      <w:tr w:rsidR="00670FD4" w:rsidRPr="00344FCE" w14:paraId="6A1D888C" w14:textId="77777777" w:rsidTr="001925BA">
        <w:trPr>
          <w:trHeight w:val="20"/>
        </w:trPr>
        <w:tc>
          <w:tcPr>
            <w:tcW w:w="2787" w:type="dxa"/>
            <w:vMerge w:val="restart"/>
            <w:shd w:val="clear" w:color="auto" w:fill="auto"/>
            <w:vAlign w:val="center"/>
          </w:tcPr>
          <w:p w14:paraId="3345FCB7"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F.2 Înființarea și asigurarea funcționalității  Observatorului Zonei Costiere</w:t>
            </w:r>
          </w:p>
        </w:tc>
        <w:tc>
          <w:tcPr>
            <w:tcW w:w="1999" w:type="dxa"/>
            <w:vMerge w:val="restart"/>
            <w:shd w:val="clear" w:color="auto" w:fill="auto"/>
            <w:vAlign w:val="center"/>
          </w:tcPr>
          <w:p w14:paraId="1EFCBE17"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MMAP</w:t>
            </w:r>
          </w:p>
        </w:tc>
        <w:tc>
          <w:tcPr>
            <w:tcW w:w="1559" w:type="dxa"/>
            <w:vMerge w:val="restart"/>
            <w:shd w:val="clear" w:color="auto" w:fill="auto"/>
            <w:vAlign w:val="center"/>
          </w:tcPr>
          <w:p w14:paraId="61154861"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vMerge w:val="restart"/>
            <w:shd w:val="clear" w:color="auto" w:fill="auto"/>
            <w:vAlign w:val="center"/>
          </w:tcPr>
          <w:p w14:paraId="08868AC8"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Observatorul Zonei Costiere funcțional</w:t>
            </w:r>
          </w:p>
        </w:tc>
        <w:tc>
          <w:tcPr>
            <w:tcW w:w="2409" w:type="dxa"/>
            <w:vMerge w:val="restart"/>
            <w:shd w:val="clear" w:color="auto" w:fill="auto"/>
            <w:vAlign w:val="center"/>
          </w:tcPr>
          <w:p w14:paraId="2C86D075"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Observator al Zonei Costiere funcțional</w:t>
            </w:r>
          </w:p>
        </w:tc>
        <w:tc>
          <w:tcPr>
            <w:tcW w:w="2268" w:type="dxa"/>
            <w:shd w:val="clear" w:color="auto" w:fill="auto"/>
            <w:vAlign w:val="center"/>
          </w:tcPr>
          <w:p w14:paraId="4AF7DC04"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furnizori de date</w:t>
            </w:r>
          </w:p>
        </w:tc>
        <w:tc>
          <w:tcPr>
            <w:tcW w:w="1985" w:type="dxa"/>
            <w:vMerge w:val="restart"/>
            <w:shd w:val="clear" w:color="auto" w:fill="auto"/>
            <w:vAlign w:val="center"/>
          </w:tcPr>
          <w:p w14:paraId="21C0522F"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670FD4" w:rsidRPr="00344FCE" w14:paraId="21D99D1A" w14:textId="77777777" w:rsidTr="001925BA">
        <w:trPr>
          <w:trHeight w:val="20"/>
        </w:trPr>
        <w:tc>
          <w:tcPr>
            <w:tcW w:w="2787" w:type="dxa"/>
            <w:vMerge/>
            <w:shd w:val="clear" w:color="auto" w:fill="auto"/>
            <w:vAlign w:val="center"/>
          </w:tcPr>
          <w:p w14:paraId="0A0C5AE6"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1707DC95"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23A60E5B"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348184D0" w14:textId="77777777" w:rsidR="00670FD4" w:rsidRPr="00344FCE" w:rsidRDefault="00670FD4" w:rsidP="001925BA">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auto"/>
            <w:vAlign w:val="center"/>
          </w:tcPr>
          <w:p w14:paraId="67D0EB8A"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54E8EE04"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beneficiari ai datelor și informațiilor</w:t>
            </w:r>
          </w:p>
        </w:tc>
        <w:tc>
          <w:tcPr>
            <w:tcW w:w="1985" w:type="dxa"/>
            <w:vMerge/>
            <w:shd w:val="clear" w:color="auto" w:fill="auto"/>
            <w:vAlign w:val="center"/>
          </w:tcPr>
          <w:p w14:paraId="06FFE3FA"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1A68C060" w14:textId="77777777" w:rsidTr="001925BA">
        <w:trPr>
          <w:trHeight w:val="20"/>
        </w:trPr>
        <w:tc>
          <w:tcPr>
            <w:tcW w:w="2787" w:type="dxa"/>
            <w:vMerge w:val="restart"/>
            <w:shd w:val="clear" w:color="auto" w:fill="auto"/>
            <w:vAlign w:val="center"/>
          </w:tcPr>
          <w:p w14:paraId="346CB986"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F.3 Elaborarea și implementarea Planului de comunicare al Strategiei naționale pentru managementul integrat a zonei costiere</w:t>
            </w:r>
          </w:p>
        </w:tc>
        <w:tc>
          <w:tcPr>
            <w:tcW w:w="1999" w:type="dxa"/>
            <w:vMerge w:val="restart"/>
            <w:shd w:val="clear" w:color="auto" w:fill="auto"/>
            <w:vAlign w:val="center"/>
          </w:tcPr>
          <w:p w14:paraId="4A1623AB"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MMAP</w:t>
            </w:r>
          </w:p>
        </w:tc>
        <w:tc>
          <w:tcPr>
            <w:tcW w:w="1559" w:type="dxa"/>
            <w:vMerge w:val="restart"/>
            <w:shd w:val="clear" w:color="auto" w:fill="auto"/>
            <w:vAlign w:val="center"/>
          </w:tcPr>
          <w:p w14:paraId="4E6336BB"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vMerge w:val="restart"/>
            <w:shd w:val="clear" w:color="auto" w:fill="auto"/>
            <w:vAlign w:val="center"/>
          </w:tcPr>
          <w:p w14:paraId="4F377515" w14:textId="77777777" w:rsidR="00670FD4" w:rsidRPr="00344FCE" w:rsidRDefault="00670FD4" w:rsidP="001925BA">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Plan de comunicare al Strategiei naționale pentru managementul integrat a zonei costiere</w:t>
            </w:r>
          </w:p>
        </w:tc>
        <w:tc>
          <w:tcPr>
            <w:tcW w:w="2409" w:type="dxa"/>
            <w:shd w:val="clear" w:color="auto" w:fill="auto"/>
            <w:vAlign w:val="center"/>
          </w:tcPr>
          <w:p w14:paraId="1D93759B"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Plan de comunicare al Strategiei</w:t>
            </w:r>
          </w:p>
          <w:p w14:paraId="3D138005"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302308F3"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numărul de vizitatori ai website-ului dedicat;</w:t>
            </w:r>
          </w:p>
          <w:p w14:paraId="4B1B108B"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numărul articolelor de presă care promovează evenimentul de lansare a implementării Strategiei;</w:t>
            </w:r>
          </w:p>
          <w:p w14:paraId="68567C29"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lastRenderedPageBreak/>
              <w:t>- numărul de buletine informative și comunicate de presă;</w:t>
            </w:r>
          </w:p>
          <w:p w14:paraId="58E61EAA"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număr de conferințe de presă;</w:t>
            </w:r>
          </w:p>
          <w:p w14:paraId="0F333D92"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numărul de participanți la dezbateri publice / procese consultative;</w:t>
            </w:r>
          </w:p>
          <w:p w14:paraId="3BCDCD66"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numărul de postări în social media;</w:t>
            </w:r>
          </w:p>
          <w:p w14:paraId="614DA735"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numărul de spoturi publicitare (radio, tv);</w:t>
            </w:r>
          </w:p>
          <w:p w14:paraId="7B147E55"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numărul de evenimente dedicate publicului larg;</w:t>
            </w:r>
          </w:p>
          <w:p w14:paraId="5C3F7A2A"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numărul de eveniment dedicate publicului specializat.</w:t>
            </w:r>
          </w:p>
        </w:tc>
        <w:tc>
          <w:tcPr>
            <w:tcW w:w="1985" w:type="dxa"/>
            <w:vMerge w:val="restart"/>
            <w:shd w:val="clear" w:color="auto" w:fill="auto"/>
            <w:vAlign w:val="center"/>
          </w:tcPr>
          <w:p w14:paraId="0A3E7DB2"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lastRenderedPageBreak/>
              <w:t>Anual</w:t>
            </w:r>
          </w:p>
        </w:tc>
      </w:tr>
      <w:tr w:rsidR="00670FD4" w:rsidRPr="00344FCE" w14:paraId="1AB69DB9" w14:textId="77777777" w:rsidTr="001925BA">
        <w:trPr>
          <w:trHeight w:val="20"/>
        </w:trPr>
        <w:tc>
          <w:tcPr>
            <w:tcW w:w="2787" w:type="dxa"/>
            <w:vMerge/>
            <w:shd w:val="clear" w:color="auto" w:fill="auto"/>
            <w:vAlign w:val="center"/>
          </w:tcPr>
          <w:p w14:paraId="3FA8EAE2"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4E47A8EE"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2E28A195"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67CB92EA"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shd w:val="clear" w:color="auto" w:fill="auto"/>
            <w:vAlign w:val="center"/>
          </w:tcPr>
          <w:p w14:paraId="07D00748"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Gradul de informare și implicare a cetățenilor</w:t>
            </w:r>
          </w:p>
        </w:tc>
        <w:tc>
          <w:tcPr>
            <w:tcW w:w="2268" w:type="dxa"/>
            <w:shd w:val="clear" w:color="auto" w:fill="auto"/>
            <w:vAlign w:val="center"/>
          </w:tcPr>
          <w:p w14:paraId="52B41AB0"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cetățeni participanți la dezbateri publice / procese consultative</w:t>
            </w:r>
          </w:p>
        </w:tc>
        <w:tc>
          <w:tcPr>
            <w:tcW w:w="1985" w:type="dxa"/>
            <w:vMerge/>
            <w:shd w:val="clear" w:color="auto" w:fill="auto"/>
            <w:vAlign w:val="center"/>
          </w:tcPr>
          <w:p w14:paraId="6270C15B" w14:textId="77777777" w:rsidR="00670FD4" w:rsidRPr="00344FCE" w:rsidRDefault="00670FD4" w:rsidP="001925BA">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670FD4" w:rsidRPr="00344FCE" w14:paraId="7079CFA6" w14:textId="77777777" w:rsidTr="001925BA">
        <w:trPr>
          <w:trHeight w:val="20"/>
        </w:trPr>
        <w:tc>
          <w:tcPr>
            <w:tcW w:w="2787" w:type="dxa"/>
            <w:shd w:val="clear" w:color="auto" w:fill="auto"/>
            <w:vAlign w:val="center"/>
          </w:tcPr>
          <w:p w14:paraId="6ACD77A1"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F.4 Promovarea și implementarea unui instrument de tip citizen-science în vederea implicării directe a cetățenilor, pe bază de voluntariat, în acțiuni de monitorizare a stării și proceselor din zona costieră</w:t>
            </w:r>
          </w:p>
        </w:tc>
        <w:tc>
          <w:tcPr>
            <w:tcW w:w="1999" w:type="dxa"/>
            <w:shd w:val="clear" w:color="auto" w:fill="auto"/>
            <w:vAlign w:val="center"/>
          </w:tcPr>
          <w:p w14:paraId="677348E2"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MMAP, ME (UOC, UB), MCID (INCDM Grigore Antipa, INCD GeoEcoMar, INCDDD)</w:t>
            </w:r>
          </w:p>
        </w:tc>
        <w:tc>
          <w:tcPr>
            <w:tcW w:w="1559" w:type="dxa"/>
            <w:shd w:val="clear" w:color="auto" w:fill="auto"/>
            <w:vAlign w:val="center"/>
          </w:tcPr>
          <w:p w14:paraId="4CBFE76F"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shd w:val="clear" w:color="auto" w:fill="auto"/>
            <w:vAlign w:val="center"/>
          </w:tcPr>
          <w:p w14:paraId="791E6549"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numărului de cetățeni (voluntari) implicați în monitorizarea stării și proceselor din zona costieră;</w:t>
            </w:r>
          </w:p>
        </w:tc>
        <w:tc>
          <w:tcPr>
            <w:tcW w:w="2409" w:type="dxa"/>
            <w:shd w:val="clear" w:color="auto" w:fill="auto"/>
            <w:vAlign w:val="center"/>
          </w:tcPr>
          <w:p w14:paraId="1E20AB2A"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Gradul de informare și implicare a cetățenilor</w:t>
            </w:r>
          </w:p>
        </w:tc>
        <w:tc>
          <w:tcPr>
            <w:tcW w:w="2268" w:type="dxa"/>
            <w:shd w:val="clear" w:color="auto" w:fill="auto"/>
            <w:vAlign w:val="center"/>
          </w:tcPr>
          <w:p w14:paraId="665337A8"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voluntari implicați în monitorizarea zonei costiere</w:t>
            </w:r>
          </w:p>
        </w:tc>
        <w:tc>
          <w:tcPr>
            <w:tcW w:w="1985" w:type="dxa"/>
            <w:shd w:val="clear" w:color="auto" w:fill="auto"/>
            <w:vAlign w:val="center"/>
          </w:tcPr>
          <w:p w14:paraId="218B1A39"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670FD4" w:rsidRPr="00344FCE" w14:paraId="3A700DA8" w14:textId="77777777" w:rsidTr="001925BA">
        <w:trPr>
          <w:trHeight w:val="20"/>
        </w:trPr>
        <w:tc>
          <w:tcPr>
            <w:tcW w:w="2787" w:type="dxa"/>
            <w:shd w:val="clear" w:color="auto" w:fill="auto"/>
            <w:vAlign w:val="center"/>
          </w:tcPr>
          <w:p w14:paraId="0C20166F"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F.5 Revizuirea delimitării zonei costiere prevăzută în OUG 202/2002, precum și a limitelor de restricție </w:t>
            </w:r>
            <w:r w:rsidRPr="00344FCE">
              <w:rPr>
                <w:rFonts w:eastAsia="Times New Roman" w:cs="Times New Roman"/>
                <w:kern w:val="0"/>
                <w:sz w:val="22"/>
                <w:szCs w:val="22"/>
                <w:lang w:val="ro-RO"/>
              </w:rPr>
              <w:lastRenderedPageBreak/>
              <w:t>temporară stabilite prin actele normative subsecvente Legea 597/ 31.10. 2001, Hotărârea Guvernului nr. 546/07.04.2004 și Hotărârea Guvernului nr. 749/14.05.2004</w:t>
            </w:r>
          </w:p>
        </w:tc>
        <w:tc>
          <w:tcPr>
            <w:tcW w:w="1999" w:type="dxa"/>
            <w:shd w:val="clear" w:color="auto" w:fill="auto"/>
            <w:vAlign w:val="center"/>
          </w:tcPr>
          <w:p w14:paraId="46094F01"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lastRenderedPageBreak/>
              <w:t>MMAP, MDLPA</w:t>
            </w:r>
          </w:p>
        </w:tc>
        <w:tc>
          <w:tcPr>
            <w:tcW w:w="1559" w:type="dxa"/>
            <w:shd w:val="clear" w:color="auto" w:fill="auto"/>
            <w:vAlign w:val="center"/>
          </w:tcPr>
          <w:p w14:paraId="6E28B96B"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tc>
        <w:tc>
          <w:tcPr>
            <w:tcW w:w="2127" w:type="dxa"/>
            <w:shd w:val="clear" w:color="auto" w:fill="auto"/>
            <w:vAlign w:val="center"/>
          </w:tcPr>
          <w:p w14:paraId="2B5E38D4" w14:textId="77777777" w:rsidR="00670FD4" w:rsidRPr="00344FCE" w:rsidRDefault="00670FD4" w:rsidP="001925BA">
            <w:pPr>
              <w:spacing w:before="0" w:after="100" w:afterAutospacing="1"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Delimitarea spațiilor sensibile / critice / vulnerable din zona costieră</w:t>
            </w:r>
          </w:p>
        </w:tc>
        <w:tc>
          <w:tcPr>
            <w:tcW w:w="2409" w:type="dxa"/>
            <w:shd w:val="clear" w:color="auto" w:fill="auto"/>
            <w:vAlign w:val="center"/>
          </w:tcPr>
          <w:p w14:paraId="58B6F9B3"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2268" w:type="dxa"/>
            <w:shd w:val="clear" w:color="auto" w:fill="auto"/>
            <w:vAlign w:val="center"/>
          </w:tcPr>
          <w:p w14:paraId="7E963C50"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p>
        </w:tc>
        <w:tc>
          <w:tcPr>
            <w:tcW w:w="1985" w:type="dxa"/>
            <w:shd w:val="clear" w:color="auto" w:fill="auto"/>
            <w:vAlign w:val="center"/>
          </w:tcPr>
          <w:p w14:paraId="6494C5AB"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670FD4" w:rsidRPr="00344FCE" w14:paraId="0D5EA423" w14:textId="77777777" w:rsidTr="001925BA">
        <w:trPr>
          <w:trHeight w:val="20"/>
        </w:trPr>
        <w:tc>
          <w:tcPr>
            <w:tcW w:w="2787" w:type="dxa"/>
            <w:shd w:val="clear" w:color="auto" w:fill="auto"/>
            <w:vAlign w:val="center"/>
          </w:tcPr>
          <w:p w14:paraId="77C8CC61"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F.6 Programe pentru furnizarea de Asistență Tehnică pentru îmbunătățirea / consolidarea capacității administrative  a actorilor instituționali implicați în implementarea managementului integrat al zonei costiere</w:t>
            </w:r>
          </w:p>
        </w:tc>
        <w:tc>
          <w:tcPr>
            <w:tcW w:w="1999" w:type="dxa"/>
            <w:shd w:val="clear" w:color="auto" w:fill="auto"/>
            <w:vAlign w:val="center"/>
          </w:tcPr>
          <w:p w14:paraId="6D55AA15"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MMAP</w:t>
            </w:r>
          </w:p>
        </w:tc>
        <w:tc>
          <w:tcPr>
            <w:tcW w:w="1559" w:type="dxa"/>
            <w:shd w:val="clear" w:color="auto" w:fill="auto"/>
            <w:vAlign w:val="center"/>
          </w:tcPr>
          <w:p w14:paraId="0A6AE9C8"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shd w:val="clear" w:color="auto" w:fill="auto"/>
            <w:vAlign w:val="center"/>
          </w:tcPr>
          <w:p w14:paraId="429764C3" w14:textId="77777777" w:rsidR="00670FD4" w:rsidRPr="00344FCE" w:rsidRDefault="00670FD4" w:rsidP="001925BA">
            <w:pPr>
              <w:spacing w:before="0" w:after="100" w:afterAutospacing="1"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numărului beneficiari ai programelor de Asistență Tehnică</w:t>
            </w:r>
          </w:p>
        </w:tc>
        <w:tc>
          <w:tcPr>
            <w:tcW w:w="2409" w:type="dxa"/>
            <w:shd w:val="clear" w:color="auto" w:fill="auto"/>
            <w:vAlign w:val="center"/>
          </w:tcPr>
          <w:p w14:paraId="45017524"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Nivelul de instruire al actorilor implicați în managementul integrat al zonei costiere</w:t>
            </w:r>
          </w:p>
        </w:tc>
        <w:tc>
          <w:tcPr>
            <w:tcW w:w="2268" w:type="dxa"/>
            <w:shd w:val="clear" w:color="auto" w:fill="auto"/>
            <w:vAlign w:val="center"/>
          </w:tcPr>
          <w:p w14:paraId="63F7B9EC"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programe de asistență tehnică</w:t>
            </w:r>
          </w:p>
        </w:tc>
        <w:tc>
          <w:tcPr>
            <w:tcW w:w="1985" w:type="dxa"/>
            <w:shd w:val="clear" w:color="auto" w:fill="auto"/>
            <w:vAlign w:val="center"/>
          </w:tcPr>
          <w:p w14:paraId="31A47664"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670FD4" w:rsidRPr="00344FCE" w14:paraId="54C24410" w14:textId="77777777" w:rsidTr="001925BA">
        <w:trPr>
          <w:trHeight w:val="20"/>
        </w:trPr>
        <w:tc>
          <w:tcPr>
            <w:tcW w:w="2787" w:type="dxa"/>
            <w:vMerge w:val="restart"/>
            <w:shd w:val="clear" w:color="auto" w:fill="auto"/>
            <w:vAlign w:val="center"/>
          </w:tcPr>
          <w:p w14:paraId="02CB82F9"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F.7 Dezvoltarea unui sistem eficient de supraveghere și control a utilizării resurselor zonei costiere</w:t>
            </w:r>
          </w:p>
        </w:tc>
        <w:tc>
          <w:tcPr>
            <w:tcW w:w="1999" w:type="dxa"/>
            <w:vMerge w:val="restart"/>
            <w:shd w:val="clear" w:color="auto" w:fill="auto"/>
            <w:vAlign w:val="center"/>
          </w:tcPr>
          <w:p w14:paraId="546C3D08"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MMAP (pri</w:t>
            </w:r>
            <w:r>
              <w:rPr>
                <w:rFonts w:eastAsia="Times New Roman" w:cs="Times New Roman"/>
                <w:kern w:val="0"/>
                <w:sz w:val="22"/>
                <w:szCs w:val="22"/>
                <w:lang w:val="ro-RO"/>
              </w:rPr>
              <w:t>n</w:t>
            </w:r>
            <w:r w:rsidRPr="00344FCE">
              <w:rPr>
                <w:rFonts w:eastAsia="Times New Roman" w:cs="Times New Roman"/>
                <w:kern w:val="0"/>
                <w:sz w:val="22"/>
                <w:szCs w:val="22"/>
                <w:lang w:val="ro-RO"/>
              </w:rPr>
              <w:t>,</w:t>
            </w:r>
            <w:r>
              <w:rPr>
                <w:rFonts w:eastAsia="Times New Roman" w:cs="Times New Roman"/>
                <w:kern w:val="0"/>
                <w:sz w:val="22"/>
                <w:szCs w:val="22"/>
                <w:lang w:val="ro-RO"/>
              </w:rPr>
              <w:t xml:space="preserve"> </w:t>
            </w:r>
            <w:r w:rsidRPr="00344FCE">
              <w:rPr>
                <w:rFonts w:eastAsia="Times New Roman" w:cs="Times New Roman"/>
                <w:kern w:val="0"/>
                <w:sz w:val="22"/>
                <w:szCs w:val="22"/>
                <w:lang w:val="ro-RO"/>
              </w:rPr>
              <w:t>ARBDD, ANANP, GNM), MADR (prin ANPA), MAI și ANRM.</w:t>
            </w:r>
          </w:p>
        </w:tc>
        <w:tc>
          <w:tcPr>
            <w:tcW w:w="1559" w:type="dxa"/>
            <w:vMerge w:val="restart"/>
            <w:shd w:val="clear" w:color="auto" w:fill="auto"/>
            <w:vAlign w:val="center"/>
          </w:tcPr>
          <w:p w14:paraId="576E4D0D"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vMerge w:val="restart"/>
            <w:shd w:val="clear" w:color="auto" w:fill="auto"/>
            <w:vAlign w:val="center"/>
          </w:tcPr>
          <w:p w14:paraId="3D8EC0D7"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gradului de eficiență a acțiunilor de control și supraveghere</w:t>
            </w:r>
          </w:p>
        </w:tc>
        <w:tc>
          <w:tcPr>
            <w:tcW w:w="2409" w:type="dxa"/>
            <w:vMerge w:val="restart"/>
            <w:shd w:val="clear" w:color="auto" w:fill="auto"/>
            <w:vAlign w:val="center"/>
          </w:tcPr>
          <w:p w14:paraId="2888DF22"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25E4EBD4"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5A37DAA3" w14:textId="77777777" w:rsidR="00670FD4" w:rsidRPr="00344FCE" w:rsidRDefault="00670FD4" w:rsidP="001925BA">
            <w:pPr>
              <w:spacing w:before="0" w:after="0" w:line="240" w:lineRule="auto"/>
              <w:ind w:firstLine="0"/>
              <w:rPr>
                <w:rFonts w:eastAsia="Times New Roman" w:cs="Times New Roman"/>
                <w:kern w:val="0"/>
                <w:sz w:val="22"/>
                <w:szCs w:val="22"/>
                <w:lang w:val="ro-RO"/>
              </w:rPr>
            </w:pPr>
          </w:p>
          <w:p w14:paraId="2BCB8904"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Controlul activităților socio-economice</w:t>
            </w:r>
          </w:p>
        </w:tc>
        <w:tc>
          <w:tcPr>
            <w:tcW w:w="2268" w:type="dxa"/>
            <w:shd w:val="clear" w:color="auto" w:fill="auto"/>
            <w:vAlign w:val="center"/>
          </w:tcPr>
          <w:p w14:paraId="3A542436"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controale / an</w:t>
            </w:r>
          </w:p>
        </w:tc>
        <w:tc>
          <w:tcPr>
            <w:tcW w:w="1985" w:type="dxa"/>
            <w:vMerge w:val="restart"/>
            <w:shd w:val="clear" w:color="auto" w:fill="auto"/>
            <w:vAlign w:val="center"/>
          </w:tcPr>
          <w:p w14:paraId="48FE0994" w14:textId="77777777" w:rsidR="00670FD4" w:rsidRPr="00344FCE" w:rsidRDefault="00670FD4" w:rsidP="001925BA">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670FD4" w:rsidRPr="00344FCE" w14:paraId="3A6464F4" w14:textId="77777777" w:rsidTr="001925BA">
        <w:trPr>
          <w:trHeight w:val="20"/>
        </w:trPr>
        <w:tc>
          <w:tcPr>
            <w:tcW w:w="2787" w:type="dxa"/>
            <w:vMerge/>
            <w:shd w:val="clear" w:color="auto" w:fill="auto"/>
            <w:vAlign w:val="center"/>
          </w:tcPr>
          <w:p w14:paraId="3BB9F6B9" w14:textId="77777777" w:rsidR="00670FD4" w:rsidRPr="00344FCE" w:rsidRDefault="00670FD4" w:rsidP="001925BA">
            <w:pPr>
              <w:widowControl w:val="0"/>
              <w:pBdr>
                <w:top w:val="nil"/>
                <w:left w:val="nil"/>
                <w:bottom w:val="nil"/>
                <w:right w:val="nil"/>
                <w:between w:val="nil"/>
              </w:pBdr>
              <w:spacing w:before="0" w:after="0"/>
              <w:ind w:firstLine="0"/>
              <w:jc w:val="center"/>
              <w:rPr>
                <w:rFonts w:eastAsia="Times New Roman" w:cs="Times New Roman"/>
                <w:kern w:val="0"/>
                <w:sz w:val="22"/>
                <w:szCs w:val="22"/>
                <w:lang w:val="ro-RO"/>
              </w:rPr>
            </w:pPr>
          </w:p>
        </w:tc>
        <w:tc>
          <w:tcPr>
            <w:tcW w:w="1999" w:type="dxa"/>
            <w:vMerge/>
            <w:shd w:val="clear" w:color="auto" w:fill="auto"/>
            <w:vAlign w:val="center"/>
          </w:tcPr>
          <w:p w14:paraId="683AFA09" w14:textId="77777777" w:rsidR="00670FD4" w:rsidRPr="00344FCE" w:rsidRDefault="00670FD4" w:rsidP="001925BA">
            <w:pPr>
              <w:widowControl w:val="0"/>
              <w:pBdr>
                <w:top w:val="nil"/>
                <w:left w:val="nil"/>
                <w:bottom w:val="nil"/>
                <w:right w:val="nil"/>
                <w:between w:val="nil"/>
              </w:pBdr>
              <w:spacing w:before="0" w:after="0"/>
              <w:ind w:firstLine="0"/>
              <w:jc w:val="center"/>
              <w:rPr>
                <w:rFonts w:eastAsia="Times New Roman" w:cs="Times New Roman"/>
                <w:kern w:val="0"/>
                <w:sz w:val="22"/>
                <w:szCs w:val="22"/>
                <w:lang w:val="ro-RO"/>
              </w:rPr>
            </w:pPr>
          </w:p>
        </w:tc>
        <w:tc>
          <w:tcPr>
            <w:tcW w:w="1559" w:type="dxa"/>
            <w:vMerge/>
            <w:shd w:val="clear" w:color="auto" w:fill="auto"/>
            <w:vAlign w:val="center"/>
          </w:tcPr>
          <w:p w14:paraId="39971B83" w14:textId="77777777" w:rsidR="00670FD4" w:rsidRPr="00344FCE" w:rsidRDefault="00670FD4" w:rsidP="001925BA">
            <w:pPr>
              <w:widowControl w:val="0"/>
              <w:pBdr>
                <w:top w:val="nil"/>
                <w:left w:val="nil"/>
                <w:bottom w:val="nil"/>
                <w:right w:val="nil"/>
                <w:between w:val="nil"/>
              </w:pBdr>
              <w:spacing w:before="0" w:after="0"/>
              <w:ind w:firstLine="0"/>
              <w:jc w:val="center"/>
              <w:rPr>
                <w:rFonts w:eastAsia="Times New Roman" w:cs="Times New Roman"/>
                <w:kern w:val="0"/>
                <w:sz w:val="22"/>
                <w:szCs w:val="22"/>
                <w:lang w:val="ro-RO"/>
              </w:rPr>
            </w:pPr>
          </w:p>
        </w:tc>
        <w:tc>
          <w:tcPr>
            <w:tcW w:w="2127" w:type="dxa"/>
            <w:vMerge/>
            <w:shd w:val="clear" w:color="auto" w:fill="auto"/>
            <w:vAlign w:val="center"/>
          </w:tcPr>
          <w:p w14:paraId="75074E2C" w14:textId="77777777" w:rsidR="00670FD4" w:rsidRPr="00344FCE" w:rsidRDefault="00670FD4" w:rsidP="001925BA">
            <w:pPr>
              <w:widowControl w:val="0"/>
              <w:pBdr>
                <w:top w:val="nil"/>
                <w:left w:val="nil"/>
                <w:bottom w:val="nil"/>
                <w:right w:val="nil"/>
                <w:between w:val="nil"/>
              </w:pBdr>
              <w:spacing w:before="0" w:after="0"/>
              <w:ind w:firstLine="0"/>
              <w:rPr>
                <w:rFonts w:eastAsia="Times New Roman" w:cs="Times New Roman"/>
                <w:kern w:val="0"/>
                <w:sz w:val="22"/>
                <w:szCs w:val="22"/>
                <w:lang w:val="ro-RO"/>
              </w:rPr>
            </w:pPr>
          </w:p>
        </w:tc>
        <w:tc>
          <w:tcPr>
            <w:tcW w:w="2409" w:type="dxa"/>
            <w:vMerge/>
            <w:shd w:val="clear" w:color="auto" w:fill="auto"/>
            <w:vAlign w:val="center"/>
          </w:tcPr>
          <w:p w14:paraId="344EE92B"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5253E1C6"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Total venituri încasate în urma activităților de control</w:t>
            </w:r>
          </w:p>
        </w:tc>
        <w:tc>
          <w:tcPr>
            <w:tcW w:w="1985" w:type="dxa"/>
            <w:vMerge/>
            <w:shd w:val="clear" w:color="auto" w:fill="auto"/>
            <w:vAlign w:val="center"/>
          </w:tcPr>
          <w:p w14:paraId="770949E2" w14:textId="77777777" w:rsidR="00670FD4" w:rsidRPr="00344FCE" w:rsidRDefault="00670FD4" w:rsidP="001925BA">
            <w:pPr>
              <w:widowControl w:val="0"/>
              <w:pBdr>
                <w:top w:val="nil"/>
                <w:left w:val="nil"/>
                <w:bottom w:val="nil"/>
                <w:right w:val="nil"/>
                <w:between w:val="nil"/>
              </w:pBdr>
              <w:spacing w:before="0" w:after="0"/>
              <w:ind w:firstLine="0"/>
              <w:jc w:val="center"/>
              <w:rPr>
                <w:rFonts w:eastAsia="Times New Roman" w:cs="Times New Roman"/>
                <w:kern w:val="0"/>
                <w:sz w:val="22"/>
                <w:szCs w:val="22"/>
                <w:lang w:val="ro-RO"/>
              </w:rPr>
            </w:pPr>
          </w:p>
        </w:tc>
      </w:tr>
      <w:tr w:rsidR="00670FD4" w:rsidRPr="00344FCE" w14:paraId="362074F5" w14:textId="77777777" w:rsidTr="001925BA">
        <w:trPr>
          <w:trHeight w:val="20"/>
        </w:trPr>
        <w:tc>
          <w:tcPr>
            <w:tcW w:w="2787" w:type="dxa"/>
            <w:vMerge/>
            <w:shd w:val="clear" w:color="auto" w:fill="auto"/>
            <w:vAlign w:val="center"/>
          </w:tcPr>
          <w:p w14:paraId="3881B63D" w14:textId="77777777" w:rsidR="00670FD4" w:rsidRPr="00344FCE" w:rsidRDefault="00670FD4" w:rsidP="001925BA">
            <w:pPr>
              <w:widowControl w:val="0"/>
              <w:pBdr>
                <w:top w:val="nil"/>
                <w:left w:val="nil"/>
                <w:bottom w:val="nil"/>
                <w:right w:val="nil"/>
                <w:between w:val="nil"/>
              </w:pBdr>
              <w:spacing w:before="0" w:after="0"/>
              <w:ind w:firstLine="0"/>
              <w:jc w:val="center"/>
              <w:rPr>
                <w:rFonts w:eastAsia="Times New Roman" w:cs="Times New Roman"/>
                <w:kern w:val="0"/>
                <w:sz w:val="22"/>
                <w:szCs w:val="22"/>
                <w:lang w:val="ro-RO"/>
              </w:rPr>
            </w:pPr>
          </w:p>
        </w:tc>
        <w:tc>
          <w:tcPr>
            <w:tcW w:w="1999" w:type="dxa"/>
            <w:vMerge/>
            <w:shd w:val="clear" w:color="auto" w:fill="auto"/>
            <w:vAlign w:val="center"/>
          </w:tcPr>
          <w:p w14:paraId="63391494" w14:textId="77777777" w:rsidR="00670FD4" w:rsidRPr="00344FCE" w:rsidRDefault="00670FD4" w:rsidP="001925BA">
            <w:pPr>
              <w:widowControl w:val="0"/>
              <w:pBdr>
                <w:top w:val="nil"/>
                <w:left w:val="nil"/>
                <w:bottom w:val="nil"/>
                <w:right w:val="nil"/>
                <w:between w:val="nil"/>
              </w:pBdr>
              <w:spacing w:before="0" w:after="0"/>
              <w:ind w:firstLine="0"/>
              <w:jc w:val="center"/>
              <w:rPr>
                <w:rFonts w:eastAsia="Times New Roman" w:cs="Times New Roman"/>
                <w:kern w:val="0"/>
                <w:sz w:val="22"/>
                <w:szCs w:val="22"/>
                <w:lang w:val="ro-RO"/>
              </w:rPr>
            </w:pPr>
          </w:p>
        </w:tc>
        <w:tc>
          <w:tcPr>
            <w:tcW w:w="1559" w:type="dxa"/>
            <w:vMerge/>
            <w:shd w:val="clear" w:color="auto" w:fill="auto"/>
            <w:vAlign w:val="center"/>
          </w:tcPr>
          <w:p w14:paraId="1FD76A7A" w14:textId="77777777" w:rsidR="00670FD4" w:rsidRPr="00344FCE" w:rsidRDefault="00670FD4" w:rsidP="001925BA">
            <w:pPr>
              <w:widowControl w:val="0"/>
              <w:pBdr>
                <w:top w:val="nil"/>
                <w:left w:val="nil"/>
                <w:bottom w:val="nil"/>
                <w:right w:val="nil"/>
                <w:between w:val="nil"/>
              </w:pBdr>
              <w:spacing w:before="0" w:after="0"/>
              <w:ind w:firstLine="0"/>
              <w:jc w:val="center"/>
              <w:rPr>
                <w:rFonts w:eastAsia="Times New Roman" w:cs="Times New Roman"/>
                <w:kern w:val="0"/>
                <w:sz w:val="22"/>
                <w:szCs w:val="22"/>
                <w:lang w:val="ro-RO"/>
              </w:rPr>
            </w:pPr>
          </w:p>
        </w:tc>
        <w:tc>
          <w:tcPr>
            <w:tcW w:w="2127" w:type="dxa"/>
            <w:vMerge/>
            <w:shd w:val="clear" w:color="auto" w:fill="auto"/>
            <w:vAlign w:val="center"/>
          </w:tcPr>
          <w:p w14:paraId="261C95B3" w14:textId="77777777" w:rsidR="00670FD4" w:rsidRPr="00344FCE" w:rsidRDefault="00670FD4" w:rsidP="001925BA">
            <w:pPr>
              <w:widowControl w:val="0"/>
              <w:pBdr>
                <w:top w:val="nil"/>
                <w:left w:val="nil"/>
                <w:bottom w:val="nil"/>
                <w:right w:val="nil"/>
                <w:between w:val="nil"/>
              </w:pBdr>
              <w:spacing w:before="0" w:after="0"/>
              <w:ind w:firstLine="0"/>
              <w:rPr>
                <w:rFonts w:eastAsia="Times New Roman" w:cs="Times New Roman"/>
                <w:kern w:val="0"/>
                <w:sz w:val="22"/>
                <w:szCs w:val="22"/>
                <w:lang w:val="ro-RO"/>
              </w:rPr>
            </w:pPr>
          </w:p>
        </w:tc>
        <w:tc>
          <w:tcPr>
            <w:tcW w:w="2409" w:type="dxa"/>
            <w:vMerge/>
            <w:shd w:val="clear" w:color="auto" w:fill="auto"/>
            <w:vAlign w:val="center"/>
          </w:tcPr>
          <w:p w14:paraId="31A7C387"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0C04E12C" w14:textId="77777777" w:rsidR="00670FD4" w:rsidRPr="00344FCE" w:rsidRDefault="00670FD4" w:rsidP="001925BA">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Valoarea economică a resurselor exploatate ilegal</w:t>
            </w:r>
          </w:p>
        </w:tc>
        <w:tc>
          <w:tcPr>
            <w:tcW w:w="1985" w:type="dxa"/>
            <w:vMerge/>
            <w:shd w:val="clear" w:color="auto" w:fill="auto"/>
            <w:vAlign w:val="center"/>
          </w:tcPr>
          <w:p w14:paraId="323F0145" w14:textId="77777777" w:rsidR="00670FD4" w:rsidRPr="00344FCE" w:rsidRDefault="00670FD4" w:rsidP="001925BA">
            <w:pPr>
              <w:widowControl w:val="0"/>
              <w:pBdr>
                <w:top w:val="nil"/>
                <w:left w:val="nil"/>
                <w:bottom w:val="nil"/>
                <w:right w:val="nil"/>
                <w:between w:val="nil"/>
              </w:pBdr>
              <w:spacing w:before="0" w:after="0"/>
              <w:ind w:firstLine="0"/>
              <w:jc w:val="center"/>
              <w:rPr>
                <w:rFonts w:eastAsia="Times New Roman" w:cs="Times New Roman"/>
                <w:kern w:val="0"/>
                <w:sz w:val="22"/>
                <w:szCs w:val="22"/>
                <w:lang w:val="ro-RO"/>
              </w:rPr>
            </w:pPr>
          </w:p>
        </w:tc>
      </w:tr>
      <w:tr w:rsidR="00670FD4" w:rsidRPr="00344FCE" w14:paraId="2D10D8A8" w14:textId="77777777" w:rsidTr="001925BA">
        <w:trPr>
          <w:trHeight w:val="20"/>
        </w:trPr>
        <w:tc>
          <w:tcPr>
            <w:tcW w:w="2787" w:type="dxa"/>
            <w:vMerge/>
            <w:shd w:val="clear" w:color="auto" w:fill="auto"/>
            <w:vAlign w:val="center"/>
          </w:tcPr>
          <w:p w14:paraId="16339A05" w14:textId="77777777" w:rsidR="00670FD4" w:rsidRPr="00344FCE" w:rsidRDefault="00670FD4" w:rsidP="001925BA">
            <w:pPr>
              <w:widowControl w:val="0"/>
              <w:pBdr>
                <w:top w:val="nil"/>
                <w:left w:val="nil"/>
                <w:bottom w:val="nil"/>
                <w:right w:val="nil"/>
                <w:between w:val="nil"/>
              </w:pBdr>
              <w:spacing w:before="0" w:after="0"/>
              <w:ind w:firstLine="0"/>
              <w:jc w:val="center"/>
              <w:rPr>
                <w:rFonts w:eastAsia="Times New Roman" w:cs="Times New Roman"/>
                <w:kern w:val="0"/>
                <w:sz w:val="22"/>
                <w:szCs w:val="22"/>
                <w:lang w:val="ro-RO"/>
              </w:rPr>
            </w:pPr>
          </w:p>
        </w:tc>
        <w:tc>
          <w:tcPr>
            <w:tcW w:w="1999" w:type="dxa"/>
            <w:vMerge/>
            <w:shd w:val="clear" w:color="auto" w:fill="auto"/>
            <w:vAlign w:val="center"/>
          </w:tcPr>
          <w:p w14:paraId="54A88270" w14:textId="77777777" w:rsidR="00670FD4" w:rsidRPr="00344FCE" w:rsidRDefault="00670FD4" w:rsidP="001925BA">
            <w:pPr>
              <w:widowControl w:val="0"/>
              <w:pBdr>
                <w:top w:val="nil"/>
                <w:left w:val="nil"/>
                <w:bottom w:val="nil"/>
                <w:right w:val="nil"/>
                <w:between w:val="nil"/>
              </w:pBdr>
              <w:spacing w:before="0" w:after="0"/>
              <w:ind w:firstLine="0"/>
              <w:jc w:val="center"/>
              <w:rPr>
                <w:rFonts w:eastAsia="Times New Roman" w:cs="Times New Roman"/>
                <w:kern w:val="0"/>
                <w:sz w:val="22"/>
                <w:szCs w:val="22"/>
                <w:lang w:val="ro-RO"/>
              </w:rPr>
            </w:pPr>
          </w:p>
        </w:tc>
        <w:tc>
          <w:tcPr>
            <w:tcW w:w="1559" w:type="dxa"/>
            <w:vMerge/>
            <w:shd w:val="clear" w:color="auto" w:fill="auto"/>
            <w:vAlign w:val="center"/>
          </w:tcPr>
          <w:p w14:paraId="5FA0ED9C" w14:textId="77777777" w:rsidR="00670FD4" w:rsidRPr="00344FCE" w:rsidRDefault="00670FD4" w:rsidP="001925BA">
            <w:pPr>
              <w:widowControl w:val="0"/>
              <w:pBdr>
                <w:top w:val="nil"/>
                <w:left w:val="nil"/>
                <w:bottom w:val="nil"/>
                <w:right w:val="nil"/>
                <w:between w:val="nil"/>
              </w:pBdr>
              <w:spacing w:before="0" w:after="0"/>
              <w:ind w:firstLine="0"/>
              <w:jc w:val="center"/>
              <w:rPr>
                <w:rFonts w:eastAsia="Times New Roman" w:cs="Times New Roman"/>
                <w:kern w:val="0"/>
                <w:sz w:val="22"/>
                <w:szCs w:val="22"/>
                <w:lang w:val="ro-RO"/>
              </w:rPr>
            </w:pPr>
          </w:p>
        </w:tc>
        <w:tc>
          <w:tcPr>
            <w:tcW w:w="2127" w:type="dxa"/>
            <w:vMerge/>
            <w:shd w:val="clear" w:color="auto" w:fill="auto"/>
            <w:vAlign w:val="center"/>
          </w:tcPr>
          <w:p w14:paraId="3BC85B3B" w14:textId="77777777" w:rsidR="00670FD4" w:rsidRPr="00344FCE" w:rsidRDefault="00670FD4" w:rsidP="001925BA">
            <w:pPr>
              <w:widowControl w:val="0"/>
              <w:pBdr>
                <w:top w:val="nil"/>
                <w:left w:val="nil"/>
                <w:bottom w:val="nil"/>
                <w:right w:val="nil"/>
                <w:between w:val="nil"/>
              </w:pBdr>
              <w:spacing w:before="0" w:after="0"/>
              <w:ind w:firstLine="0"/>
              <w:rPr>
                <w:rFonts w:eastAsia="Times New Roman" w:cs="Times New Roman"/>
                <w:kern w:val="0"/>
                <w:sz w:val="22"/>
                <w:szCs w:val="22"/>
                <w:lang w:val="ro-RO"/>
              </w:rPr>
            </w:pPr>
          </w:p>
        </w:tc>
        <w:tc>
          <w:tcPr>
            <w:tcW w:w="2409" w:type="dxa"/>
            <w:vMerge/>
            <w:shd w:val="clear" w:color="auto" w:fill="auto"/>
            <w:vAlign w:val="center"/>
          </w:tcPr>
          <w:p w14:paraId="1060ACF2" w14:textId="77777777" w:rsidR="00670FD4" w:rsidRPr="00344FCE" w:rsidRDefault="00670FD4" w:rsidP="001925BA">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67D77077" w14:textId="77777777" w:rsidR="00670FD4" w:rsidRPr="00344FCE" w:rsidRDefault="00670FD4" w:rsidP="001925BA">
            <w:pPr>
              <w:spacing w:before="0" w:after="0" w:line="252"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clădiri construite și suprafața terenurilor ocupate ilegal</w:t>
            </w:r>
          </w:p>
        </w:tc>
        <w:tc>
          <w:tcPr>
            <w:tcW w:w="1985" w:type="dxa"/>
            <w:vMerge/>
            <w:shd w:val="clear" w:color="auto" w:fill="auto"/>
            <w:vAlign w:val="center"/>
          </w:tcPr>
          <w:p w14:paraId="4F027A0B" w14:textId="77777777" w:rsidR="00670FD4" w:rsidRPr="00344FCE" w:rsidRDefault="00670FD4" w:rsidP="001925BA">
            <w:pPr>
              <w:widowControl w:val="0"/>
              <w:pBdr>
                <w:top w:val="nil"/>
                <w:left w:val="nil"/>
                <w:bottom w:val="nil"/>
                <w:right w:val="nil"/>
                <w:between w:val="nil"/>
              </w:pBdr>
              <w:spacing w:before="0" w:after="0"/>
              <w:ind w:firstLine="0"/>
              <w:jc w:val="center"/>
              <w:rPr>
                <w:rFonts w:eastAsia="Times New Roman" w:cs="Times New Roman"/>
                <w:kern w:val="0"/>
                <w:sz w:val="22"/>
                <w:szCs w:val="22"/>
                <w:lang w:val="ro-RO"/>
              </w:rPr>
            </w:pPr>
          </w:p>
        </w:tc>
      </w:tr>
    </w:tbl>
    <w:p w14:paraId="7A5464A4" w14:textId="77777777" w:rsidR="00670FD4" w:rsidRDefault="00670FD4" w:rsidP="00670FD4">
      <w:pPr>
        <w:ind w:firstLine="0"/>
        <w:rPr>
          <w:b/>
          <w:lang w:val="ro-RO"/>
        </w:rPr>
      </w:pPr>
    </w:p>
    <w:p w14:paraId="12A5EFF3" w14:textId="77777777" w:rsidR="00670FD4" w:rsidRDefault="00670FD4" w:rsidP="00670FD4">
      <w:pPr>
        <w:ind w:firstLine="0"/>
        <w:rPr>
          <w:b/>
          <w:lang w:val="ro-RO"/>
        </w:rPr>
      </w:pPr>
    </w:p>
    <w:p w14:paraId="02F3073C" w14:textId="77777777" w:rsidR="00670FD4" w:rsidRPr="00B50691" w:rsidRDefault="00670FD4" w:rsidP="00670FD4">
      <w:pPr>
        <w:pStyle w:val="Heading2"/>
      </w:pPr>
      <w:bookmarkStart w:id="165" w:name="_Toc150247024"/>
      <w:bookmarkStart w:id="166" w:name="_Toc171084869"/>
      <w:r w:rsidRPr="00B50691">
        <w:lastRenderedPageBreak/>
        <w:t>Anexa 2</w:t>
      </w:r>
      <w:bookmarkEnd w:id="165"/>
      <w:bookmarkEnd w:id="166"/>
    </w:p>
    <w:tbl>
      <w:tblPr>
        <w:tblW w:w="14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2"/>
        <w:gridCol w:w="2693"/>
        <w:gridCol w:w="6520"/>
        <w:gridCol w:w="3261"/>
      </w:tblGrid>
      <w:tr w:rsidR="00670FD4" w:rsidRPr="00344FCE" w14:paraId="3B87F80C" w14:textId="77777777" w:rsidTr="001925BA">
        <w:tc>
          <w:tcPr>
            <w:tcW w:w="2122" w:type="dxa"/>
            <w:shd w:val="clear" w:color="auto" w:fill="auto"/>
          </w:tcPr>
          <w:p w14:paraId="406946FD" w14:textId="77777777" w:rsidR="00670FD4" w:rsidRPr="00344FCE" w:rsidRDefault="00670FD4" w:rsidP="001925BA">
            <w:pPr>
              <w:spacing w:before="0" w:after="160" w:line="252" w:lineRule="auto"/>
              <w:ind w:firstLine="0"/>
              <w:jc w:val="center"/>
              <w:rPr>
                <w:rFonts w:eastAsia="Times New Roman" w:cs="Times New Roman"/>
                <w:b/>
                <w:kern w:val="0"/>
                <w:lang w:val="ro-RO"/>
              </w:rPr>
            </w:pPr>
            <w:r w:rsidRPr="00344FCE">
              <w:rPr>
                <w:rFonts w:eastAsia="Times New Roman" w:cs="Times New Roman"/>
                <w:b/>
                <w:kern w:val="0"/>
                <w:lang w:val="ro-RO"/>
              </w:rPr>
              <w:t>Direcție de acțiune</w:t>
            </w:r>
          </w:p>
        </w:tc>
        <w:tc>
          <w:tcPr>
            <w:tcW w:w="2693" w:type="dxa"/>
            <w:shd w:val="clear" w:color="auto" w:fill="auto"/>
          </w:tcPr>
          <w:p w14:paraId="21D5289D" w14:textId="77777777" w:rsidR="00670FD4" w:rsidRPr="00344FCE" w:rsidRDefault="00670FD4" w:rsidP="001925BA">
            <w:pPr>
              <w:spacing w:before="0" w:after="160" w:line="252" w:lineRule="auto"/>
              <w:ind w:firstLine="0"/>
              <w:jc w:val="center"/>
              <w:rPr>
                <w:rFonts w:eastAsia="Times New Roman" w:cs="Times New Roman"/>
                <w:b/>
                <w:kern w:val="0"/>
                <w:lang w:val="ro-RO"/>
              </w:rPr>
            </w:pPr>
            <w:r w:rsidRPr="00344FCE">
              <w:rPr>
                <w:rFonts w:eastAsia="Times New Roman" w:cs="Times New Roman"/>
                <w:b/>
                <w:kern w:val="0"/>
                <w:lang w:val="ro-RO"/>
              </w:rPr>
              <w:t>Acțiune</w:t>
            </w:r>
          </w:p>
        </w:tc>
        <w:tc>
          <w:tcPr>
            <w:tcW w:w="6520" w:type="dxa"/>
            <w:shd w:val="clear" w:color="auto" w:fill="auto"/>
          </w:tcPr>
          <w:p w14:paraId="0983CB35" w14:textId="77777777" w:rsidR="00670FD4" w:rsidRPr="00344FCE" w:rsidRDefault="00670FD4" w:rsidP="001925BA">
            <w:pPr>
              <w:spacing w:before="0" w:after="160" w:line="252" w:lineRule="auto"/>
              <w:ind w:firstLine="0"/>
              <w:jc w:val="center"/>
              <w:rPr>
                <w:rFonts w:eastAsia="Times New Roman" w:cs="Times New Roman"/>
                <w:b/>
                <w:kern w:val="0"/>
                <w:lang w:val="ro-RO"/>
              </w:rPr>
            </w:pPr>
            <w:r w:rsidRPr="00344FCE">
              <w:rPr>
                <w:rFonts w:eastAsia="Times New Roman" w:cs="Times New Roman"/>
                <w:b/>
                <w:kern w:val="0"/>
                <w:lang w:val="ro-RO"/>
              </w:rPr>
              <w:t>Faze/subacțiuni</w:t>
            </w:r>
          </w:p>
        </w:tc>
        <w:tc>
          <w:tcPr>
            <w:tcW w:w="3261" w:type="dxa"/>
            <w:shd w:val="clear" w:color="auto" w:fill="auto"/>
          </w:tcPr>
          <w:p w14:paraId="20175E43" w14:textId="77777777" w:rsidR="00670FD4" w:rsidRPr="00344FCE" w:rsidRDefault="00670FD4" w:rsidP="001925BA">
            <w:pPr>
              <w:spacing w:before="0" w:after="160" w:line="252" w:lineRule="auto"/>
              <w:ind w:firstLine="0"/>
              <w:jc w:val="center"/>
              <w:rPr>
                <w:rFonts w:eastAsia="Times New Roman" w:cs="Times New Roman"/>
                <w:b/>
                <w:kern w:val="0"/>
                <w:lang w:val="ro-RO"/>
              </w:rPr>
            </w:pPr>
            <w:r w:rsidRPr="00344FCE">
              <w:rPr>
                <w:rFonts w:eastAsia="Times New Roman" w:cs="Times New Roman"/>
                <w:b/>
                <w:kern w:val="0"/>
                <w:lang w:val="ro-RO"/>
              </w:rPr>
              <w:t>Obiectiv specific vizat</w:t>
            </w:r>
          </w:p>
        </w:tc>
      </w:tr>
      <w:tr w:rsidR="00670FD4" w:rsidRPr="00344FCE" w14:paraId="3BBD4E76" w14:textId="77777777" w:rsidTr="001925BA">
        <w:tc>
          <w:tcPr>
            <w:tcW w:w="2122" w:type="dxa"/>
            <w:vMerge w:val="restart"/>
            <w:shd w:val="clear" w:color="auto" w:fill="auto"/>
          </w:tcPr>
          <w:p w14:paraId="6A43B7AD"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42EA6773"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358F8D6E"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5F3188F4"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0A5FEA3C"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1CA9C15D"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376BBDCA" w14:textId="77777777" w:rsidR="00670FD4" w:rsidRPr="00344FCE" w:rsidRDefault="00670FD4" w:rsidP="001925BA">
            <w:pPr>
              <w:spacing w:before="0" w:after="160" w:line="240" w:lineRule="auto"/>
              <w:ind w:firstLine="0"/>
              <w:jc w:val="left"/>
              <w:rPr>
                <w:rFonts w:eastAsia="Times New Roman" w:cs="Times New Roman"/>
                <w:b/>
                <w:kern w:val="0"/>
                <w:sz w:val="28"/>
                <w:szCs w:val="28"/>
                <w:lang w:val="ro-RO"/>
              </w:rPr>
            </w:pPr>
            <w:r w:rsidRPr="00344FCE">
              <w:rPr>
                <w:rFonts w:eastAsia="Times New Roman" w:cs="Times New Roman"/>
                <w:kern w:val="0"/>
                <w:lang w:val="ro-RO"/>
              </w:rPr>
              <w:t>Conservarea și valorificarea durabilă a patrimoniului natural și cultural</w:t>
            </w:r>
          </w:p>
          <w:p w14:paraId="3B5CC048" w14:textId="77777777" w:rsidR="00670FD4" w:rsidRPr="00344FCE" w:rsidRDefault="00670FD4" w:rsidP="001925BA">
            <w:pPr>
              <w:spacing w:before="0" w:after="160" w:line="240" w:lineRule="auto"/>
              <w:ind w:firstLine="0"/>
              <w:jc w:val="left"/>
              <w:rPr>
                <w:rFonts w:eastAsia="Times New Roman" w:cs="Times New Roman"/>
                <w:b/>
                <w:kern w:val="0"/>
                <w:sz w:val="28"/>
                <w:szCs w:val="28"/>
                <w:lang w:val="ro-RO"/>
              </w:rPr>
            </w:pPr>
          </w:p>
          <w:p w14:paraId="70495216"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47DEFE38"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50CB774B"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28AC66FE"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78F7E394"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58E2A5A4"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09F96E9B"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4114E49C"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59930644"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7864577C"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3C7D28C2"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289165EE"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6D0031ED"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3B884277" w14:textId="77777777" w:rsidR="00670FD4" w:rsidRPr="00344FCE" w:rsidRDefault="00670FD4" w:rsidP="001925BA">
            <w:pPr>
              <w:spacing w:before="0" w:after="160" w:line="240" w:lineRule="auto"/>
              <w:ind w:firstLine="0"/>
              <w:jc w:val="left"/>
              <w:rPr>
                <w:rFonts w:eastAsia="Times New Roman" w:cs="Times New Roman"/>
                <w:kern w:val="0"/>
                <w:lang w:val="ro-RO"/>
              </w:rPr>
            </w:pPr>
            <w:r w:rsidRPr="00344FCE">
              <w:rPr>
                <w:rFonts w:eastAsia="Times New Roman" w:cs="Times New Roman"/>
                <w:kern w:val="0"/>
                <w:lang w:val="ro-RO"/>
              </w:rPr>
              <w:t>Conservarea și valorificarea durabilă a patrimoniului natural și cultural</w:t>
            </w:r>
          </w:p>
          <w:p w14:paraId="756AA253"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16E234DA"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7F125BD8"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7E5A66B3"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6D22DD55"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6D91ECE7"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123A50D5"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623BB90B"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2836C7A5"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5895C6F4"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04FE5975"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2CBA96AD"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0D333508"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008620A5"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349EF7EA"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519998A9"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0C8269C5"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0220689C" w14:textId="77777777" w:rsidR="00670FD4" w:rsidRPr="00344FCE" w:rsidRDefault="00670FD4" w:rsidP="001925BA">
            <w:pPr>
              <w:spacing w:before="0" w:after="160" w:line="240" w:lineRule="auto"/>
              <w:ind w:firstLine="0"/>
              <w:jc w:val="left"/>
              <w:rPr>
                <w:rFonts w:eastAsia="Times New Roman" w:cs="Times New Roman"/>
                <w:kern w:val="0"/>
                <w:lang w:val="ro-RO"/>
              </w:rPr>
            </w:pPr>
            <w:r w:rsidRPr="00344FCE">
              <w:rPr>
                <w:rFonts w:eastAsia="Times New Roman" w:cs="Times New Roman"/>
                <w:kern w:val="0"/>
                <w:lang w:val="ro-RO"/>
              </w:rPr>
              <w:t>Conservarea și valorificarea durabilă a patrimoniului natural și cultural</w:t>
            </w:r>
          </w:p>
          <w:p w14:paraId="3059EB6F"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04A9D51A"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0260ED6A"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5B809A01"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6FA0EF6E"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0C0E425B"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1A14460C"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16CFFB8D"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43F204BF"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36ACF9E4"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24FB65E3"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5B8088EF"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6D122000"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6B627E68" w14:textId="77777777" w:rsidR="00670FD4" w:rsidRPr="00344FCE" w:rsidRDefault="00670FD4" w:rsidP="001925BA">
            <w:pPr>
              <w:spacing w:before="0" w:after="160" w:line="240" w:lineRule="auto"/>
              <w:ind w:firstLine="0"/>
              <w:jc w:val="left"/>
              <w:rPr>
                <w:rFonts w:eastAsia="Times New Roman" w:cs="Times New Roman"/>
                <w:kern w:val="0"/>
                <w:lang w:val="ro-RO"/>
              </w:rPr>
            </w:pPr>
            <w:r w:rsidRPr="00344FCE">
              <w:rPr>
                <w:rFonts w:eastAsia="Times New Roman" w:cs="Times New Roman"/>
                <w:kern w:val="0"/>
                <w:lang w:val="ro-RO"/>
              </w:rPr>
              <w:t>Conservarea și valorificarea durabilă a patrimoniului natural și cultural</w:t>
            </w:r>
          </w:p>
          <w:p w14:paraId="3C9856E4" w14:textId="77777777" w:rsidR="00670FD4" w:rsidRPr="00344FCE" w:rsidRDefault="00670FD4" w:rsidP="001925BA">
            <w:pPr>
              <w:spacing w:before="0" w:after="160" w:line="240" w:lineRule="auto"/>
              <w:ind w:firstLine="0"/>
              <w:jc w:val="left"/>
              <w:rPr>
                <w:rFonts w:eastAsia="Times New Roman" w:cs="Times New Roman"/>
                <w:kern w:val="0"/>
                <w:lang w:val="ro-RO"/>
              </w:rPr>
            </w:pPr>
          </w:p>
          <w:p w14:paraId="3B4A2D17" w14:textId="77777777" w:rsidR="00670FD4" w:rsidRPr="00344FCE" w:rsidRDefault="00670FD4" w:rsidP="001925BA">
            <w:pPr>
              <w:spacing w:before="0" w:after="160" w:line="240" w:lineRule="auto"/>
              <w:ind w:firstLine="0"/>
              <w:jc w:val="left"/>
              <w:rPr>
                <w:rFonts w:eastAsia="Times New Roman" w:cs="Times New Roman"/>
                <w:kern w:val="0"/>
                <w:sz w:val="28"/>
                <w:szCs w:val="28"/>
                <w:lang w:val="ro-RO"/>
              </w:rPr>
            </w:pPr>
          </w:p>
        </w:tc>
        <w:tc>
          <w:tcPr>
            <w:tcW w:w="2693" w:type="dxa"/>
            <w:shd w:val="clear" w:color="auto" w:fill="auto"/>
          </w:tcPr>
          <w:p w14:paraId="27B0910A" w14:textId="77777777" w:rsidR="00670FD4" w:rsidRPr="00344FCE" w:rsidRDefault="00670FD4" w:rsidP="001925BA">
            <w:pPr>
              <w:spacing w:before="0" w:after="160" w:line="240" w:lineRule="auto"/>
              <w:ind w:firstLine="0"/>
              <w:jc w:val="left"/>
              <w:rPr>
                <w:rFonts w:eastAsia="Times New Roman" w:cs="Times New Roman"/>
                <w:kern w:val="0"/>
                <w:lang w:val="ro-RO"/>
              </w:rPr>
            </w:pPr>
            <w:bookmarkStart w:id="167" w:name="_heading=h.2bn6wsx" w:colFirst="0" w:colLast="0"/>
            <w:bookmarkEnd w:id="167"/>
            <w:r w:rsidRPr="00344FCE">
              <w:rPr>
                <w:rFonts w:eastAsia="Times New Roman" w:cs="Times New Roman"/>
                <w:kern w:val="0"/>
                <w:lang w:val="ro-RO"/>
              </w:rPr>
              <w:lastRenderedPageBreak/>
              <w:t>A.1 Alcătuirea cadastrului monumentelor și siturilor arheologice</w:t>
            </w:r>
          </w:p>
        </w:tc>
        <w:tc>
          <w:tcPr>
            <w:tcW w:w="6520" w:type="dxa"/>
            <w:shd w:val="clear" w:color="auto" w:fill="auto"/>
          </w:tcPr>
          <w:p w14:paraId="3BB903A0" w14:textId="77777777" w:rsidR="00670FD4" w:rsidRPr="00440916" w:rsidRDefault="00670FD4" w:rsidP="001925BA">
            <w:pPr>
              <w:spacing w:before="0" w:after="0" w:line="240" w:lineRule="auto"/>
              <w:ind w:firstLine="0"/>
              <w:jc w:val="left"/>
              <w:rPr>
                <w:rFonts w:eastAsia="Times New Roman" w:cs="Times New Roman"/>
                <w:kern w:val="0"/>
                <w:lang w:val="ro-RO"/>
              </w:rPr>
            </w:pPr>
            <w:r w:rsidRPr="00440916">
              <w:rPr>
                <w:rFonts w:eastAsia="Times New Roman" w:cs="Times New Roman"/>
                <w:kern w:val="0"/>
                <w:lang w:val="ro-RO"/>
              </w:rPr>
              <w:t xml:space="preserve">- crearea unei baze de date geospațiale a monumentelor și siturilor arheologice din LMI pentru zona costieră; </w:t>
            </w:r>
          </w:p>
          <w:p w14:paraId="43CCE68B" w14:textId="77777777" w:rsidR="00670FD4" w:rsidRPr="00440916" w:rsidRDefault="00670FD4" w:rsidP="001925BA">
            <w:pPr>
              <w:spacing w:before="0" w:after="0" w:line="240" w:lineRule="auto"/>
              <w:ind w:firstLine="0"/>
              <w:jc w:val="left"/>
              <w:rPr>
                <w:rFonts w:eastAsia="Times New Roman" w:cs="Times New Roman"/>
                <w:kern w:val="0"/>
                <w:lang w:val="ro-RO"/>
              </w:rPr>
            </w:pPr>
            <w:r w:rsidRPr="00440916">
              <w:rPr>
                <w:rFonts w:eastAsia="Times New Roman" w:cs="Times New Roman"/>
                <w:kern w:val="0"/>
                <w:lang w:val="ro-RO"/>
              </w:rPr>
              <w:t xml:space="preserve">- realizarea unui atlas al elementelor de patrimoniu construit din LMI din zona costieră; </w:t>
            </w:r>
          </w:p>
          <w:p w14:paraId="26B53F09" w14:textId="77777777" w:rsidR="00670FD4" w:rsidRPr="00344FCE" w:rsidRDefault="00670FD4" w:rsidP="001925BA">
            <w:pPr>
              <w:spacing w:before="0" w:after="0" w:line="240" w:lineRule="auto"/>
              <w:ind w:firstLine="0"/>
              <w:jc w:val="left"/>
              <w:rPr>
                <w:rFonts w:eastAsia="Times New Roman" w:cs="Times New Roman"/>
                <w:kern w:val="0"/>
                <w:lang w:val="ro-RO"/>
              </w:rPr>
            </w:pPr>
            <w:r w:rsidRPr="00440916">
              <w:rPr>
                <w:rFonts w:eastAsia="Times New Roman" w:cs="Times New Roman"/>
                <w:kern w:val="0"/>
                <w:lang w:val="ro-RO"/>
              </w:rPr>
              <w:t>- identificarea regimului de proprietate pentru monumentele și siturile din LMI de grupă valorică A din zona costieră.</w:t>
            </w:r>
          </w:p>
        </w:tc>
        <w:tc>
          <w:tcPr>
            <w:tcW w:w="3261" w:type="dxa"/>
            <w:shd w:val="clear" w:color="auto" w:fill="auto"/>
          </w:tcPr>
          <w:p w14:paraId="123FFC43" w14:textId="77777777" w:rsidR="00670FD4" w:rsidRPr="00344FCE" w:rsidRDefault="00670FD4" w:rsidP="001925BA">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Os1.a Protejarea eficientă a valorilor naturale, peisagistice și culturale</w:t>
            </w:r>
          </w:p>
        </w:tc>
      </w:tr>
      <w:tr w:rsidR="00670FD4" w:rsidRPr="00344FCE" w14:paraId="158A1035" w14:textId="77777777" w:rsidTr="001925BA">
        <w:tc>
          <w:tcPr>
            <w:tcW w:w="2122" w:type="dxa"/>
            <w:vMerge/>
            <w:shd w:val="clear" w:color="auto" w:fill="auto"/>
          </w:tcPr>
          <w:p w14:paraId="6877E094"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59EF7431"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A.2 Inițierea și implementarea programelor de dezvoltare de proiecte pentru protecția, conservarea și restaurarea patrimoniului cultural existent de interes național (monumente istorice, situri, imobile sau amenajări cu valoare arhitectural urbanistică, precum și peisajele din zona costieră)</w:t>
            </w:r>
          </w:p>
        </w:tc>
        <w:tc>
          <w:tcPr>
            <w:tcW w:w="6520" w:type="dxa"/>
            <w:shd w:val="clear" w:color="auto" w:fill="auto"/>
          </w:tcPr>
          <w:p w14:paraId="52496141"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încurajarea proiectelor complexe de cercetare, documentare, reabilitare, gestiune și utilizare care pun în valoare clădiri cu valoare arhitecturală şi culturală pentru comunitate;</w:t>
            </w:r>
          </w:p>
          <w:p w14:paraId="6424D234"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programe-cadru de dezvoltare locală care să aibă în vedere regenerarea urbană și reabilitarea centrelor urbane cu valoare istorică;</w:t>
            </w:r>
          </w:p>
          <w:p w14:paraId="73A0FBB0"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proiecte pilot de reabilitare și promovare a identității și a patrimoniului cultural local și regional, material și imaterial prin campanii și evenimente dedicate;</w:t>
            </w:r>
          </w:p>
          <w:p w14:paraId="01E4973C"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proiecte de evaluare și prevenire a riscurilor pentru protejarea patrimoniului cultural de efectele dezastrelor naturale și de amenințările determinate de acțiunea umană.</w:t>
            </w:r>
          </w:p>
        </w:tc>
        <w:tc>
          <w:tcPr>
            <w:tcW w:w="3261" w:type="dxa"/>
            <w:shd w:val="clear" w:color="auto" w:fill="auto"/>
          </w:tcPr>
          <w:p w14:paraId="398A9BDC" w14:textId="77777777" w:rsidR="00670FD4" w:rsidRPr="00344FCE" w:rsidRDefault="00670FD4" w:rsidP="001925BA">
            <w:pPr>
              <w:spacing w:before="0" w:after="160" w:line="240" w:lineRule="auto"/>
              <w:ind w:firstLine="0"/>
              <w:jc w:val="left"/>
              <w:rPr>
                <w:rFonts w:eastAsia="Times New Roman" w:cs="Times New Roman"/>
                <w:kern w:val="0"/>
                <w:lang w:val="ro-RO"/>
              </w:rPr>
            </w:pPr>
            <w:r w:rsidRPr="00344FCE">
              <w:rPr>
                <w:rFonts w:eastAsia="Times New Roman" w:cs="Times New Roman"/>
                <w:kern w:val="0"/>
                <w:lang w:val="ro-RO"/>
              </w:rPr>
              <w:t>Os1.a Protejarea eficientă a valorilor naturale, peisagistice și culturale</w:t>
            </w:r>
          </w:p>
        </w:tc>
      </w:tr>
      <w:tr w:rsidR="00670FD4" w:rsidRPr="00344FCE" w14:paraId="2760584E" w14:textId="77777777" w:rsidTr="001925BA">
        <w:tc>
          <w:tcPr>
            <w:tcW w:w="2122" w:type="dxa"/>
            <w:vMerge/>
            <w:shd w:val="clear" w:color="auto" w:fill="auto"/>
          </w:tcPr>
          <w:p w14:paraId="6C9C7E18"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4A9E4B70" w14:textId="77777777" w:rsidR="00670FD4" w:rsidRPr="00344FCE" w:rsidRDefault="00670FD4" w:rsidP="001925BA">
            <w:pPr>
              <w:spacing w:before="0" w:after="0" w:line="240" w:lineRule="auto"/>
              <w:ind w:firstLine="0"/>
              <w:jc w:val="left"/>
              <w:rPr>
                <w:rFonts w:eastAsia="Times New Roman" w:cs="Times New Roman"/>
                <w:kern w:val="0"/>
                <w:lang w:val="ro-RO"/>
              </w:rPr>
            </w:pPr>
            <w:bookmarkStart w:id="168" w:name="_heading=h.qsh70q" w:colFirst="0" w:colLast="0"/>
            <w:bookmarkEnd w:id="168"/>
            <w:r w:rsidRPr="00344FCE">
              <w:rPr>
                <w:rFonts w:eastAsia="Times New Roman" w:cs="Times New Roman"/>
                <w:kern w:val="0"/>
                <w:lang w:val="ro-RO"/>
              </w:rPr>
              <w:t xml:space="preserve">A.3 </w:t>
            </w:r>
            <w:r w:rsidRPr="00440916">
              <w:rPr>
                <w:rFonts w:eastAsia="Times New Roman" w:cs="Times New Roman"/>
                <w:kern w:val="0"/>
                <w:lang w:val="ro-RO"/>
              </w:rPr>
              <w:t>Realizarea unui program național de cercetare, inventariere și punere în valoare a patrimoniului arheologic subacvatic din zona costieră</w:t>
            </w:r>
          </w:p>
        </w:tc>
        <w:tc>
          <w:tcPr>
            <w:tcW w:w="6520" w:type="dxa"/>
            <w:shd w:val="clear" w:color="auto" w:fill="auto"/>
          </w:tcPr>
          <w:p w14:paraId="35C0F71B" w14:textId="77777777" w:rsidR="00670FD4" w:rsidRPr="00440916" w:rsidRDefault="00670FD4" w:rsidP="001925BA">
            <w:pPr>
              <w:spacing w:before="0" w:after="0" w:line="240" w:lineRule="auto"/>
              <w:ind w:firstLine="0"/>
              <w:jc w:val="left"/>
              <w:rPr>
                <w:rFonts w:eastAsia="Times New Roman" w:cs="Times New Roman"/>
                <w:kern w:val="0"/>
                <w:lang w:val="ro-RO"/>
              </w:rPr>
            </w:pPr>
            <w:r w:rsidRPr="00440916">
              <w:rPr>
                <w:rFonts w:eastAsia="Times New Roman" w:cs="Times New Roman"/>
                <w:kern w:val="0"/>
                <w:lang w:val="ro-RO"/>
              </w:rPr>
              <w:t xml:space="preserve">- modificarea cadrului legislativ privitor la cercetarea arheologică a mediului subacvatic; </w:t>
            </w:r>
          </w:p>
          <w:p w14:paraId="46D4A478" w14:textId="77777777" w:rsidR="00670FD4" w:rsidRPr="00440916" w:rsidRDefault="00670FD4" w:rsidP="001925BA">
            <w:pPr>
              <w:spacing w:before="0" w:after="0" w:line="240" w:lineRule="auto"/>
              <w:ind w:firstLine="0"/>
              <w:jc w:val="left"/>
              <w:rPr>
                <w:rFonts w:eastAsia="Times New Roman" w:cs="Times New Roman"/>
                <w:kern w:val="0"/>
                <w:lang w:val="ro-RO"/>
              </w:rPr>
            </w:pPr>
            <w:r w:rsidRPr="00440916">
              <w:rPr>
                <w:rFonts w:eastAsia="Times New Roman" w:cs="Times New Roman"/>
                <w:kern w:val="0"/>
                <w:lang w:val="ro-RO"/>
              </w:rPr>
              <w:t>- implementarea unui program național de cercetare a patrimoniului cultural subacvatic pentru identificarea, cercetarea și inventarierea primară a locurilor memoriei din zona costieră;</w:t>
            </w:r>
          </w:p>
          <w:p w14:paraId="66B66B61" w14:textId="77777777" w:rsidR="00670FD4" w:rsidRPr="00440916" w:rsidRDefault="00670FD4" w:rsidP="001925BA">
            <w:pPr>
              <w:spacing w:before="0" w:after="0" w:line="240" w:lineRule="auto"/>
              <w:ind w:firstLine="0"/>
              <w:jc w:val="left"/>
              <w:rPr>
                <w:rFonts w:eastAsia="Times New Roman" w:cs="Times New Roman"/>
                <w:kern w:val="0"/>
                <w:lang w:val="ro-RO"/>
              </w:rPr>
            </w:pPr>
            <w:r w:rsidRPr="00440916">
              <w:rPr>
                <w:rFonts w:eastAsia="Times New Roman" w:cs="Times New Roman"/>
                <w:kern w:val="0"/>
                <w:lang w:val="ro-RO"/>
              </w:rPr>
              <w:t xml:space="preserve">- elaborarea și aplicarea unui program național de pregătire și formare profesională a arheologilor, în scopul constituirii unui </w:t>
            </w:r>
            <w:r w:rsidRPr="00440916">
              <w:rPr>
                <w:rFonts w:eastAsia="Times New Roman" w:cs="Times New Roman"/>
                <w:kern w:val="0"/>
                <w:lang w:val="ro-RO"/>
              </w:rPr>
              <w:lastRenderedPageBreak/>
              <w:t>corp profesional dedicat domeniului care să asigure standarde de calitate ale intervenţiilor de cercetare și conservare a patrimoniului cultural subacvatic;</w:t>
            </w:r>
          </w:p>
          <w:p w14:paraId="7F4255A1" w14:textId="77777777" w:rsidR="00670FD4" w:rsidRPr="00440916" w:rsidRDefault="00670FD4" w:rsidP="001925BA">
            <w:pPr>
              <w:spacing w:before="0" w:after="0" w:line="240" w:lineRule="auto"/>
              <w:ind w:firstLine="0"/>
              <w:jc w:val="left"/>
              <w:rPr>
                <w:rFonts w:eastAsia="Times New Roman" w:cs="Times New Roman"/>
                <w:kern w:val="0"/>
                <w:lang w:val="ro-RO"/>
              </w:rPr>
            </w:pPr>
            <w:r w:rsidRPr="00440916">
              <w:rPr>
                <w:rFonts w:eastAsia="Times New Roman" w:cs="Times New Roman"/>
                <w:kern w:val="0"/>
                <w:lang w:val="ro-RO"/>
              </w:rPr>
              <w:t>- înființarea unui centru de cercetări arheologice subacvatice, dotat cu aparatura și tehnica necesare derulării acestui tip de investigații;</w:t>
            </w:r>
          </w:p>
          <w:p w14:paraId="2EDC092F" w14:textId="77777777" w:rsidR="00670FD4" w:rsidRPr="00440916" w:rsidRDefault="00670FD4" w:rsidP="001925BA">
            <w:pPr>
              <w:spacing w:before="0" w:after="0" w:line="240" w:lineRule="auto"/>
              <w:ind w:firstLine="0"/>
              <w:jc w:val="left"/>
              <w:rPr>
                <w:rFonts w:eastAsia="Times New Roman" w:cs="Times New Roman"/>
                <w:kern w:val="0"/>
                <w:lang w:val="ro-RO"/>
              </w:rPr>
            </w:pPr>
            <w:r w:rsidRPr="00440916">
              <w:rPr>
                <w:rFonts w:eastAsia="Times New Roman" w:cs="Times New Roman"/>
                <w:kern w:val="0"/>
                <w:lang w:val="ro-RO"/>
              </w:rPr>
              <w:t>- realizarea unei baze de date care va cuprinde informații istorice, descriptive și spațiale privitoare la patrimoniul cultural și peisajul istoric subacvatic;</w:t>
            </w:r>
          </w:p>
          <w:p w14:paraId="4A59281D" w14:textId="77777777" w:rsidR="00670FD4" w:rsidRPr="00440916" w:rsidRDefault="00670FD4" w:rsidP="001925BA">
            <w:pPr>
              <w:spacing w:before="0" w:after="0" w:line="240" w:lineRule="auto"/>
              <w:ind w:firstLine="0"/>
              <w:jc w:val="left"/>
              <w:rPr>
                <w:rFonts w:eastAsia="Times New Roman" w:cs="Times New Roman"/>
                <w:kern w:val="0"/>
                <w:lang w:val="ro-RO"/>
              </w:rPr>
            </w:pPr>
            <w:r w:rsidRPr="00440916">
              <w:rPr>
                <w:rFonts w:eastAsia="Times New Roman" w:cs="Times New Roman"/>
                <w:kern w:val="0"/>
                <w:lang w:val="ro-RO"/>
              </w:rPr>
              <w:t>- realizarea unor proiecte pilot transfrontaliere dedicate identificării și cercetării patrimoniului cultural subacvatic;</w:t>
            </w:r>
          </w:p>
          <w:p w14:paraId="5964CAC8" w14:textId="77777777" w:rsidR="00670FD4" w:rsidRPr="00344FCE" w:rsidRDefault="00670FD4" w:rsidP="001925BA">
            <w:pPr>
              <w:spacing w:before="0" w:after="0" w:line="240" w:lineRule="auto"/>
              <w:ind w:firstLine="0"/>
              <w:jc w:val="left"/>
              <w:rPr>
                <w:rFonts w:eastAsia="Times New Roman" w:cs="Times New Roman"/>
                <w:kern w:val="0"/>
                <w:lang w:val="ro-RO"/>
              </w:rPr>
            </w:pPr>
            <w:r w:rsidRPr="00440916">
              <w:rPr>
                <w:rFonts w:eastAsia="Times New Roman" w:cs="Times New Roman"/>
                <w:kern w:val="0"/>
                <w:lang w:val="ro-RO"/>
              </w:rPr>
              <w:t>- crearea în cadrul muzeelor de istorie și arheologie de infrastructuri pentru analiza, conservarea și restaurarea patrimoniului cultural subacvatic.</w:t>
            </w:r>
          </w:p>
        </w:tc>
        <w:tc>
          <w:tcPr>
            <w:tcW w:w="3261" w:type="dxa"/>
            <w:shd w:val="clear" w:color="auto" w:fill="auto"/>
          </w:tcPr>
          <w:p w14:paraId="0AC44A3A" w14:textId="77777777" w:rsidR="00670FD4" w:rsidRPr="00344FCE" w:rsidRDefault="00670FD4" w:rsidP="001925BA">
            <w:pPr>
              <w:spacing w:before="0" w:after="16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Os1.a Protejarea eficientă a valorilor naturale, peisagistice și culturale</w:t>
            </w:r>
          </w:p>
        </w:tc>
      </w:tr>
      <w:tr w:rsidR="00670FD4" w:rsidRPr="00344FCE" w14:paraId="75CA008E" w14:textId="77777777" w:rsidTr="001925BA">
        <w:tc>
          <w:tcPr>
            <w:tcW w:w="2122" w:type="dxa"/>
            <w:vMerge/>
            <w:shd w:val="clear" w:color="auto" w:fill="auto"/>
          </w:tcPr>
          <w:p w14:paraId="36287BE2"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4A2554E2"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A.4 Inventarierea și evaluarea peisajului în zona costieră în vederea susținerii proceselor de elaborarea a activităților de planificare spațială a teritoriului, precum și a programelor de conservare / restaurare / reabilitare / valorificare a peisajului costier</w:t>
            </w:r>
          </w:p>
        </w:tc>
        <w:tc>
          <w:tcPr>
            <w:tcW w:w="6520" w:type="dxa"/>
            <w:shd w:val="clear" w:color="auto" w:fill="auto"/>
          </w:tcPr>
          <w:p w14:paraId="15363C65"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elaborarea unei metodologii pentru inventarierea  și evaluarea peisajului costier;</w:t>
            </w:r>
          </w:p>
          <w:p w14:paraId="5CB79D72"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realizarea atlasului peisajului costier;</w:t>
            </w:r>
          </w:p>
          <w:p w14:paraId="0B200572"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realizarea unei metodologii / ghid pentru programele de conservare /reabilitare / valorificare a peisajului costier;</w:t>
            </w:r>
          </w:p>
          <w:p w14:paraId="667D9086"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realizarea unor analize detaliate privind modul de utilizare a terenurilor, cu accent pe aspectele ecologice, istorice, economice și de percepție.</w:t>
            </w:r>
          </w:p>
        </w:tc>
        <w:tc>
          <w:tcPr>
            <w:tcW w:w="3261" w:type="dxa"/>
            <w:shd w:val="clear" w:color="auto" w:fill="auto"/>
          </w:tcPr>
          <w:p w14:paraId="7A1E41AA" w14:textId="77777777" w:rsidR="00670FD4" w:rsidRPr="00344FCE" w:rsidRDefault="00670FD4" w:rsidP="001925BA">
            <w:pPr>
              <w:spacing w:before="0" w:after="160" w:line="240" w:lineRule="auto"/>
              <w:ind w:firstLine="0"/>
              <w:jc w:val="left"/>
              <w:rPr>
                <w:rFonts w:eastAsia="Times New Roman" w:cs="Times New Roman"/>
                <w:kern w:val="0"/>
                <w:lang w:val="ro-RO"/>
              </w:rPr>
            </w:pPr>
            <w:r w:rsidRPr="00344FCE">
              <w:rPr>
                <w:rFonts w:eastAsia="Times New Roman" w:cs="Times New Roman"/>
                <w:kern w:val="0"/>
                <w:lang w:val="ro-RO"/>
              </w:rPr>
              <w:t>Os1.a Protejarea eficientă a valorilor naturale, peisagistice și culturale</w:t>
            </w:r>
          </w:p>
        </w:tc>
      </w:tr>
      <w:tr w:rsidR="00670FD4" w:rsidRPr="00344FCE" w14:paraId="4BC628B2" w14:textId="77777777" w:rsidTr="001925BA">
        <w:tc>
          <w:tcPr>
            <w:tcW w:w="2122" w:type="dxa"/>
            <w:vMerge/>
            <w:shd w:val="clear" w:color="auto" w:fill="auto"/>
          </w:tcPr>
          <w:p w14:paraId="618433B5"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27C084CA"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A.5 Asigurarea conservării biodiversității în conformitate cu obligațiile prevăzute de legislația europeană</w:t>
            </w:r>
          </w:p>
        </w:tc>
        <w:tc>
          <w:tcPr>
            <w:tcW w:w="6520" w:type="dxa"/>
            <w:shd w:val="clear" w:color="auto" w:fill="auto"/>
          </w:tcPr>
          <w:p w14:paraId="1FB311A7"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elaborarea/actualizarea și implementarea Planurilor de management, strategiilor şi a măsurilor de management a ariilor naturale protejate, precum şi altor activităţi conexe (activităţi preliminare măsurilor concrete de investiţii sau conservare);</w:t>
            </w:r>
          </w:p>
          <w:p w14:paraId="33B8E619"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monitorizarea și cartarea ecosistemelor costiere, în scopul de a spori capacitatea acestora de a oferi beneficii esențiale pentru dezvoltare sustenabilă;</w:t>
            </w:r>
          </w:p>
          <w:p w14:paraId="576009EC"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 identificarea/diminuarea factorilor care conduc la pierderea şi degradarea habitatelor din zona costieră și refacerea acestora utilizând soluțiile bazate pe natură;</w:t>
            </w:r>
          </w:p>
          <w:p w14:paraId="1A698F75"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susținerea programelor de cercetare pentru protecția și conservarea ariilor protejate și a resurselor acvatice vii;</w:t>
            </w:r>
          </w:p>
          <w:p w14:paraId="5EB1447C"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dezvoltarea și implementarea de proiecte pilot pentru conservarea unor specii sau a unor habitate periclitate pe plan național și/sau European.</w:t>
            </w:r>
          </w:p>
        </w:tc>
        <w:tc>
          <w:tcPr>
            <w:tcW w:w="3261" w:type="dxa"/>
            <w:shd w:val="clear" w:color="auto" w:fill="auto"/>
          </w:tcPr>
          <w:p w14:paraId="519D1FBD" w14:textId="77777777" w:rsidR="00670FD4" w:rsidRPr="00344FCE" w:rsidRDefault="00670FD4" w:rsidP="001925BA">
            <w:pPr>
              <w:spacing w:before="0" w:after="0" w:line="252" w:lineRule="auto"/>
              <w:ind w:firstLine="0"/>
              <w:jc w:val="left"/>
              <w:rPr>
                <w:rFonts w:eastAsia="Times New Roman" w:cs="Times New Roman"/>
                <w:kern w:val="0"/>
                <w:lang w:val="ro-RO"/>
              </w:rPr>
            </w:pPr>
            <w:r w:rsidRPr="00344FCE">
              <w:rPr>
                <w:rFonts w:eastAsia="Times New Roman" w:cs="Times New Roman"/>
                <w:kern w:val="0"/>
                <w:lang w:val="ro-RO"/>
              </w:rPr>
              <w:lastRenderedPageBreak/>
              <w:t>Os1.a Protejarea eficientă a valorilor naturale, peisagistice și culturale</w:t>
            </w:r>
          </w:p>
          <w:p w14:paraId="13D77592" w14:textId="77777777" w:rsidR="00670FD4" w:rsidRPr="00344FCE" w:rsidRDefault="00670FD4" w:rsidP="001925BA">
            <w:pPr>
              <w:spacing w:before="0" w:after="0" w:line="252" w:lineRule="auto"/>
              <w:ind w:firstLine="0"/>
              <w:jc w:val="left"/>
              <w:rPr>
                <w:rFonts w:eastAsia="Times New Roman" w:cs="Times New Roman"/>
                <w:kern w:val="0"/>
                <w:lang w:val="ro-RO"/>
              </w:rPr>
            </w:pPr>
            <w:r w:rsidRPr="00344FCE">
              <w:rPr>
                <w:rFonts w:eastAsia="Times New Roman" w:cs="Times New Roman"/>
                <w:kern w:val="0"/>
                <w:lang w:val="ro-RO"/>
              </w:rPr>
              <w:t>Os2.a Atingerea stării ecologice bune a ecosistemelor.</w:t>
            </w:r>
          </w:p>
        </w:tc>
      </w:tr>
      <w:tr w:rsidR="00670FD4" w:rsidRPr="00344FCE" w14:paraId="30B5CCA7" w14:textId="77777777" w:rsidTr="001925BA">
        <w:tc>
          <w:tcPr>
            <w:tcW w:w="2122" w:type="dxa"/>
            <w:vMerge/>
            <w:shd w:val="clear" w:color="auto" w:fill="auto"/>
          </w:tcPr>
          <w:p w14:paraId="0C141985"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7A23C985"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A.6 Dezvoltarea unor programe pentru restabilirea/refacerea și utilizarea sustenabilă a ecosistemelor costiere utilizând soluțiile bazate pe natură</w:t>
            </w:r>
          </w:p>
        </w:tc>
        <w:tc>
          <w:tcPr>
            <w:tcW w:w="6520" w:type="dxa"/>
            <w:shd w:val="clear" w:color="auto" w:fill="auto"/>
          </w:tcPr>
          <w:p w14:paraId="49F6FB16"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stabilirea unui cadru de guvernanță consolidat pentru a remedia disparitățile existente, pentru a asigura punerea în aplicare deplină a legislației UE și care sa reunească toate eforturile existente;</w:t>
            </w:r>
          </w:p>
          <w:p w14:paraId="230B59EE"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elaborarea și coordonarea planului de refacere a habitatelor, în special a celor cu rol major în combaterea efectelor schimbărilor climatice (zonele umede, pajiști marine, apele costiere, lagune, păduri, soluri fertile);</w:t>
            </w:r>
          </w:p>
          <w:p w14:paraId="0585B843"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gestionarea durabilă a resurselor acvatice vii printr-o abordare ecosistemică a activităților de pescuit, iar în ariile protejate instituirea măsurilor de gestionare a pescuitului în conformitate cu obiective de conservare bine definite;</w:t>
            </w:r>
          </w:p>
          <w:p w14:paraId="75FA89AD"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dezvoltarea și implementarea unor proiecte pilot naționale și transfrontaliere dedicate restabilirii/refacerii ecosistemelor costiere utilizând soluțiile bazate pe natură;</w:t>
            </w:r>
          </w:p>
          <w:p w14:paraId="2780998D"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organizarea de campanii de conștientizare privind restabilirea/refacerea ecosistemelor costiere utilizând soluțiile bazate pe natură.</w:t>
            </w:r>
          </w:p>
        </w:tc>
        <w:tc>
          <w:tcPr>
            <w:tcW w:w="3261" w:type="dxa"/>
            <w:shd w:val="clear" w:color="auto" w:fill="auto"/>
          </w:tcPr>
          <w:p w14:paraId="0B8F78B0" w14:textId="77777777" w:rsidR="00670FD4" w:rsidRPr="00344FCE" w:rsidRDefault="00670FD4" w:rsidP="001925BA">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Os1.a Protejarea eficientă a valorilor naturale, peisagistice și culturale</w:t>
            </w:r>
          </w:p>
          <w:p w14:paraId="1A15AFD6" w14:textId="77777777" w:rsidR="00670FD4" w:rsidRPr="00344FCE" w:rsidRDefault="00670FD4" w:rsidP="001925BA">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Os2.c Stimularea dezvoltării infrastructurii verzi</w:t>
            </w:r>
          </w:p>
          <w:p w14:paraId="4D076B8D" w14:textId="77777777" w:rsidR="00670FD4" w:rsidRPr="00344FCE" w:rsidRDefault="00670FD4" w:rsidP="001925BA">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Os2.a Atingerea stării ecologice bune a ecosistemelor.</w:t>
            </w:r>
          </w:p>
        </w:tc>
      </w:tr>
      <w:tr w:rsidR="00670FD4" w:rsidRPr="00344FCE" w14:paraId="1330177C" w14:textId="77777777" w:rsidTr="001925BA">
        <w:tc>
          <w:tcPr>
            <w:tcW w:w="2122" w:type="dxa"/>
            <w:vMerge/>
            <w:shd w:val="clear" w:color="auto" w:fill="auto"/>
          </w:tcPr>
          <w:p w14:paraId="4978E0A2"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3D4E8902" w14:textId="77777777" w:rsidR="00670FD4" w:rsidRPr="00344FCE" w:rsidRDefault="00670FD4" w:rsidP="001925BA">
            <w:pPr>
              <w:spacing w:before="0" w:after="0" w:line="252" w:lineRule="auto"/>
              <w:ind w:firstLine="0"/>
              <w:jc w:val="left"/>
              <w:rPr>
                <w:rFonts w:eastAsia="Times New Roman" w:cs="Times New Roman"/>
                <w:kern w:val="0"/>
                <w:lang w:val="ro-RO"/>
              </w:rPr>
            </w:pPr>
            <w:r w:rsidRPr="00344FCE">
              <w:rPr>
                <w:rFonts w:eastAsia="Times New Roman" w:cs="Times New Roman"/>
                <w:kern w:val="0"/>
                <w:lang w:val="ro-RO"/>
              </w:rPr>
              <w:t>A.7 Identificarea, catalogarea și monitorizarea serviciilor ecosistemice</w:t>
            </w:r>
          </w:p>
        </w:tc>
        <w:tc>
          <w:tcPr>
            <w:tcW w:w="6520" w:type="dxa"/>
            <w:shd w:val="clear" w:color="auto" w:fill="auto"/>
          </w:tcPr>
          <w:p w14:paraId="08EAE99F" w14:textId="77777777" w:rsidR="00670FD4" w:rsidRPr="00344FCE" w:rsidRDefault="00670FD4" w:rsidP="001925BA">
            <w:pPr>
              <w:spacing w:before="0" w:after="0" w:line="252" w:lineRule="auto"/>
              <w:ind w:firstLine="0"/>
              <w:jc w:val="left"/>
              <w:rPr>
                <w:rFonts w:eastAsia="Times New Roman" w:cs="Times New Roman"/>
                <w:kern w:val="0"/>
                <w:lang w:val="ro-RO"/>
              </w:rPr>
            </w:pPr>
            <w:r w:rsidRPr="00344FCE">
              <w:rPr>
                <w:rFonts w:eastAsia="Times New Roman" w:cs="Times New Roman"/>
                <w:kern w:val="0"/>
                <w:lang w:val="ro-RO"/>
              </w:rPr>
              <w:t>- catalogarea serviciilor ecosistemice;</w:t>
            </w:r>
          </w:p>
          <w:p w14:paraId="37112EB6" w14:textId="77777777" w:rsidR="00670FD4" w:rsidRPr="00344FCE" w:rsidRDefault="00670FD4" w:rsidP="001925BA">
            <w:pPr>
              <w:spacing w:before="0" w:after="0" w:line="252" w:lineRule="auto"/>
              <w:ind w:firstLine="0"/>
              <w:jc w:val="left"/>
              <w:rPr>
                <w:rFonts w:eastAsia="Times New Roman" w:cs="Times New Roman"/>
                <w:kern w:val="0"/>
                <w:lang w:val="ro-RO"/>
              </w:rPr>
            </w:pPr>
            <w:r w:rsidRPr="00344FCE">
              <w:rPr>
                <w:rFonts w:eastAsia="Times New Roman" w:cs="Times New Roman"/>
                <w:kern w:val="0"/>
                <w:lang w:val="ro-RO"/>
              </w:rPr>
              <w:t>- dezvoltarea instrumentelor suport de planificare și management a serviciilor ecosistemice pentru politicile de mediu;</w:t>
            </w:r>
          </w:p>
        </w:tc>
        <w:tc>
          <w:tcPr>
            <w:tcW w:w="3261" w:type="dxa"/>
            <w:shd w:val="clear" w:color="auto" w:fill="auto"/>
          </w:tcPr>
          <w:p w14:paraId="2939CD91" w14:textId="77777777" w:rsidR="00670FD4" w:rsidRPr="00344FCE" w:rsidRDefault="00670FD4" w:rsidP="001925BA">
            <w:pPr>
              <w:spacing w:before="0" w:after="0" w:line="252" w:lineRule="auto"/>
              <w:ind w:firstLine="0"/>
              <w:jc w:val="left"/>
              <w:rPr>
                <w:rFonts w:eastAsia="Times New Roman" w:cs="Times New Roman"/>
                <w:kern w:val="0"/>
                <w:lang w:val="ro-RO"/>
              </w:rPr>
            </w:pPr>
            <w:r w:rsidRPr="00344FCE">
              <w:rPr>
                <w:rFonts w:eastAsia="Times New Roman" w:cs="Times New Roman"/>
                <w:kern w:val="0"/>
                <w:lang w:val="ro-RO"/>
              </w:rPr>
              <w:t xml:space="preserve">Os1.a Protejarea eficientă a valorilor naturale, peisagistice și culturale, </w:t>
            </w:r>
          </w:p>
          <w:p w14:paraId="298FF829" w14:textId="77777777" w:rsidR="00670FD4" w:rsidRPr="00344FCE" w:rsidRDefault="00670FD4" w:rsidP="001925BA">
            <w:pPr>
              <w:spacing w:before="0" w:after="0" w:line="252" w:lineRule="auto"/>
              <w:ind w:firstLine="0"/>
              <w:jc w:val="left"/>
              <w:rPr>
                <w:rFonts w:eastAsia="Times New Roman" w:cs="Times New Roman"/>
                <w:kern w:val="0"/>
                <w:lang w:val="ro-RO"/>
              </w:rPr>
            </w:pPr>
            <w:r w:rsidRPr="00344FCE">
              <w:rPr>
                <w:rFonts w:eastAsia="Times New Roman" w:cs="Times New Roman"/>
                <w:kern w:val="0"/>
                <w:lang w:val="ro-RO"/>
              </w:rPr>
              <w:t>Os1.b Îmbunătățirea și valorizarea serviciilor ecosistemice.</w:t>
            </w:r>
          </w:p>
        </w:tc>
      </w:tr>
      <w:tr w:rsidR="00670FD4" w:rsidRPr="00344FCE" w14:paraId="1AC939F4" w14:textId="77777777" w:rsidTr="001925BA">
        <w:tc>
          <w:tcPr>
            <w:tcW w:w="2122" w:type="dxa"/>
            <w:vMerge/>
            <w:shd w:val="clear" w:color="auto" w:fill="auto"/>
          </w:tcPr>
          <w:p w14:paraId="3701BAAD"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58635563" w14:textId="77777777" w:rsidR="00670FD4" w:rsidRPr="00344FCE" w:rsidRDefault="00670FD4" w:rsidP="001925BA">
            <w:pPr>
              <w:spacing w:before="0" w:after="0" w:line="252" w:lineRule="auto"/>
              <w:ind w:firstLine="0"/>
              <w:jc w:val="left"/>
              <w:rPr>
                <w:rFonts w:eastAsia="Times New Roman" w:cs="Times New Roman"/>
                <w:kern w:val="0"/>
                <w:lang w:val="ro-RO"/>
              </w:rPr>
            </w:pPr>
            <w:r w:rsidRPr="00344FCE">
              <w:rPr>
                <w:rFonts w:eastAsia="Times New Roman" w:cs="Times New Roman"/>
                <w:kern w:val="0"/>
                <w:lang w:val="ro-RO"/>
              </w:rPr>
              <w:t>A.8 Stabilirea instrumentelor pentru valorizarea monetară și non-monetară a serviciilor ecosistemice în concordanță cu obiectivele de protecție și conservare a speciilor și habitatelor</w:t>
            </w:r>
          </w:p>
        </w:tc>
        <w:tc>
          <w:tcPr>
            <w:tcW w:w="6520" w:type="dxa"/>
            <w:shd w:val="clear" w:color="auto" w:fill="auto"/>
          </w:tcPr>
          <w:p w14:paraId="75CFAF4C"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elaborarea Ghidului metodologic și a normelor pentru valorizarea monetară și non-monetară a bunurilor și serviciilor ecosistemice listate în Catalogul serviciilor ecosistemice al zonei costiere;</w:t>
            </w:r>
          </w:p>
          <w:p w14:paraId="3B84EBDF"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crearea instrumentelor monetare și cadrului conceptual privind evaluarea naturii și bunurilor sale în acord cu metodologiile naționale sau internaționale.</w:t>
            </w:r>
          </w:p>
        </w:tc>
        <w:tc>
          <w:tcPr>
            <w:tcW w:w="3261" w:type="dxa"/>
            <w:shd w:val="clear" w:color="auto" w:fill="auto"/>
          </w:tcPr>
          <w:p w14:paraId="7559AE30" w14:textId="77777777" w:rsidR="00670FD4" w:rsidRPr="00344FCE" w:rsidRDefault="00670FD4" w:rsidP="001925BA">
            <w:pPr>
              <w:spacing w:before="0" w:line="252" w:lineRule="auto"/>
              <w:ind w:firstLine="0"/>
              <w:jc w:val="left"/>
              <w:rPr>
                <w:rFonts w:eastAsia="Times New Roman" w:cs="Times New Roman"/>
                <w:kern w:val="0"/>
                <w:lang w:val="ro-RO"/>
              </w:rPr>
            </w:pPr>
            <w:r w:rsidRPr="00344FCE">
              <w:rPr>
                <w:rFonts w:eastAsia="Times New Roman" w:cs="Times New Roman"/>
                <w:kern w:val="0"/>
                <w:lang w:val="ro-RO"/>
              </w:rPr>
              <w:t xml:space="preserve">Os1.a Protejarea eficientă a valorilor naturale, peisagistice și culturale, </w:t>
            </w:r>
          </w:p>
          <w:p w14:paraId="0C7C6206" w14:textId="77777777" w:rsidR="00670FD4" w:rsidRPr="00344FCE" w:rsidRDefault="00670FD4" w:rsidP="001925BA">
            <w:pPr>
              <w:spacing w:before="0" w:line="252" w:lineRule="auto"/>
              <w:ind w:firstLine="0"/>
              <w:jc w:val="left"/>
              <w:rPr>
                <w:rFonts w:eastAsia="Times New Roman" w:cs="Times New Roman"/>
                <w:kern w:val="0"/>
                <w:lang w:val="ro-RO"/>
              </w:rPr>
            </w:pPr>
            <w:r w:rsidRPr="00344FCE">
              <w:rPr>
                <w:rFonts w:eastAsia="Times New Roman" w:cs="Times New Roman"/>
                <w:kern w:val="0"/>
                <w:lang w:val="ro-RO"/>
              </w:rPr>
              <w:t>Os1.b Îmbunătățirea și valorizarea serviciilor ecosistemice.</w:t>
            </w:r>
          </w:p>
        </w:tc>
      </w:tr>
      <w:tr w:rsidR="00670FD4" w:rsidRPr="00344FCE" w14:paraId="0086FFCF" w14:textId="77777777" w:rsidTr="001925BA">
        <w:tc>
          <w:tcPr>
            <w:tcW w:w="2122" w:type="dxa"/>
            <w:vMerge/>
            <w:shd w:val="clear" w:color="auto" w:fill="auto"/>
          </w:tcPr>
          <w:p w14:paraId="34C0FAD7"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6A63E298"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A.9 Elaborarea instrumentelor de reglementare pentru direcționarea investițiilor către fondul destinat proiectelor de reconstrucție ecologică și renaturare</w:t>
            </w:r>
          </w:p>
        </w:tc>
        <w:tc>
          <w:tcPr>
            <w:tcW w:w="6520" w:type="dxa"/>
            <w:shd w:val="clear" w:color="auto" w:fill="auto"/>
          </w:tcPr>
          <w:p w14:paraId="14F8CEEB"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planificarea cadrului instituțional destinat proiectelor de evaluare a funcțiilor și serviciilor;</w:t>
            </w:r>
          </w:p>
          <w:p w14:paraId="2826BDDA"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co-design și implicarea participativă a stakeholderilor la proiecte de reconstrucție ecologică a ecosistemelor și funcțiilor acestora.</w:t>
            </w:r>
          </w:p>
        </w:tc>
        <w:tc>
          <w:tcPr>
            <w:tcW w:w="3261" w:type="dxa"/>
            <w:shd w:val="clear" w:color="auto" w:fill="auto"/>
          </w:tcPr>
          <w:p w14:paraId="714E1BAD"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Os1.a Protejarea eficientă a valorilor naturale, peisagistice și culturale, </w:t>
            </w:r>
          </w:p>
          <w:p w14:paraId="5C88A0A0"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Os1.b Îmbunătățirea și valorizarea serviciilor ecosistemice.</w:t>
            </w:r>
          </w:p>
        </w:tc>
      </w:tr>
      <w:tr w:rsidR="00670FD4" w:rsidRPr="00344FCE" w14:paraId="2FAE0BEA" w14:textId="77777777" w:rsidTr="001925BA">
        <w:tc>
          <w:tcPr>
            <w:tcW w:w="2122" w:type="dxa"/>
            <w:shd w:val="clear" w:color="auto" w:fill="auto"/>
          </w:tcPr>
          <w:p w14:paraId="561047F8"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49A5CF88" w14:textId="77777777" w:rsidR="00670FD4" w:rsidRPr="00344FCE" w:rsidRDefault="00670FD4" w:rsidP="001925BA">
            <w:pPr>
              <w:spacing w:before="0" w:after="0" w:line="240" w:lineRule="auto"/>
              <w:ind w:firstLine="0"/>
              <w:jc w:val="left"/>
              <w:rPr>
                <w:rFonts w:eastAsia="Times New Roman" w:cs="Times New Roman"/>
                <w:kern w:val="0"/>
                <w:lang w:val="ro-RO"/>
              </w:rPr>
            </w:pPr>
            <w:r>
              <w:rPr>
                <w:rFonts w:eastAsia="Times New Roman" w:cs="Times New Roman"/>
                <w:kern w:val="0"/>
                <w:lang w:val="ro-RO"/>
              </w:rPr>
              <w:t xml:space="preserve">A.10 </w:t>
            </w:r>
            <w:r w:rsidRPr="0026266A">
              <w:rPr>
                <w:rFonts w:eastAsia="Times New Roman" w:cs="Times New Roman"/>
                <w:kern w:val="0"/>
                <w:lang w:val="ro-RO"/>
              </w:rPr>
              <w:t>Managementul speciilor invazive prin programe de monitorizare a vectorilor și a posibilelor căi de pătrundere, precum și prin măsuri de prevenire a răspândirii acestora (detectare rapidă, inclusiv prin metode eDNA)</w:t>
            </w:r>
          </w:p>
        </w:tc>
        <w:tc>
          <w:tcPr>
            <w:tcW w:w="6520" w:type="dxa"/>
            <w:shd w:val="clear" w:color="auto" w:fill="auto"/>
          </w:tcPr>
          <w:p w14:paraId="791782EC" w14:textId="77777777" w:rsidR="00670FD4" w:rsidRPr="0026266A" w:rsidRDefault="00670FD4" w:rsidP="001925BA">
            <w:pPr>
              <w:spacing w:before="0" w:after="0" w:line="240" w:lineRule="auto"/>
              <w:ind w:firstLine="0"/>
              <w:jc w:val="left"/>
              <w:rPr>
                <w:rFonts w:eastAsia="Times New Roman" w:cs="Times New Roman"/>
                <w:kern w:val="0"/>
                <w:lang w:val="ro-RO"/>
              </w:rPr>
            </w:pPr>
            <w:r>
              <w:rPr>
                <w:rFonts w:eastAsia="Times New Roman" w:cs="Times New Roman"/>
                <w:kern w:val="0"/>
                <w:lang w:val="ro-RO"/>
              </w:rPr>
              <w:t xml:space="preserve">- </w:t>
            </w:r>
            <w:r w:rsidRPr="0026266A">
              <w:rPr>
                <w:rFonts w:eastAsia="Times New Roman" w:cs="Times New Roman"/>
                <w:kern w:val="0"/>
                <w:lang w:val="ro-RO"/>
              </w:rPr>
              <w:t>prevenirea introducerii intenţionate şi neintenţionate de specii alohtone prin controlul strict al vectorilor şi monitorizarea posibilelor căi de pătrundere;</w:t>
            </w:r>
          </w:p>
          <w:p w14:paraId="160694DE" w14:textId="77777777" w:rsidR="00670FD4" w:rsidRPr="0026266A" w:rsidRDefault="00670FD4" w:rsidP="001925BA">
            <w:pPr>
              <w:spacing w:before="0" w:after="0" w:line="240" w:lineRule="auto"/>
              <w:ind w:firstLine="0"/>
              <w:jc w:val="left"/>
              <w:rPr>
                <w:rFonts w:eastAsia="Times New Roman" w:cs="Times New Roman"/>
                <w:kern w:val="0"/>
                <w:lang w:val="ro-RO"/>
              </w:rPr>
            </w:pPr>
            <w:r>
              <w:rPr>
                <w:rFonts w:eastAsia="Times New Roman" w:cs="Times New Roman"/>
                <w:kern w:val="0"/>
                <w:lang w:val="ro-RO"/>
              </w:rPr>
              <w:t xml:space="preserve">- </w:t>
            </w:r>
            <w:r w:rsidRPr="0026266A">
              <w:rPr>
                <w:rFonts w:eastAsia="Times New Roman" w:cs="Times New Roman"/>
                <w:kern w:val="0"/>
                <w:lang w:val="ro-RO"/>
              </w:rPr>
              <w:t>detectarea rapidă a speciilor alohtone inclusiv prin metode moderne (eDNA) şi identificarea căilor de acces, înainte de extinderea lor în zona costieră;</w:t>
            </w:r>
          </w:p>
          <w:p w14:paraId="1589C951" w14:textId="77777777" w:rsidR="00670FD4" w:rsidRPr="0026266A" w:rsidRDefault="00670FD4" w:rsidP="001925BA">
            <w:pPr>
              <w:spacing w:before="0" w:after="0" w:line="240" w:lineRule="auto"/>
              <w:ind w:firstLine="0"/>
              <w:jc w:val="left"/>
              <w:rPr>
                <w:rFonts w:eastAsia="Times New Roman" w:cs="Times New Roman"/>
                <w:kern w:val="0"/>
                <w:lang w:val="ro-RO"/>
              </w:rPr>
            </w:pPr>
            <w:r>
              <w:rPr>
                <w:rFonts w:eastAsia="Times New Roman" w:cs="Times New Roman"/>
                <w:kern w:val="0"/>
                <w:lang w:val="ro-RO"/>
              </w:rPr>
              <w:t xml:space="preserve">- </w:t>
            </w:r>
            <w:r w:rsidRPr="0026266A">
              <w:rPr>
                <w:rFonts w:eastAsia="Times New Roman" w:cs="Times New Roman"/>
                <w:kern w:val="0"/>
                <w:lang w:val="ro-RO"/>
              </w:rPr>
              <w:t>managementul speciilor non indigene naturalizate şi stoparea extinderii arealului lor în scopul eradicării, limitării şi controlului lor;</w:t>
            </w:r>
          </w:p>
          <w:p w14:paraId="61FCD289" w14:textId="77777777" w:rsidR="00670FD4" w:rsidRPr="00344FCE" w:rsidRDefault="00670FD4" w:rsidP="001925BA">
            <w:pPr>
              <w:spacing w:before="0" w:after="0" w:line="240" w:lineRule="auto"/>
              <w:ind w:firstLine="0"/>
              <w:jc w:val="left"/>
              <w:rPr>
                <w:rFonts w:eastAsia="Times New Roman" w:cs="Times New Roman"/>
                <w:kern w:val="0"/>
                <w:lang w:val="ro-RO"/>
              </w:rPr>
            </w:pPr>
            <w:r>
              <w:rPr>
                <w:rFonts w:eastAsia="Times New Roman" w:cs="Times New Roman"/>
                <w:kern w:val="0"/>
                <w:lang w:val="ro-RO"/>
              </w:rPr>
              <w:t xml:space="preserve">- </w:t>
            </w:r>
            <w:r w:rsidRPr="0026266A">
              <w:rPr>
                <w:rFonts w:eastAsia="Times New Roman" w:cs="Times New Roman"/>
                <w:kern w:val="0"/>
                <w:lang w:val="ro-RO"/>
              </w:rPr>
              <w:t>introducerea sistemelor de avertizare timpurie şi management al riscului în cazul pătrunderii de patogeni şi a planurilor de contingenţă pentru reducerea impactului acestora.</w:t>
            </w:r>
          </w:p>
        </w:tc>
        <w:tc>
          <w:tcPr>
            <w:tcW w:w="3261" w:type="dxa"/>
            <w:shd w:val="clear" w:color="auto" w:fill="auto"/>
          </w:tcPr>
          <w:p w14:paraId="3B25AEC2" w14:textId="77777777" w:rsidR="00670FD4" w:rsidRPr="00344FCE" w:rsidRDefault="00670FD4" w:rsidP="001925BA">
            <w:pPr>
              <w:spacing w:before="0" w:after="0" w:line="240" w:lineRule="auto"/>
              <w:ind w:firstLine="0"/>
              <w:jc w:val="left"/>
              <w:rPr>
                <w:rFonts w:eastAsia="Times New Roman" w:cs="Times New Roman"/>
                <w:kern w:val="0"/>
                <w:lang w:val="ro-RO"/>
              </w:rPr>
            </w:pPr>
            <w:r w:rsidRPr="0026266A">
              <w:rPr>
                <w:rFonts w:eastAsia="Times New Roman" w:cs="Times New Roman"/>
                <w:kern w:val="0"/>
                <w:lang w:val="ro-RO"/>
              </w:rPr>
              <w:t>Os1.a Protejarea eficientă a valorilor natu</w:t>
            </w:r>
            <w:r>
              <w:rPr>
                <w:rFonts w:eastAsia="Times New Roman" w:cs="Times New Roman"/>
                <w:kern w:val="0"/>
                <w:lang w:val="ro-RO"/>
              </w:rPr>
              <w:t>rale, peisagistice și culturale.</w:t>
            </w:r>
          </w:p>
        </w:tc>
      </w:tr>
      <w:tr w:rsidR="00670FD4" w:rsidRPr="00344FCE" w14:paraId="71729A66" w14:textId="77777777" w:rsidTr="001925BA">
        <w:tc>
          <w:tcPr>
            <w:tcW w:w="2122" w:type="dxa"/>
            <w:vMerge w:val="restart"/>
            <w:shd w:val="clear" w:color="auto" w:fill="auto"/>
            <w:vAlign w:val="center"/>
          </w:tcPr>
          <w:p w14:paraId="430BD5C4"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38149E2A"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0A04828F" w14:textId="77777777" w:rsidR="00670FD4" w:rsidRPr="00344FCE" w:rsidRDefault="00670FD4" w:rsidP="001925BA">
            <w:pPr>
              <w:spacing w:before="0" w:after="160" w:line="252" w:lineRule="auto"/>
              <w:ind w:firstLine="0"/>
              <w:jc w:val="center"/>
              <w:rPr>
                <w:rFonts w:eastAsia="Times New Roman" w:cs="Times New Roman"/>
                <w:kern w:val="0"/>
                <w:lang w:val="ro-RO"/>
              </w:rPr>
            </w:pPr>
            <w:r w:rsidRPr="00344FCE">
              <w:rPr>
                <w:rFonts w:eastAsia="Times New Roman" w:cs="Times New Roman"/>
                <w:kern w:val="0"/>
                <w:lang w:val="ro-RO"/>
              </w:rPr>
              <w:t>Prevenirea și limitarea/stoparea poluării</w:t>
            </w:r>
          </w:p>
          <w:p w14:paraId="6A115E7F"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376310F8"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6E8EC3F8"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7601050A"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202B4BE4"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380B3C06"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220A95FC" w14:textId="77777777" w:rsidR="00670FD4" w:rsidRPr="00344FCE" w:rsidRDefault="00670FD4" w:rsidP="001925BA">
            <w:pPr>
              <w:spacing w:before="0" w:after="160" w:line="252" w:lineRule="auto"/>
              <w:ind w:firstLine="0"/>
              <w:jc w:val="center"/>
              <w:rPr>
                <w:rFonts w:eastAsia="Times New Roman" w:cs="Times New Roman"/>
                <w:kern w:val="0"/>
                <w:lang w:val="ro-RO"/>
              </w:rPr>
            </w:pPr>
            <w:bookmarkStart w:id="169" w:name="_heading=h.3as4poj" w:colFirst="0" w:colLast="0"/>
            <w:bookmarkEnd w:id="169"/>
          </w:p>
          <w:p w14:paraId="0B28BC4B"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34CC3142"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188A8AAB"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15F685DC"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2D7A0431"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3CFF9947"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34A80B97"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2DD16EAE"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568FE659"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6984B5B4"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233B9E46"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41339BC7"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73EBEB8B"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3CB833EC" w14:textId="77777777" w:rsidR="00670FD4" w:rsidRPr="00344FCE" w:rsidRDefault="00670FD4" w:rsidP="001925BA">
            <w:pPr>
              <w:spacing w:before="0" w:after="160" w:line="252" w:lineRule="auto"/>
              <w:ind w:firstLine="0"/>
              <w:jc w:val="center"/>
              <w:rPr>
                <w:rFonts w:eastAsia="Times New Roman" w:cs="Times New Roman"/>
                <w:kern w:val="0"/>
                <w:lang w:val="ro-RO"/>
              </w:rPr>
            </w:pPr>
            <w:r w:rsidRPr="00344FCE">
              <w:rPr>
                <w:rFonts w:eastAsia="Times New Roman" w:cs="Times New Roman"/>
                <w:kern w:val="0"/>
                <w:lang w:val="ro-RO"/>
              </w:rPr>
              <w:t>Prevenirea și limitarea/stoparea poluării</w:t>
            </w:r>
          </w:p>
          <w:p w14:paraId="01ACCB77"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5D0648D4"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5524DA7D"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01DEC65B"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5A6C3579"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044C4771"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7D5D746B"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054819D2"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3A1344F6"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104969A3"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6B6644A4"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4D642AC8"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16CA2761"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64557D37"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3EB1A409"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3FEECD2E"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4742245E" w14:textId="77777777" w:rsidR="00670FD4" w:rsidRPr="00344FCE" w:rsidRDefault="00670FD4" w:rsidP="001925BA">
            <w:pPr>
              <w:spacing w:before="0" w:after="160" w:line="252" w:lineRule="auto"/>
              <w:ind w:firstLine="0"/>
              <w:jc w:val="center"/>
              <w:rPr>
                <w:rFonts w:eastAsia="Times New Roman" w:cs="Times New Roman"/>
                <w:kern w:val="0"/>
                <w:lang w:val="ro-RO"/>
              </w:rPr>
            </w:pPr>
            <w:r w:rsidRPr="00344FCE">
              <w:rPr>
                <w:rFonts w:eastAsia="Times New Roman" w:cs="Times New Roman"/>
                <w:kern w:val="0"/>
                <w:lang w:val="ro-RO"/>
              </w:rPr>
              <w:t>Prevenirea și limitarea/stoparea poluării</w:t>
            </w:r>
          </w:p>
          <w:p w14:paraId="4F7A0F00"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189E5F93"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0EC54573"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41060559" w14:textId="77777777" w:rsidR="00670FD4" w:rsidRPr="00344FCE" w:rsidRDefault="00670FD4" w:rsidP="001925BA">
            <w:pPr>
              <w:spacing w:before="0" w:after="160" w:line="252" w:lineRule="auto"/>
              <w:ind w:firstLine="0"/>
              <w:jc w:val="center"/>
              <w:rPr>
                <w:rFonts w:eastAsia="Times New Roman" w:cs="Times New Roman"/>
                <w:kern w:val="0"/>
                <w:lang w:val="ro-RO"/>
              </w:rPr>
            </w:pPr>
          </w:p>
          <w:p w14:paraId="1F08067E" w14:textId="77777777" w:rsidR="00670FD4" w:rsidRPr="00344FCE" w:rsidRDefault="00670FD4" w:rsidP="001925BA">
            <w:pPr>
              <w:spacing w:before="0" w:after="160" w:line="252" w:lineRule="auto"/>
              <w:ind w:firstLine="0"/>
              <w:jc w:val="center"/>
              <w:rPr>
                <w:rFonts w:eastAsia="Times New Roman" w:cs="Times New Roman"/>
                <w:kern w:val="0"/>
                <w:sz w:val="28"/>
                <w:szCs w:val="28"/>
                <w:lang w:val="ro-RO"/>
              </w:rPr>
            </w:pPr>
          </w:p>
        </w:tc>
        <w:tc>
          <w:tcPr>
            <w:tcW w:w="2693" w:type="dxa"/>
            <w:shd w:val="clear" w:color="auto" w:fill="auto"/>
          </w:tcPr>
          <w:p w14:paraId="11EDDD7A"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 xml:space="preserve">B.1 Inițierea și implementarea programelor pentru îndepărtarea deșeurilor marine, din coloana de apă și de pe fundul mării  </w:t>
            </w:r>
          </w:p>
        </w:tc>
        <w:tc>
          <w:tcPr>
            <w:tcW w:w="6520" w:type="dxa"/>
            <w:shd w:val="clear" w:color="auto" w:fill="auto"/>
          </w:tcPr>
          <w:p w14:paraId="6D5652A8"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stabilirea mecanismelor de cooperare (de exemplu, implicarea pescarilor în monitorizarea și îndepărtarea deșeurilor marine) și dezvoltarea programelor de creștere a gradului de conștientizare în rândul comunităților de pescari cu privire la efectele negative ale deșeurilor marine asupra ecosistemului costier, în particular asupra resurselor vii;</w:t>
            </w:r>
          </w:p>
          <w:p w14:paraId="23ADDFDC"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inițierea de proiecte / acțiuni pilot pentru îndepărtarea deșeurilor plutitoare și a celor scufundate, colectarea acestora și tratarea lor ulterioară, inclusiv reciclarea lor.</w:t>
            </w:r>
          </w:p>
        </w:tc>
        <w:tc>
          <w:tcPr>
            <w:tcW w:w="3261" w:type="dxa"/>
            <w:shd w:val="clear" w:color="auto" w:fill="auto"/>
          </w:tcPr>
          <w:p w14:paraId="6071B2E4" w14:textId="77777777" w:rsidR="00670FD4" w:rsidRDefault="00670FD4" w:rsidP="001925BA">
            <w:pPr>
              <w:spacing w:before="0" w:after="160" w:line="240" w:lineRule="auto"/>
              <w:ind w:firstLine="0"/>
              <w:jc w:val="left"/>
              <w:rPr>
                <w:rFonts w:eastAsia="Times New Roman" w:cs="Times New Roman"/>
                <w:kern w:val="0"/>
                <w:lang w:val="ro-RO"/>
              </w:rPr>
            </w:pPr>
            <w:r w:rsidRPr="00344FCE">
              <w:rPr>
                <w:rFonts w:eastAsia="Times New Roman" w:cs="Times New Roman"/>
                <w:kern w:val="0"/>
                <w:lang w:val="ro-RO"/>
              </w:rPr>
              <w:t>Os2.a Atingerea stării</w:t>
            </w:r>
            <w:r>
              <w:rPr>
                <w:rFonts w:eastAsia="Times New Roman" w:cs="Times New Roman"/>
                <w:kern w:val="0"/>
                <w:lang w:val="ro-RO"/>
              </w:rPr>
              <w:t xml:space="preserve"> ecologice bune a ecosistemelor;</w:t>
            </w:r>
          </w:p>
          <w:p w14:paraId="04E8C8F9" w14:textId="77777777" w:rsidR="00670FD4" w:rsidRPr="00344FCE" w:rsidRDefault="00670FD4" w:rsidP="001925BA">
            <w:pPr>
              <w:spacing w:before="0" w:after="160" w:line="240" w:lineRule="auto"/>
              <w:ind w:firstLine="0"/>
              <w:jc w:val="left"/>
              <w:rPr>
                <w:rFonts w:eastAsia="Times New Roman" w:cs="Times New Roman"/>
                <w:kern w:val="0"/>
                <w:lang w:val="ro-RO"/>
              </w:rPr>
            </w:pPr>
            <w:r w:rsidRPr="006617F2">
              <w:rPr>
                <w:rFonts w:eastAsia="Times New Roman" w:cs="Times New Roman"/>
                <w:kern w:val="0"/>
                <w:lang w:val="ro-RO"/>
              </w:rPr>
              <w:t>Os1.a Protejarea eficientă a valorilor naturale, peisagistice și culturale</w:t>
            </w:r>
            <w:r>
              <w:rPr>
                <w:rFonts w:eastAsia="Times New Roman" w:cs="Times New Roman"/>
                <w:kern w:val="0"/>
                <w:lang w:val="ro-RO"/>
              </w:rPr>
              <w:t>.</w:t>
            </w:r>
          </w:p>
        </w:tc>
      </w:tr>
      <w:tr w:rsidR="00670FD4" w:rsidRPr="00344FCE" w14:paraId="7A6A60E9" w14:textId="77777777" w:rsidTr="001925BA">
        <w:tc>
          <w:tcPr>
            <w:tcW w:w="2122" w:type="dxa"/>
            <w:vMerge/>
            <w:shd w:val="clear" w:color="auto" w:fill="auto"/>
            <w:vAlign w:val="center"/>
          </w:tcPr>
          <w:p w14:paraId="549A1FC2"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37C1341D"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B.</w:t>
            </w:r>
            <w:r>
              <w:rPr>
                <w:rFonts w:eastAsia="Times New Roman" w:cs="Times New Roman"/>
                <w:kern w:val="0"/>
                <w:lang w:val="ro-RO"/>
              </w:rPr>
              <w:t>2</w:t>
            </w:r>
            <w:r w:rsidRPr="00344FCE">
              <w:rPr>
                <w:rFonts w:eastAsia="Times New Roman" w:cs="Times New Roman"/>
                <w:kern w:val="0"/>
                <w:lang w:val="ro-RO"/>
              </w:rPr>
              <w:t xml:space="preserve"> Îmbunătățirea capacității de monitorizare a </w:t>
            </w:r>
            <w:r>
              <w:rPr>
                <w:rFonts w:eastAsia="Times New Roman" w:cs="Times New Roman"/>
                <w:kern w:val="0"/>
                <w:lang w:val="ro-RO"/>
              </w:rPr>
              <w:t>calității aerului</w:t>
            </w:r>
            <w:r w:rsidRPr="00344FCE">
              <w:rPr>
                <w:rFonts w:eastAsia="Times New Roman" w:cs="Times New Roman"/>
                <w:kern w:val="0"/>
                <w:lang w:val="ro-RO"/>
              </w:rPr>
              <w:t>, precum și a depunerilor atmosferice</w:t>
            </w:r>
          </w:p>
        </w:tc>
        <w:tc>
          <w:tcPr>
            <w:tcW w:w="6520" w:type="dxa"/>
            <w:shd w:val="clear" w:color="auto" w:fill="auto"/>
          </w:tcPr>
          <w:p w14:paraId="09F8FFD3"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realizare de studii pentru identificarea noilor locații de monitorizare a calității aerului;</w:t>
            </w:r>
          </w:p>
          <w:p w14:paraId="307AF97A"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realizarea de proiecte pilot pentru monitorizarea depunerilor atmosferice;</w:t>
            </w:r>
          </w:p>
          <w:p w14:paraId="78C17D28"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 crearea unei rețele de monitorizare a depunerilor atmosferice în zona costieră.    </w:t>
            </w:r>
          </w:p>
        </w:tc>
        <w:tc>
          <w:tcPr>
            <w:tcW w:w="3261" w:type="dxa"/>
            <w:shd w:val="clear" w:color="auto" w:fill="auto"/>
          </w:tcPr>
          <w:p w14:paraId="31EB5E72"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Os2.a Atingerea stării ecologice bune a ecosistemelor;</w:t>
            </w:r>
          </w:p>
          <w:p w14:paraId="2D92F915"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Os2.b Gestionarea, revitalizare și reabilitarea zonelor urbane şi rurale poluate.</w:t>
            </w:r>
          </w:p>
        </w:tc>
      </w:tr>
      <w:tr w:rsidR="00670FD4" w:rsidRPr="00344FCE" w14:paraId="4BAAD705" w14:textId="77777777" w:rsidTr="001925BA">
        <w:tc>
          <w:tcPr>
            <w:tcW w:w="2122" w:type="dxa"/>
            <w:vMerge/>
            <w:shd w:val="clear" w:color="auto" w:fill="auto"/>
            <w:vAlign w:val="center"/>
          </w:tcPr>
          <w:p w14:paraId="5E14B305"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5B24A1B4"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B.</w:t>
            </w:r>
            <w:r>
              <w:rPr>
                <w:rFonts w:eastAsia="Times New Roman" w:cs="Times New Roman"/>
                <w:kern w:val="0"/>
                <w:lang w:val="ro-RO"/>
              </w:rPr>
              <w:t>3</w:t>
            </w:r>
            <w:r w:rsidRPr="00344FCE">
              <w:rPr>
                <w:rFonts w:eastAsia="Times New Roman" w:cs="Times New Roman"/>
                <w:kern w:val="0"/>
                <w:lang w:val="ro-RO"/>
              </w:rPr>
              <w:t xml:space="preserve"> Extinderea și modernizarea infrastructurii de canalizare și epurare în partea nordică a zonei costiere, aferentă Deltei Dunării</w:t>
            </w:r>
          </w:p>
        </w:tc>
        <w:tc>
          <w:tcPr>
            <w:tcW w:w="6520" w:type="dxa"/>
            <w:shd w:val="clear" w:color="auto" w:fill="auto"/>
          </w:tcPr>
          <w:p w14:paraId="275C5CE5" w14:textId="77777777" w:rsidR="00670FD4" w:rsidRPr="00344FCE" w:rsidRDefault="00670FD4" w:rsidP="001925BA">
            <w:pPr>
              <w:spacing w:before="0" w:after="160" w:line="252" w:lineRule="auto"/>
              <w:ind w:firstLine="0"/>
              <w:rPr>
                <w:rFonts w:eastAsia="Times New Roman" w:cs="Times New Roman"/>
                <w:kern w:val="0"/>
                <w:lang w:val="ro-RO"/>
              </w:rPr>
            </w:pPr>
          </w:p>
        </w:tc>
        <w:tc>
          <w:tcPr>
            <w:tcW w:w="3261" w:type="dxa"/>
            <w:shd w:val="clear" w:color="auto" w:fill="auto"/>
          </w:tcPr>
          <w:p w14:paraId="1D648340" w14:textId="77777777" w:rsidR="00670FD4" w:rsidRPr="00344FCE" w:rsidRDefault="00670FD4" w:rsidP="001925BA">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t>Os2.a Atingerea stării ecologice bune a ecosistemelor;</w:t>
            </w:r>
          </w:p>
          <w:p w14:paraId="340C01B9" w14:textId="77777777" w:rsidR="00670FD4" w:rsidRPr="00344FCE" w:rsidRDefault="00670FD4" w:rsidP="001925BA">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t xml:space="preserve">Os4.a Gestionarea durabilă a resurselor zonei de coastă. Os1.a Protejarea eficientă a valorilor naturale, peisagistice și culturale </w:t>
            </w:r>
          </w:p>
        </w:tc>
      </w:tr>
      <w:tr w:rsidR="00670FD4" w:rsidRPr="00344FCE" w14:paraId="2D0CEECF" w14:textId="77777777" w:rsidTr="001925BA">
        <w:tc>
          <w:tcPr>
            <w:tcW w:w="2122" w:type="dxa"/>
            <w:vMerge/>
            <w:shd w:val="clear" w:color="auto" w:fill="auto"/>
            <w:vAlign w:val="center"/>
          </w:tcPr>
          <w:p w14:paraId="7407B939"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6759BAD0"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B.</w:t>
            </w:r>
            <w:r>
              <w:rPr>
                <w:rFonts w:eastAsia="Times New Roman" w:cs="Times New Roman"/>
                <w:kern w:val="0"/>
                <w:lang w:val="ro-RO"/>
              </w:rPr>
              <w:t>4</w:t>
            </w:r>
            <w:r w:rsidRPr="00344FCE">
              <w:rPr>
                <w:rFonts w:eastAsia="Times New Roman" w:cs="Times New Roman"/>
                <w:kern w:val="0"/>
                <w:lang w:val="ro-RO"/>
              </w:rPr>
              <w:t xml:space="preserve"> Dezvoltarea unui program pentru studierea principalelor surse, căi de transport și impactului contaminanților emergenți asupra faunei și omului, precum și dezvoltarea  unui </w:t>
            </w:r>
            <w:r w:rsidRPr="00344FCE">
              <w:rPr>
                <w:rFonts w:eastAsia="Times New Roman" w:cs="Times New Roman"/>
                <w:kern w:val="0"/>
                <w:lang w:val="ro-RO"/>
              </w:rPr>
              <w:lastRenderedPageBreak/>
              <w:t>program de monitorizare a acestora</w:t>
            </w:r>
          </w:p>
        </w:tc>
        <w:tc>
          <w:tcPr>
            <w:tcW w:w="6520" w:type="dxa"/>
            <w:shd w:val="clear" w:color="auto" w:fill="auto"/>
          </w:tcPr>
          <w:p w14:paraId="7860A82F"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 xml:space="preserve">- realizarea de proiecte pilot pentru dezvoltarea și testarea infrastructurii de monitorizare a </w:t>
            </w:r>
            <w:r w:rsidRPr="008308C7">
              <w:rPr>
                <w:rFonts w:eastAsia="Times New Roman" w:cs="Times New Roman"/>
                <w:kern w:val="0"/>
                <w:lang w:val="ro-RO"/>
              </w:rPr>
              <w:t>contaminanților</w:t>
            </w:r>
            <w:r w:rsidRPr="00344FCE">
              <w:rPr>
                <w:rFonts w:eastAsia="Times New Roman" w:cs="Times New Roman"/>
                <w:kern w:val="0"/>
                <w:lang w:val="ro-RO"/>
              </w:rPr>
              <w:t xml:space="preserve"> emergenți în mediul acvatic;</w:t>
            </w:r>
          </w:p>
          <w:p w14:paraId="2F20FF1F"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elaborarea de studii privind bioacumularea, biomagnificarea și evaluarea riscului prezenței contaminanților emergenți în ecosistemele marine și dulcicole asupra faunei și sănătății omului;</w:t>
            </w:r>
          </w:p>
          <w:p w14:paraId="1FE81F68"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 realizarea unui Registru al </w:t>
            </w:r>
            <w:r w:rsidRPr="008308C7">
              <w:rPr>
                <w:rFonts w:eastAsia="Times New Roman" w:cs="Times New Roman"/>
                <w:kern w:val="0"/>
                <w:lang w:val="ro-RO"/>
              </w:rPr>
              <w:t>contaminanților</w:t>
            </w:r>
            <w:r>
              <w:rPr>
                <w:rFonts w:eastAsia="Times New Roman" w:cs="Times New Roman"/>
                <w:kern w:val="0"/>
                <w:lang w:val="ro-RO"/>
              </w:rPr>
              <w:t xml:space="preserve"> </w:t>
            </w:r>
            <w:r w:rsidRPr="00344FCE">
              <w:rPr>
                <w:rFonts w:eastAsia="Times New Roman" w:cs="Times New Roman"/>
                <w:kern w:val="0"/>
                <w:lang w:val="ro-RO"/>
              </w:rPr>
              <w:t xml:space="preserve">emergenți; </w:t>
            </w:r>
          </w:p>
          <w:p w14:paraId="270995C6"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 dezvoltarea programelor de monitorizare a contaminanților emergenți în mediul acvatic.</w:t>
            </w:r>
          </w:p>
        </w:tc>
        <w:tc>
          <w:tcPr>
            <w:tcW w:w="3261" w:type="dxa"/>
            <w:shd w:val="clear" w:color="auto" w:fill="auto"/>
          </w:tcPr>
          <w:p w14:paraId="35C3A13A" w14:textId="77777777" w:rsidR="00670FD4" w:rsidRPr="00344FCE" w:rsidRDefault="00670FD4" w:rsidP="001925BA">
            <w:pPr>
              <w:spacing w:before="0" w:line="240" w:lineRule="auto"/>
              <w:ind w:firstLine="0"/>
              <w:jc w:val="left"/>
              <w:rPr>
                <w:rFonts w:eastAsia="Times New Roman" w:cs="Times New Roman"/>
                <w:kern w:val="0"/>
                <w:lang w:val="ro-RO"/>
              </w:rPr>
            </w:pPr>
          </w:p>
        </w:tc>
      </w:tr>
      <w:tr w:rsidR="00670FD4" w:rsidRPr="00344FCE" w14:paraId="29054BB4" w14:textId="77777777" w:rsidTr="001925BA">
        <w:tc>
          <w:tcPr>
            <w:tcW w:w="2122" w:type="dxa"/>
            <w:vMerge/>
            <w:shd w:val="clear" w:color="auto" w:fill="auto"/>
            <w:vAlign w:val="center"/>
          </w:tcPr>
          <w:p w14:paraId="643252A3"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79993671"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B.</w:t>
            </w:r>
            <w:r>
              <w:rPr>
                <w:rFonts w:eastAsia="Times New Roman" w:cs="Times New Roman"/>
                <w:kern w:val="0"/>
                <w:lang w:val="ro-RO"/>
              </w:rPr>
              <w:t>5 Gestionarea</w:t>
            </w:r>
            <w:r w:rsidRPr="00344FCE">
              <w:rPr>
                <w:rFonts w:eastAsia="Times New Roman" w:cs="Times New Roman"/>
                <w:kern w:val="0"/>
                <w:lang w:val="ro-RO"/>
              </w:rPr>
              <w:t xml:space="preserve"> siturilor contaminate și potențial contaminate din zona costieră</w:t>
            </w:r>
          </w:p>
        </w:tc>
        <w:tc>
          <w:tcPr>
            <w:tcW w:w="6520" w:type="dxa"/>
            <w:shd w:val="clear" w:color="auto" w:fill="auto"/>
          </w:tcPr>
          <w:p w14:paraId="05CA773A"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actualizarea inventarului siturilor contaminate și potențial contaminate;</w:t>
            </w:r>
          </w:p>
          <w:p w14:paraId="434CAE62"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 identificarea și aplicarea de noi soluții ecologice pentru remedierea siturilor </w:t>
            </w:r>
            <w:r>
              <w:rPr>
                <w:rFonts w:eastAsia="Times New Roman" w:cs="Times New Roman"/>
                <w:kern w:val="0"/>
                <w:lang w:val="ro-RO"/>
              </w:rPr>
              <w:t>contaminate</w:t>
            </w:r>
            <w:r w:rsidRPr="00344FCE">
              <w:rPr>
                <w:rFonts w:eastAsia="Times New Roman" w:cs="Times New Roman"/>
                <w:kern w:val="0"/>
                <w:lang w:val="ro-RO"/>
              </w:rPr>
              <w:t>,cât și a celor din proximitatea acestora;</w:t>
            </w:r>
          </w:p>
          <w:p w14:paraId="6FCAB5EC"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dezvoltarea unor proiecte pilot pentru testarea soluțiilor inovative identificate;</w:t>
            </w:r>
          </w:p>
          <w:p w14:paraId="4EB21425"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creșterea capacității de monitorizare post remediere prin sisteme inteligente de supraveghere,control și investigare.</w:t>
            </w:r>
          </w:p>
        </w:tc>
        <w:tc>
          <w:tcPr>
            <w:tcW w:w="3261" w:type="dxa"/>
            <w:shd w:val="clear" w:color="auto" w:fill="auto"/>
          </w:tcPr>
          <w:p w14:paraId="20BBC18F" w14:textId="77777777" w:rsidR="00670FD4" w:rsidRPr="00344FCE" w:rsidRDefault="00670FD4" w:rsidP="001925BA">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t>Os2.b Gestionarea, revitalizare și reabilitarea zonelor urbane şi rurale poluate;</w:t>
            </w:r>
          </w:p>
          <w:p w14:paraId="5DFD56ED" w14:textId="77777777" w:rsidR="00670FD4" w:rsidRPr="00344FCE" w:rsidRDefault="00670FD4" w:rsidP="001925BA">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t>Os2.c Stimularea dezvoltării infrastructurii verzi.</w:t>
            </w:r>
          </w:p>
          <w:p w14:paraId="5AFCA2FB" w14:textId="77777777" w:rsidR="00670FD4" w:rsidRPr="00344FCE" w:rsidRDefault="00670FD4" w:rsidP="001925BA">
            <w:pPr>
              <w:spacing w:before="0" w:after="0" w:line="240" w:lineRule="auto"/>
              <w:ind w:firstLine="0"/>
              <w:jc w:val="left"/>
              <w:rPr>
                <w:rFonts w:eastAsia="Times New Roman" w:cs="Times New Roman"/>
                <w:kern w:val="0"/>
                <w:lang w:val="ro-RO"/>
              </w:rPr>
            </w:pPr>
          </w:p>
        </w:tc>
      </w:tr>
      <w:tr w:rsidR="00670FD4" w:rsidRPr="00344FCE" w14:paraId="5B4B45E8" w14:textId="77777777" w:rsidTr="001925BA">
        <w:tc>
          <w:tcPr>
            <w:tcW w:w="2122" w:type="dxa"/>
            <w:vMerge/>
            <w:shd w:val="clear" w:color="auto" w:fill="auto"/>
            <w:vAlign w:val="center"/>
          </w:tcPr>
          <w:p w14:paraId="4B360E09"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73C53A58" w14:textId="77777777" w:rsidR="00670FD4" w:rsidRPr="00344FCE" w:rsidRDefault="00670FD4" w:rsidP="001925BA">
            <w:pPr>
              <w:spacing w:before="0" w:after="0" w:line="240" w:lineRule="auto"/>
              <w:ind w:firstLine="0"/>
              <w:rPr>
                <w:rFonts w:eastAsia="Times New Roman" w:cs="Times New Roman"/>
                <w:kern w:val="0"/>
                <w:lang w:val="ro-RO"/>
              </w:rPr>
            </w:pPr>
            <w:r w:rsidRPr="00344FCE">
              <w:rPr>
                <w:rFonts w:eastAsia="Times New Roman" w:cs="Times New Roman"/>
                <w:kern w:val="0"/>
                <w:lang w:val="ro-RO"/>
              </w:rPr>
              <w:t>B.</w:t>
            </w:r>
            <w:r>
              <w:rPr>
                <w:rFonts w:eastAsia="Times New Roman" w:cs="Times New Roman"/>
                <w:kern w:val="0"/>
                <w:lang w:val="ro-RO"/>
              </w:rPr>
              <w:t xml:space="preserve">6 </w:t>
            </w:r>
            <w:r w:rsidRPr="00344FCE">
              <w:rPr>
                <w:rFonts w:eastAsia="Times New Roman" w:cs="Times New Roman"/>
                <w:kern w:val="0"/>
                <w:lang w:val="ro-RO"/>
              </w:rPr>
              <w:t>Dezvoltarea infrastructurii verzi în zona carierelor active de calcare și șisturi verzi (zona Tașaul-Luminița)</w:t>
            </w:r>
          </w:p>
        </w:tc>
        <w:tc>
          <w:tcPr>
            <w:tcW w:w="6520" w:type="dxa"/>
            <w:shd w:val="clear" w:color="auto" w:fill="auto"/>
          </w:tcPr>
          <w:p w14:paraId="705C4251"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campanii de conștientizare a impactului negativ al activității de exploatare a calcarelor și șisturilor verzi în rândul operatorilor economici, administrației publice și altor factori interesați locali;</w:t>
            </w:r>
          </w:p>
          <w:p w14:paraId="1E69237A"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campanii de conștientizare și atragerea a publicului în acțiuni de monitorizare a sitului;</w:t>
            </w:r>
          </w:p>
          <w:p w14:paraId="4282B126"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inițierea și implementarea de proiecte de dezvoltare a infrastructurii verzi (perdele forestiere, ecrane de protecție împotriva zgomotului, reciclarea materialelor reziduale - resturi de piatră, etc.) pentru reducerea poluării generate de activitatea de minerit și activitățile conexe (transport)</w:t>
            </w:r>
          </w:p>
          <w:p w14:paraId="2AD2D0A1"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 - proiecte pilot pentru testarea și definirea metodelor pentru restaurarea, întreținerea și managementul speciilor și habitatelor pionier;</w:t>
            </w:r>
          </w:p>
          <w:p w14:paraId="749A7173"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testarea și definirea metodelor de pregătire a infrastructurii fizice a carierei în timpul proceselor de exploatare, pentru a facilita stabilirea planurilor de refacere care să crească serviciile ecosistemice și biodiversitatea în perioada post-exploatare.</w:t>
            </w:r>
          </w:p>
        </w:tc>
        <w:tc>
          <w:tcPr>
            <w:tcW w:w="3261" w:type="dxa"/>
            <w:shd w:val="clear" w:color="auto" w:fill="auto"/>
          </w:tcPr>
          <w:p w14:paraId="63FF351F"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Os2.b Gestionarea, revitalizare și reabilitarea zonelor urbane şi rurale poluate;</w:t>
            </w:r>
          </w:p>
          <w:p w14:paraId="50A5D947"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Os2.c Stimularea dezvoltării infrastructurii verzi;</w:t>
            </w:r>
          </w:p>
          <w:p w14:paraId="058D4BAB"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Os1.a Protejarea eficientă a valorilor naturale, peisagistice și culturale;</w:t>
            </w:r>
          </w:p>
          <w:p w14:paraId="189C8E8E" w14:textId="77777777" w:rsidR="00670FD4" w:rsidRPr="00344FCE" w:rsidRDefault="00670FD4" w:rsidP="001925BA">
            <w:pPr>
              <w:spacing w:before="0" w:after="0" w:line="240" w:lineRule="auto"/>
              <w:ind w:firstLine="0"/>
              <w:rPr>
                <w:rFonts w:eastAsia="Times New Roman" w:cs="Times New Roman"/>
                <w:kern w:val="0"/>
                <w:lang w:val="ro-RO"/>
              </w:rPr>
            </w:pPr>
            <w:r w:rsidRPr="00344FCE">
              <w:rPr>
                <w:rFonts w:eastAsia="Times New Roman" w:cs="Times New Roman"/>
                <w:kern w:val="0"/>
                <w:lang w:val="ro-RO"/>
              </w:rPr>
              <w:t>Os6.b Creșterea gradului de conștientizare cu privire la necesitatea de a păstra și îmbunătăți resursele zonei de coastă;</w:t>
            </w:r>
          </w:p>
          <w:p w14:paraId="4915903D" w14:textId="77777777" w:rsidR="00670FD4" w:rsidRPr="00344FCE" w:rsidRDefault="00670FD4" w:rsidP="001925BA">
            <w:pPr>
              <w:spacing w:before="0" w:after="0" w:line="240" w:lineRule="auto"/>
              <w:ind w:firstLine="20"/>
              <w:rPr>
                <w:rFonts w:eastAsia="Times New Roman" w:cs="Times New Roman"/>
                <w:kern w:val="0"/>
                <w:lang w:val="ro-RO"/>
              </w:rPr>
            </w:pPr>
            <w:r w:rsidRPr="00344FCE">
              <w:rPr>
                <w:rFonts w:eastAsia="Times New Roman" w:cs="Times New Roman"/>
                <w:kern w:val="0"/>
                <w:lang w:val="ro-RO"/>
              </w:rPr>
              <w:t>Os6.c Implicarea cetățenilor în monitorizarea stării de sănătate a mediului costier (Citizen-science)</w:t>
            </w:r>
          </w:p>
        </w:tc>
      </w:tr>
      <w:tr w:rsidR="00670FD4" w:rsidRPr="00344FCE" w14:paraId="2A6E1A00" w14:textId="77777777" w:rsidTr="001925BA">
        <w:tc>
          <w:tcPr>
            <w:tcW w:w="2122" w:type="dxa"/>
            <w:vMerge/>
            <w:shd w:val="clear" w:color="auto" w:fill="auto"/>
            <w:vAlign w:val="center"/>
          </w:tcPr>
          <w:p w14:paraId="71C5B5A3"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48D61EAF"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B.</w:t>
            </w:r>
            <w:r>
              <w:rPr>
                <w:rFonts w:eastAsia="Times New Roman" w:cs="Times New Roman"/>
                <w:kern w:val="0"/>
                <w:lang w:val="ro-RO"/>
              </w:rPr>
              <w:t>7</w:t>
            </w:r>
            <w:r w:rsidRPr="00344FCE">
              <w:rPr>
                <w:rFonts w:eastAsia="Times New Roman" w:cs="Times New Roman"/>
                <w:kern w:val="0"/>
                <w:lang w:val="ro-RO"/>
              </w:rPr>
              <w:t xml:space="preserve"> Restaurarea ecologică a lacurilor urbane în scopul valorificării potențialului </w:t>
            </w:r>
            <w:r w:rsidRPr="00344FCE">
              <w:rPr>
                <w:rFonts w:eastAsia="Times New Roman" w:cs="Times New Roman"/>
                <w:kern w:val="0"/>
                <w:lang w:val="ro-RO"/>
              </w:rPr>
              <w:lastRenderedPageBreak/>
              <w:t>lor natural și turistic (lacurile Tăbăcărie, Costinești, Belona, Neptun, etc.)</w:t>
            </w:r>
          </w:p>
        </w:tc>
        <w:tc>
          <w:tcPr>
            <w:tcW w:w="6520" w:type="dxa"/>
            <w:shd w:val="clear" w:color="auto" w:fill="auto"/>
          </w:tcPr>
          <w:p w14:paraId="5963EBC6"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 derularea de campanii de conștientizare a potențialului natural și turistic al lacurilor urbane și de atragere a societății civile în proiectele de restaurare;</w:t>
            </w:r>
          </w:p>
          <w:p w14:paraId="695900B7"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 campanii de ecologizare a lacurilor litorale; </w:t>
            </w:r>
          </w:p>
          <w:p w14:paraId="167D5B01"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 identificarea și testarea prin proiecte pilot a soluțiilor ecologice de restaurare a lacurilor urbane;</w:t>
            </w:r>
          </w:p>
          <w:p w14:paraId="6218E5C4"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 aplicarea soluțiilor pentru reducerea/stoparea aportului de poluanți, materie organică și deșeuri în lacurile urbane prin deversarea apelor meteorice și a celor uzate </w:t>
            </w:r>
          </w:p>
          <w:p w14:paraId="70337714"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angrenarea cetățenilor în monitorizare a stării ecologice a lacurilor urbane.</w:t>
            </w:r>
          </w:p>
        </w:tc>
        <w:tc>
          <w:tcPr>
            <w:tcW w:w="3261" w:type="dxa"/>
            <w:shd w:val="clear" w:color="auto" w:fill="auto"/>
          </w:tcPr>
          <w:p w14:paraId="016C232B"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Os2.b Gestionarea, revitalizare și reabilitarea zonelor urbane şi rurale poluate;</w:t>
            </w:r>
          </w:p>
          <w:p w14:paraId="2C8DE77D"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Os2.c Stimularea dezvoltării infrastructurii verzi</w:t>
            </w:r>
          </w:p>
          <w:p w14:paraId="5AF66919"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Os1.a Protejarea eficientă a valorilor naturale, peisagistice și culturale; </w:t>
            </w:r>
          </w:p>
          <w:p w14:paraId="3A2ABC63"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Os4.a Gestionarea durabilă a resurselor zonei de coastă; Os4.b Dezvoltarea “verde” a zonei costiere; </w:t>
            </w:r>
          </w:p>
          <w:p w14:paraId="1489EB19"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Os6.b Creșterea gradului de conștientizare cu privire la necesitatea de a păstra și îmbunătăți resursele zonei de coastă;</w:t>
            </w:r>
          </w:p>
          <w:p w14:paraId="0A0CDC5A"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Os6.c Implicarea cetățenilor în monitorizarea stării de sănătate a mediului costier (Citizen-science).</w:t>
            </w:r>
          </w:p>
        </w:tc>
      </w:tr>
      <w:tr w:rsidR="00670FD4" w:rsidRPr="00344FCE" w14:paraId="61C4C74A" w14:textId="77777777" w:rsidTr="001925BA">
        <w:tc>
          <w:tcPr>
            <w:tcW w:w="2122" w:type="dxa"/>
            <w:vMerge/>
            <w:shd w:val="clear" w:color="auto" w:fill="auto"/>
            <w:vAlign w:val="center"/>
          </w:tcPr>
          <w:p w14:paraId="5CE83968"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53EF2897"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B.</w:t>
            </w:r>
            <w:r>
              <w:rPr>
                <w:rFonts w:eastAsia="Times New Roman" w:cs="Times New Roman"/>
                <w:kern w:val="0"/>
                <w:lang w:val="ro-RO"/>
              </w:rPr>
              <w:t>8</w:t>
            </w:r>
            <w:r w:rsidRPr="00344FCE">
              <w:rPr>
                <w:rFonts w:eastAsia="Times New Roman" w:cs="Times New Roman"/>
                <w:kern w:val="0"/>
                <w:lang w:val="ro-RO"/>
              </w:rPr>
              <w:t xml:space="preserve"> Inițierea și implementarea de programe pentru îmbunătățirea infrastructurii de gestionare a deșeurilor</w:t>
            </w:r>
          </w:p>
        </w:tc>
        <w:tc>
          <w:tcPr>
            <w:tcW w:w="6520" w:type="dxa"/>
            <w:shd w:val="clear" w:color="auto" w:fill="auto"/>
          </w:tcPr>
          <w:p w14:paraId="18F51295"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realizarea programelor de creștere a gradului de colectare a deșeurilor în partea nordică a zonei costiere;</w:t>
            </w:r>
          </w:p>
          <w:p w14:paraId="0CD69CEC"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identificarea și aplicarea de soluții ecologice pentru reducerea cantității de deșeuri biodegradabile rezultate în mediul rural sau în zonele de case din mediul urban;</w:t>
            </w:r>
          </w:p>
          <w:p w14:paraId="204EC574"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realizare programelor pentru extinderea infrastructurii de tratare a deșeurilor folosind soluții ecologice;</w:t>
            </w:r>
          </w:p>
          <w:p w14:paraId="08F9C411"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programe pentru dezvoltarea infrastructurii de tratare a deșeurilor provenite din construcții, care să asigure reutilizarea și reciclarea prin transformarea acestora în materiale sau materii secundare gata de utilizare.</w:t>
            </w:r>
          </w:p>
        </w:tc>
        <w:tc>
          <w:tcPr>
            <w:tcW w:w="3261" w:type="dxa"/>
            <w:shd w:val="clear" w:color="auto" w:fill="auto"/>
          </w:tcPr>
          <w:p w14:paraId="70E37A3E" w14:textId="77777777" w:rsidR="00670FD4" w:rsidRPr="00344FCE" w:rsidRDefault="00670FD4" w:rsidP="001925BA">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t>Os2.b Gestionarea, revitalizare și reabilitarea zonelor urbane şi rurale poluate;</w:t>
            </w:r>
          </w:p>
          <w:p w14:paraId="61D593F5" w14:textId="77777777" w:rsidR="00670FD4" w:rsidRPr="00344FCE" w:rsidRDefault="00670FD4" w:rsidP="001925BA">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t xml:space="preserve"> Os2.a Atingerea stării ecologice bune a ecosistemelor;</w:t>
            </w:r>
          </w:p>
          <w:p w14:paraId="599A0C86" w14:textId="77777777" w:rsidR="00670FD4" w:rsidRPr="00344FCE" w:rsidRDefault="00670FD4" w:rsidP="001925BA">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t>Os1.a Protejarea eficientă a valorilor naturale, peisagistice și culturale.</w:t>
            </w:r>
          </w:p>
          <w:p w14:paraId="05DF4773" w14:textId="77777777" w:rsidR="00670FD4" w:rsidRPr="00344FCE" w:rsidRDefault="00670FD4" w:rsidP="001925BA">
            <w:pPr>
              <w:spacing w:before="0" w:after="0" w:line="240" w:lineRule="auto"/>
              <w:ind w:firstLine="0"/>
              <w:jc w:val="left"/>
              <w:rPr>
                <w:rFonts w:eastAsia="Times New Roman" w:cs="Times New Roman"/>
                <w:kern w:val="0"/>
                <w:lang w:val="ro-RO"/>
              </w:rPr>
            </w:pPr>
          </w:p>
        </w:tc>
      </w:tr>
      <w:tr w:rsidR="00670FD4" w:rsidRPr="00344FCE" w14:paraId="4E25B8DC" w14:textId="77777777" w:rsidTr="001925BA">
        <w:tc>
          <w:tcPr>
            <w:tcW w:w="2122" w:type="dxa"/>
            <w:vMerge w:val="restart"/>
            <w:shd w:val="clear" w:color="auto" w:fill="auto"/>
          </w:tcPr>
          <w:p w14:paraId="551E4AC8"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0627BFE3"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3DF92A27"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1AD2E6F9"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27F398E7"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473DA378" w14:textId="77777777" w:rsidR="00670FD4" w:rsidRPr="00344FCE" w:rsidRDefault="00670FD4" w:rsidP="001925BA">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Prevenirea, controlul și remedierea impacturilor generate de hazardele naturale și antropice</w:t>
            </w:r>
          </w:p>
        </w:tc>
        <w:tc>
          <w:tcPr>
            <w:tcW w:w="2693" w:type="dxa"/>
            <w:shd w:val="clear" w:color="auto" w:fill="auto"/>
          </w:tcPr>
          <w:p w14:paraId="22B50C5C" w14:textId="77777777" w:rsidR="00670FD4" w:rsidRPr="00344FCE" w:rsidRDefault="00670FD4" w:rsidP="001925BA">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lastRenderedPageBreak/>
              <w:t>C.1 Realizarea și aplicarea de soluții moderne, simple și cost-</w:t>
            </w:r>
            <w:r w:rsidRPr="00344FCE">
              <w:rPr>
                <w:rFonts w:eastAsia="Times New Roman" w:cs="Times New Roman"/>
                <w:kern w:val="0"/>
                <w:lang w:val="ro-RO"/>
              </w:rPr>
              <w:lastRenderedPageBreak/>
              <w:t>eficiente pentru monitorizarea efectelor hazardelor naturale</w:t>
            </w:r>
          </w:p>
        </w:tc>
        <w:tc>
          <w:tcPr>
            <w:tcW w:w="6520" w:type="dxa"/>
            <w:shd w:val="clear" w:color="auto" w:fill="auto"/>
          </w:tcPr>
          <w:p w14:paraId="16A7F021"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 xml:space="preserve">- dezvoltarea și implementarea unui serviciu național operațional, automat și gratuit de monitorizare a liniei țărmului pe baza </w:t>
            </w:r>
            <w:r w:rsidRPr="00344FCE">
              <w:rPr>
                <w:rFonts w:eastAsia="Times New Roman" w:cs="Times New Roman"/>
                <w:kern w:val="0"/>
                <w:lang w:val="ro-RO"/>
              </w:rPr>
              <w:lastRenderedPageBreak/>
              <w:t>imaginilor satelitare cu acces liber și gratuite (precum Sentinel-2 sau Landsat 8/9);</w:t>
            </w:r>
          </w:p>
          <w:p w14:paraId="43B3D923"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dezvoltarea și implementarea unor instrumente de monitorizare și a unor mecanisme de management al sedimentelor în Delta Dunării și pe țărmul românesc al Mării Negre.</w:t>
            </w:r>
          </w:p>
        </w:tc>
        <w:tc>
          <w:tcPr>
            <w:tcW w:w="3261" w:type="dxa"/>
            <w:shd w:val="clear" w:color="auto" w:fill="auto"/>
          </w:tcPr>
          <w:p w14:paraId="659DE190"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 xml:space="preserve">Os2.d Întărirea sistemului de management al riscurilor pentru hazarde naturale și </w:t>
            </w:r>
            <w:r w:rsidRPr="00344FCE">
              <w:rPr>
                <w:rFonts w:eastAsia="Times New Roman" w:cs="Times New Roman"/>
                <w:kern w:val="0"/>
                <w:lang w:val="ro-RO"/>
              </w:rPr>
              <w:lastRenderedPageBreak/>
              <w:t>antropice, luând în calcul și impactul schimbărilor climatice;</w:t>
            </w:r>
          </w:p>
          <w:p w14:paraId="74E346F2"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Os3.b. Stabilirea unui sistem performant de supraveghere a eficienței implementării planificării spațiale prin realizarea Geamănului Digital (Digital Twin) a litoralului românesc</w:t>
            </w:r>
          </w:p>
        </w:tc>
      </w:tr>
      <w:tr w:rsidR="00670FD4" w:rsidRPr="00344FCE" w14:paraId="2096971A" w14:textId="77777777" w:rsidTr="001925BA">
        <w:tc>
          <w:tcPr>
            <w:tcW w:w="2122" w:type="dxa"/>
            <w:vMerge/>
            <w:shd w:val="clear" w:color="auto" w:fill="auto"/>
          </w:tcPr>
          <w:p w14:paraId="1831AF02"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4513A675"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C2. Realizarea unei evaluări detaliate a vulnerabilității zonei de coastă la fenomene extreme, identificarea și analizarea riscurilor potențiale și stabilirea de măsuri prioritare de prevenire, atenuare, adaptare și remediere</w:t>
            </w:r>
          </w:p>
        </w:tc>
        <w:tc>
          <w:tcPr>
            <w:tcW w:w="6520" w:type="dxa"/>
            <w:shd w:val="clear" w:color="auto" w:fill="auto"/>
          </w:tcPr>
          <w:p w14:paraId="1DE5C254"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prevenirea și controlul impactului vânturilor și furtunilor severe</w:t>
            </w:r>
          </w:p>
          <w:p w14:paraId="125CD29B"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prevenirea și controlul impactului secetei și incendiilor;</w:t>
            </w:r>
          </w:p>
          <w:p w14:paraId="0E083FBB"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prevenirea și controlul impactului precipitațiilor extreme.</w:t>
            </w:r>
          </w:p>
        </w:tc>
        <w:tc>
          <w:tcPr>
            <w:tcW w:w="3261" w:type="dxa"/>
            <w:shd w:val="clear" w:color="auto" w:fill="auto"/>
          </w:tcPr>
          <w:p w14:paraId="6D819DFB"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Os2.d Întărirea sistemului de management al riscurilor pentru hazarde naturale și antropice, luând în calcul și impactul schimbărilor climatice.</w:t>
            </w:r>
          </w:p>
        </w:tc>
      </w:tr>
      <w:tr w:rsidR="00670FD4" w:rsidRPr="00344FCE" w14:paraId="013BB172" w14:textId="77777777" w:rsidTr="001925BA">
        <w:tc>
          <w:tcPr>
            <w:tcW w:w="2122" w:type="dxa"/>
            <w:vMerge w:val="restart"/>
            <w:shd w:val="clear" w:color="auto" w:fill="auto"/>
          </w:tcPr>
          <w:p w14:paraId="4C2F9018"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57B7C5C7"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402B540F"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5944AB73" w14:textId="77777777" w:rsidR="00670FD4" w:rsidRPr="00344FCE" w:rsidRDefault="00670FD4" w:rsidP="001925BA">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Dezvoltarea economică sustenabilă a zonei costiere</w:t>
            </w:r>
          </w:p>
          <w:p w14:paraId="3A72391D"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4B05DB4F"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3ABB545E"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3FA07EDA"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0B2F4FD5"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311661AA"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42AD94F1"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1837C7C1"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2EF707AA"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55EDC259"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1D45B603"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1664573A"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22730026"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30D96E7F"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2070DCEC"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24D81AF5" w14:textId="77777777" w:rsidR="00670FD4" w:rsidRPr="00344FCE" w:rsidRDefault="00670FD4" w:rsidP="001925BA">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Dezvoltarea economică sustenabilă a zonei costiere</w:t>
            </w:r>
          </w:p>
          <w:p w14:paraId="118EFEF3"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35D770DE"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2511BE28"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34B8BF47"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2E8EC9DB"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36E29FD7"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2F1AC74F"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315CF120"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559B20C8"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3B456F6C"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71D0691C"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635D4012"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0B6FD7C5"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5CB56340"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35AD816A"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5C4AA050"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35F510FA"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15992096"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2E83E532" w14:textId="77777777" w:rsidR="00670FD4" w:rsidRPr="00344FCE" w:rsidRDefault="00670FD4" w:rsidP="001925BA">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Dezvoltarea economică sustenabilă a zonei costiere</w:t>
            </w:r>
          </w:p>
          <w:p w14:paraId="14FC8CAD"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37AD96B3"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197B204E"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23930A8F"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5B08C898"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7B045558"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704B00E9"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086ED2E0"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1E9C81F7"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7532A91C"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338E82D8"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7D3E730E"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5FD0D114" w14:textId="77777777" w:rsidR="00670FD4" w:rsidRPr="00344FCE" w:rsidRDefault="00670FD4" w:rsidP="001925BA">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Dezvoltarea economică sustenabilă a zonei costie</w:t>
            </w:r>
          </w:p>
          <w:p w14:paraId="68F1C2CE"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1DCB512C"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1BF5D3E3"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40CE6935"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49A6E381"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2272B01F"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24DB4A17"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0BB60A02"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61AAA44C"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6A6DF2F0"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170DE0A5"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0A6FCC4C"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7DFD357B"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75F9A086"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049023CD"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28BA3156"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0A037D1F" w14:textId="77777777" w:rsidR="00670FD4" w:rsidRPr="00344FCE" w:rsidRDefault="00670FD4" w:rsidP="001925BA">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Dezvoltarea economică sustenabilă a zonei costiere</w:t>
            </w:r>
          </w:p>
          <w:p w14:paraId="42E3CFAD"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38A2E947"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5CDC22EE"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0434F203"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7E34FFA1"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523FB993"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71BF206E"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4C4C089B"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1BF30AD6"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55F37621"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7807A747"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58A94015"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700C580B"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249A85D9"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570DA661"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41B4BB31"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4D7E2C7A" w14:textId="77777777" w:rsidR="00670FD4" w:rsidRPr="00344FCE" w:rsidRDefault="00670FD4" w:rsidP="001925BA">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Dezvoltarea economică sustenabilă a zonei costiere</w:t>
            </w:r>
          </w:p>
          <w:p w14:paraId="7C7D30D0"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69C69C5D"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03697EEB"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0136BCC4" w14:textId="77777777" w:rsidR="00670FD4" w:rsidRPr="00344FCE" w:rsidRDefault="00670FD4" w:rsidP="001925BA">
            <w:pPr>
              <w:spacing w:before="0" w:after="160" w:line="252" w:lineRule="auto"/>
              <w:ind w:firstLine="0"/>
              <w:jc w:val="left"/>
              <w:rPr>
                <w:rFonts w:eastAsia="Times New Roman" w:cs="Times New Roman"/>
                <w:kern w:val="0"/>
                <w:lang w:val="ro-RO"/>
              </w:rPr>
            </w:pPr>
          </w:p>
        </w:tc>
        <w:tc>
          <w:tcPr>
            <w:tcW w:w="2693" w:type="dxa"/>
            <w:shd w:val="clear" w:color="auto" w:fill="auto"/>
          </w:tcPr>
          <w:p w14:paraId="2BF451F1"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D.1 Consolidarea infrastructurii antreprenoriale locale</w:t>
            </w:r>
          </w:p>
        </w:tc>
        <w:tc>
          <w:tcPr>
            <w:tcW w:w="6520" w:type="dxa"/>
            <w:shd w:val="clear" w:color="auto" w:fill="auto"/>
          </w:tcPr>
          <w:p w14:paraId="56F860DE"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specializarea trainerilor</w:t>
            </w:r>
          </w:p>
          <w:p w14:paraId="11A91395"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implementarea programelor de asistență/suport pentru antreprenori și ceilalți actori implicați în dezvoltarea verde a zonei costiere prin:</w:t>
            </w:r>
          </w:p>
          <w:p w14:paraId="1E60FEB7"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i) furnizarea informațiilor necesare asupra condițiilor și posibilităților pentru dezvoltarea ideilor/planurilor de business, oportunitățile existente și potențiale de asistență financiară, precum și condițiile pentru obținerea asistenței în timpul pregătirii și implementării proiectelor;</w:t>
            </w:r>
          </w:p>
          <w:p w14:paraId="0A18862E"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ii) îmbunătățirea cunoștințelor și abilităților de concepere, pregătire și management a proiectelor de către entitățile aplicante prin realizarea unor ghiduri, organizarea de cursuri de pregătire, </w:t>
            </w:r>
            <w:r w:rsidRPr="00344FCE">
              <w:rPr>
                <w:rFonts w:eastAsia="Times New Roman" w:cs="Times New Roman"/>
                <w:kern w:val="0"/>
                <w:lang w:val="ro-RO"/>
              </w:rPr>
              <w:lastRenderedPageBreak/>
              <w:t>workshop-uri sau alte programe de pregătire pentru folosirea abordărilor inovative, noilor cunoștințe și abilități;</w:t>
            </w:r>
          </w:p>
          <w:p w14:paraId="69E04210"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iii) pregătirea și implementarea programelor de schimb de cunoștințe și experiență la nivel regional, precum și european/internațional;</w:t>
            </w:r>
          </w:p>
          <w:p w14:paraId="5B535839"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iv) furnizarea de asistență tehnică directă în implementarea proiectelor.</w:t>
            </w:r>
          </w:p>
          <w:p w14:paraId="276C5894"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-programe pentru pregătirea și monitorizarea (programe europene suport) implementării proiectelor</w:t>
            </w:r>
          </w:p>
        </w:tc>
        <w:tc>
          <w:tcPr>
            <w:tcW w:w="3261" w:type="dxa"/>
            <w:shd w:val="clear" w:color="auto" w:fill="auto"/>
          </w:tcPr>
          <w:p w14:paraId="028EDF64" w14:textId="77777777" w:rsidR="00670FD4" w:rsidRPr="00344FCE" w:rsidRDefault="00670FD4" w:rsidP="001925BA">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Os4.b Dezvoltarea “verde” a zonei costiere;</w:t>
            </w:r>
          </w:p>
          <w:p w14:paraId="3E1CA697" w14:textId="77777777" w:rsidR="00670FD4" w:rsidRPr="00344FCE" w:rsidRDefault="00670FD4" w:rsidP="001925BA">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t xml:space="preserve"> Os2.c Stimularea dezvoltării infrastructurii verzi;</w:t>
            </w:r>
          </w:p>
          <w:p w14:paraId="6C2FCF96" w14:textId="77777777" w:rsidR="00670FD4" w:rsidRPr="00344FCE" w:rsidRDefault="00670FD4" w:rsidP="001925BA">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t>Os6.b Creșterea gradului de conștientizare cu privire la necesitatea de a păstra și îmbunătăți resursele zonei de coastă.</w:t>
            </w:r>
          </w:p>
        </w:tc>
      </w:tr>
      <w:tr w:rsidR="00670FD4" w:rsidRPr="00344FCE" w14:paraId="28515848" w14:textId="77777777" w:rsidTr="001925BA">
        <w:tc>
          <w:tcPr>
            <w:tcW w:w="2122" w:type="dxa"/>
            <w:vMerge/>
            <w:shd w:val="clear" w:color="auto" w:fill="auto"/>
          </w:tcPr>
          <w:p w14:paraId="6A1310F1"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787DE609"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D.2 Program național de stimulare a întreprinderilor care obțin eticheta ecologică pentru activitatea de cazare turistică</w:t>
            </w:r>
          </w:p>
        </w:tc>
        <w:tc>
          <w:tcPr>
            <w:tcW w:w="6520" w:type="dxa"/>
            <w:shd w:val="clear" w:color="auto" w:fill="auto"/>
          </w:tcPr>
          <w:p w14:paraId="10EECF93"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realizarea de campanii de promovare și informare a deținătorilor și managerilor structurilor de primire turistică asupra criteriilor pentru încadrarea în program și ale avantajelor obținerii “Eticheta ecologică în turism“;</w:t>
            </w:r>
          </w:p>
          <w:p w14:paraId="349DE7E3"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inițierea și aprobarea, prin Hotărâre de Guvern, a unui Program de stimulare a întreprinderilor din turism care au obținut, urmare investițiilor realizate, “Eticheta ecologică în turism“.</w:t>
            </w:r>
          </w:p>
        </w:tc>
        <w:tc>
          <w:tcPr>
            <w:tcW w:w="3261" w:type="dxa"/>
            <w:shd w:val="clear" w:color="auto" w:fill="auto"/>
          </w:tcPr>
          <w:p w14:paraId="28D5ACC2" w14:textId="77777777" w:rsidR="00670FD4" w:rsidRPr="00344FCE" w:rsidRDefault="00670FD4" w:rsidP="001925BA">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Os4.b Dezvoltarea “verde” a zonei costiere</w:t>
            </w:r>
          </w:p>
        </w:tc>
      </w:tr>
      <w:tr w:rsidR="00670FD4" w:rsidRPr="00344FCE" w14:paraId="2EC57E81" w14:textId="77777777" w:rsidTr="001925BA">
        <w:tc>
          <w:tcPr>
            <w:tcW w:w="2122" w:type="dxa"/>
            <w:vMerge/>
            <w:shd w:val="clear" w:color="auto" w:fill="auto"/>
          </w:tcPr>
          <w:p w14:paraId="53B498C6"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5255BCDE"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D.3 Program de stimulare a operatorilor de plaje și de porturi de agrement care reușesc să obțină distincția Blue Flag</w:t>
            </w:r>
          </w:p>
        </w:tc>
        <w:tc>
          <w:tcPr>
            <w:tcW w:w="6520" w:type="dxa"/>
            <w:shd w:val="clear" w:color="auto" w:fill="auto"/>
          </w:tcPr>
          <w:p w14:paraId="3E3B81CA"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realizarea de campanii de promovare și informare a antreprenorilor cu privire la criteriile pentru încadrarea în program și la avantajele programului;</w:t>
            </w:r>
          </w:p>
          <w:p w14:paraId="0BEF06DD"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realizarea de campanii de promovare a plajelor și porturilor de agrement care au obținut distincția Blue Flag;</w:t>
            </w:r>
          </w:p>
          <w:p w14:paraId="6BE71603"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inițierea și aprobarea, prin Hotărâre de Guvern, a unui Program de stimulare a operatorilor din turism care au obținut, urmare investițiilor realizate, distincția Blue Flag.</w:t>
            </w:r>
          </w:p>
        </w:tc>
        <w:tc>
          <w:tcPr>
            <w:tcW w:w="3261" w:type="dxa"/>
            <w:shd w:val="clear" w:color="auto" w:fill="auto"/>
          </w:tcPr>
          <w:p w14:paraId="1B44671B" w14:textId="77777777" w:rsidR="00670FD4" w:rsidRPr="00344FCE" w:rsidRDefault="00670FD4" w:rsidP="001925BA">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t>Os4.b Dezvoltarea “verde” a zonei costiere;</w:t>
            </w:r>
          </w:p>
          <w:p w14:paraId="2A342D95" w14:textId="77777777" w:rsidR="00670FD4" w:rsidRPr="00344FCE" w:rsidRDefault="00670FD4" w:rsidP="001925BA">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t>Os2.a Atingerea stării ecologice bune a ecosistemelor.</w:t>
            </w:r>
          </w:p>
        </w:tc>
      </w:tr>
      <w:tr w:rsidR="00670FD4" w:rsidRPr="00344FCE" w14:paraId="5A22D78A" w14:textId="77777777" w:rsidTr="001925BA">
        <w:tc>
          <w:tcPr>
            <w:tcW w:w="2122" w:type="dxa"/>
            <w:vMerge/>
            <w:shd w:val="clear" w:color="auto" w:fill="auto"/>
          </w:tcPr>
          <w:p w14:paraId="6992D861"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4183DFF3" w14:textId="77777777" w:rsidR="00670FD4" w:rsidRPr="00344FCE" w:rsidRDefault="00670FD4" w:rsidP="001925BA">
            <w:pPr>
              <w:spacing w:before="0" w:after="0" w:line="240" w:lineRule="auto"/>
              <w:ind w:firstLine="0"/>
              <w:rPr>
                <w:rFonts w:eastAsia="Times New Roman" w:cs="Times New Roman"/>
                <w:kern w:val="0"/>
                <w:lang w:val="ro-RO"/>
              </w:rPr>
            </w:pPr>
            <w:r w:rsidRPr="00344FCE">
              <w:rPr>
                <w:rFonts w:eastAsia="Times New Roman" w:cs="Times New Roman"/>
                <w:kern w:val="0"/>
                <w:lang w:val="ro-RO"/>
              </w:rPr>
              <w:t xml:space="preserve">D.4 Inițierea și implementarea unui program de dezvoltare a turismului subacvatic </w:t>
            </w:r>
          </w:p>
        </w:tc>
        <w:tc>
          <w:tcPr>
            <w:tcW w:w="6520" w:type="dxa"/>
            <w:shd w:val="clear" w:color="auto" w:fill="auto"/>
          </w:tcPr>
          <w:p w14:paraId="7B333787" w14:textId="77777777" w:rsidR="00670FD4" w:rsidRPr="00344FCE" w:rsidRDefault="00670FD4" w:rsidP="001925BA">
            <w:pPr>
              <w:numPr>
                <w:ilvl w:val="0"/>
                <w:numId w:val="12"/>
              </w:numPr>
              <w:spacing w:before="0" w:after="0" w:line="240" w:lineRule="auto"/>
              <w:ind w:left="180" w:hanging="180"/>
              <w:jc w:val="left"/>
              <w:rPr>
                <w:rFonts w:eastAsia="Times New Roman" w:cs="Times New Roman"/>
                <w:kern w:val="0"/>
                <w:lang w:val="ro-RO"/>
              </w:rPr>
            </w:pPr>
            <w:r w:rsidRPr="00344FCE">
              <w:rPr>
                <w:rFonts w:eastAsia="Times New Roman" w:cs="Times New Roman"/>
                <w:kern w:val="0"/>
                <w:lang w:val="ro-RO"/>
              </w:rPr>
              <w:t>revizuirea legislației privind reglementarea activităților de scufundare în scop recreativ și științific;</w:t>
            </w:r>
          </w:p>
          <w:p w14:paraId="76E63678" w14:textId="77777777" w:rsidR="00670FD4" w:rsidRPr="00344FCE" w:rsidRDefault="00670FD4" w:rsidP="001925BA">
            <w:pPr>
              <w:numPr>
                <w:ilvl w:val="0"/>
                <w:numId w:val="12"/>
              </w:numPr>
              <w:spacing w:before="0" w:after="0" w:line="240" w:lineRule="auto"/>
              <w:ind w:left="180" w:hanging="180"/>
              <w:jc w:val="left"/>
              <w:rPr>
                <w:rFonts w:eastAsia="Times New Roman" w:cs="Times New Roman"/>
                <w:kern w:val="0"/>
                <w:lang w:val="ro-RO"/>
              </w:rPr>
            </w:pPr>
            <w:r w:rsidRPr="00344FCE">
              <w:rPr>
                <w:rFonts w:eastAsia="Times New Roman" w:cs="Times New Roman"/>
                <w:kern w:val="0"/>
                <w:lang w:val="ro-RO"/>
              </w:rPr>
              <w:t>realizarea de campanii de conștientizare a importanței protejării și conservării patrimoniului cultural subacvatic;</w:t>
            </w:r>
          </w:p>
          <w:p w14:paraId="78C48051" w14:textId="77777777" w:rsidR="00670FD4" w:rsidRPr="00344FCE" w:rsidRDefault="00670FD4" w:rsidP="001925BA">
            <w:pPr>
              <w:numPr>
                <w:ilvl w:val="0"/>
                <w:numId w:val="12"/>
              </w:numPr>
              <w:spacing w:before="0" w:after="0" w:line="240" w:lineRule="auto"/>
              <w:ind w:left="180" w:hanging="180"/>
              <w:jc w:val="left"/>
              <w:rPr>
                <w:rFonts w:eastAsia="Times New Roman" w:cs="Times New Roman"/>
                <w:kern w:val="0"/>
                <w:lang w:val="ro-RO"/>
              </w:rPr>
            </w:pPr>
            <w:r w:rsidRPr="00344FCE">
              <w:rPr>
                <w:rFonts w:eastAsia="Times New Roman" w:cs="Times New Roman"/>
                <w:kern w:val="0"/>
                <w:lang w:val="ro-RO"/>
              </w:rPr>
              <w:t>realizarea de campanii pentru promovarea turismului subacvatic la litoralul românesc;</w:t>
            </w:r>
          </w:p>
          <w:p w14:paraId="257BA4D4" w14:textId="77777777" w:rsidR="00670FD4" w:rsidRPr="00344FCE" w:rsidRDefault="00670FD4" w:rsidP="001925BA">
            <w:pPr>
              <w:numPr>
                <w:ilvl w:val="0"/>
                <w:numId w:val="12"/>
              </w:numPr>
              <w:spacing w:before="0" w:after="0" w:line="240" w:lineRule="auto"/>
              <w:ind w:left="180" w:hanging="180"/>
              <w:jc w:val="left"/>
              <w:rPr>
                <w:rFonts w:eastAsia="Times New Roman" w:cs="Times New Roman"/>
                <w:kern w:val="0"/>
                <w:lang w:val="ro-RO"/>
              </w:rPr>
            </w:pPr>
            <w:r w:rsidRPr="00344FCE">
              <w:rPr>
                <w:rFonts w:eastAsia="Times New Roman" w:cs="Times New Roman"/>
                <w:kern w:val="0"/>
                <w:lang w:val="ro-RO"/>
              </w:rPr>
              <w:t>programe de pregătire / specializare pentru ghizii turistici (scuba - diving, arheologie subacvatică, istorie, etc);</w:t>
            </w:r>
          </w:p>
          <w:p w14:paraId="136F272B" w14:textId="77777777" w:rsidR="00670FD4" w:rsidRPr="00344FCE" w:rsidRDefault="00670FD4" w:rsidP="001925BA">
            <w:pPr>
              <w:numPr>
                <w:ilvl w:val="0"/>
                <w:numId w:val="12"/>
              </w:numPr>
              <w:spacing w:before="0" w:after="0" w:line="240" w:lineRule="auto"/>
              <w:ind w:left="180" w:hanging="180"/>
              <w:jc w:val="left"/>
              <w:rPr>
                <w:rFonts w:eastAsia="Times New Roman" w:cs="Times New Roman"/>
                <w:kern w:val="0"/>
                <w:lang w:val="ro-RO"/>
              </w:rPr>
            </w:pPr>
            <w:r w:rsidRPr="00344FCE">
              <w:rPr>
                <w:rFonts w:eastAsia="Times New Roman" w:cs="Times New Roman"/>
                <w:kern w:val="0"/>
                <w:lang w:val="ro-RO"/>
              </w:rPr>
              <w:lastRenderedPageBreak/>
              <w:t>stimularea operatorilor turistici pentru practicarea turismului subacvatic;</w:t>
            </w:r>
          </w:p>
          <w:p w14:paraId="2A3E6168" w14:textId="77777777" w:rsidR="00670FD4" w:rsidRPr="00344FCE" w:rsidRDefault="00670FD4" w:rsidP="001925BA">
            <w:pPr>
              <w:numPr>
                <w:ilvl w:val="0"/>
                <w:numId w:val="12"/>
              </w:numPr>
              <w:spacing w:before="0" w:after="0" w:line="240" w:lineRule="auto"/>
              <w:ind w:left="180" w:hanging="180"/>
              <w:jc w:val="left"/>
              <w:rPr>
                <w:rFonts w:eastAsia="Times New Roman" w:cs="Times New Roman"/>
                <w:kern w:val="0"/>
                <w:lang w:val="ro-RO"/>
              </w:rPr>
            </w:pPr>
            <w:r w:rsidRPr="00344FCE">
              <w:rPr>
                <w:rFonts w:eastAsia="Times New Roman" w:cs="Times New Roman"/>
                <w:kern w:val="0"/>
                <w:lang w:val="ro-RO"/>
              </w:rPr>
              <w:t xml:space="preserve">inițierea și implementarea de proiecte pentru identificarea rutelor turistice subacvatice și interconectarea lor la siturile culturale terestre; </w:t>
            </w:r>
          </w:p>
          <w:p w14:paraId="362BA2E1" w14:textId="77777777" w:rsidR="00670FD4" w:rsidRPr="00344FCE" w:rsidRDefault="00670FD4" w:rsidP="001925BA">
            <w:pPr>
              <w:numPr>
                <w:ilvl w:val="0"/>
                <w:numId w:val="12"/>
              </w:numPr>
              <w:spacing w:before="0" w:after="0" w:line="240" w:lineRule="auto"/>
              <w:ind w:left="180" w:hanging="180"/>
              <w:jc w:val="left"/>
              <w:rPr>
                <w:rFonts w:eastAsia="Times New Roman" w:cs="Times New Roman"/>
                <w:kern w:val="0"/>
                <w:lang w:val="ro-RO"/>
              </w:rPr>
            </w:pPr>
            <w:r w:rsidRPr="00344FCE">
              <w:rPr>
                <w:rFonts w:eastAsia="Times New Roman" w:cs="Times New Roman"/>
                <w:kern w:val="0"/>
                <w:lang w:val="ro-RO"/>
              </w:rPr>
              <w:t>inițierea și implementarea de proiecte de restaurare a siturilor și obiectelor subacvatice</w:t>
            </w:r>
          </w:p>
        </w:tc>
        <w:tc>
          <w:tcPr>
            <w:tcW w:w="3261" w:type="dxa"/>
            <w:shd w:val="clear" w:color="auto" w:fill="auto"/>
          </w:tcPr>
          <w:p w14:paraId="4314723F" w14:textId="77777777" w:rsidR="00670FD4" w:rsidRPr="00344FCE" w:rsidRDefault="00670FD4" w:rsidP="001925BA">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Os4.b Dezvoltarea “verde” a zonei costiere;</w:t>
            </w:r>
          </w:p>
          <w:p w14:paraId="026FB2EE" w14:textId="77777777" w:rsidR="00670FD4" w:rsidRPr="00344FCE" w:rsidRDefault="00670FD4" w:rsidP="001925BA">
            <w:pPr>
              <w:spacing w:before="0" w:after="160" w:line="240" w:lineRule="auto"/>
              <w:ind w:firstLine="0"/>
              <w:jc w:val="left"/>
              <w:rPr>
                <w:rFonts w:eastAsia="Times New Roman" w:cs="Times New Roman"/>
                <w:kern w:val="0"/>
                <w:lang w:val="ro-RO"/>
              </w:rPr>
            </w:pPr>
            <w:r w:rsidRPr="00344FCE">
              <w:rPr>
                <w:rFonts w:eastAsia="Times New Roman" w:cs="Times New Roman"/>
                <w:kern w:val="0"/>
                <w:lang w:val="ro-RO"/>
              </w:rPr>
              <w:t>Os1.a Protejarea eficientă a valorilor naturale, peisagistice și culturale</w:t>
            </w:r>
          </w:p>
          <w:p w14:paraId="12301859" w14:textId="77777777" w:rsidR="00670FD4" w:rsidRPr="00344FCE" w:rsidRDefault="00670FD4" w:rsidP="001925BA">
            <w:pPr>
              <w:spacing w:before="0" w:line="240" w:lineRule="auto"/>
              <w:ind w:firstLine="0"/>
              <w:rPr>
                <w:rFonts w:eastAsia="Times New Roman" w:cs="Times New Roman"/>
                <w:kern w:val="0"/>
                <w:lang w:val="ro-RO"/>
              </w:rPr>
            </w:pPr>
            <w:r w:rsidRPr="00344FCE">
              <w:rPr>
                <w:rFonts w:eastAsia="Times New Roman" w:cs="Times New Roman"/>
                <w:kern w:val="0"/>
                <w:lang w:val="ro-RO"/>
              </w:rPr>
              <w:t xml:space="preserve">Os6.b Creșterea gradului de conștientizare cu privire la </w:t>
            </w:r>
            <w:r w:rsidRPr="00344FCE">
              <w:rPr>
                <w:rFonts w:eastAsia="Times New Roman" w:cs="Times New Roman"/>
                <w:kern w:val="0"/>
                <w:lang w:val="ro-RO"/>
              </w:rPr>
              <w:lastRenderedPageBreak/>
              <w:t>necesitatea de a păstra și îmbunătăți resursele zonei de coastă</w:t>
            </w:r>
          </w:p>
        </w:tc>
      </w:tr>
      <w:tr w:rsidR="00670FD4" w:rsidRPr="00344FCE" w14:paraId="37E0467B" w14:textId="77777777" w:rsidTr="001925BA">
        <w:tc>
          <w:tcPr>
            <w:tcW w:w="2122" w:type="dxa"/>
            <w:vMerge/>
            <w:shd w:val="clear" w:color="auto" w:fill="auto"/>
          </w:tcPr>
          <w:p w14:paraId="05B3A560"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57DBF7FD"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D.5 Identificarea măsurilor pentru reabilitarea stocurilor de pești cu valoare comercială, încurajarea și susținerea implementării procedurilor/tehnicilor și tehnologiilor de pescuit sustenabil prin acordarea de stimulente</w:t>
            </w:r>
          </w:p>
        </w:tc>
        <w:tc>
          <w:tcPr>
            <w:tcW w:w="6520" w:type="dxa"/>
            <w:shd w:val="clear" w:color="auto" w:fill="auto"/>
          </w:tcPr>
          <w:p w14:paraId="2CC593E1"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reabilitarea ecologică a zonelor de reproducere și creștere a stadiilor timpurii, pentru refacerea stocurilor și rutelor de migraţie a peştilor și pentru decolmatarea căilor de acces;</w:t>
            </w:r>
          </w:p>
          <w:p w14:paraId="32C6F8F4"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îmbunătățirea/corelarea legislaţiei naţionale în acord cu legislația europeană, privind:</w:t>
            </w:r>
          </w:p>
          <w:p w14:paraId="164976CB"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i) folosirea uneltelor de pescuit, precum plasele monofilament, combaterea, cu măsuri reale, a braconajului, </w:t>
            </w:r>
          </w:p>
          <w:p w14:paraId="1B5F0E88"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ii) consultarea reprezentanţilor din pescării în elaborarea de politici care influenţează domeniul pescaresc,</w:t>
            </w:r>
          </w:p>
          <w:p w14:paraId="28BD4782"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iii) protejarea intereselor pescarilor autohtoni și acordarea de compensaţii financiare în perioade nefavorabile, îmbunătăţirea condiţiilor de muncă ale pescarilor;</w:t>
            </w:r>
          </w:p>
          <w:p w14:paraId="006D0060"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crearea unui fond de garantare pentru sectorul operaţional de pescuit;</w:t>
            </w:r>
          </w:p>
          <w:p w14:paraId="70B4148D"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reactivarea pescuitului costier la scară redusă prin alocarea de terenuri care să servească amenajării de adăposturi pescăreşti;</w:t>
            </w:r>
          </w:p>
          <w:p w14:paraId="47854F79"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stimularea activităţii de cercetare în domeniul piscicol;</w:t>
            </w:r>
          </w:p>
          <w:p w14:paraId="6046A9B3"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specializarea/îmbunătățirea cunoștințelor prin campanii de conștientizare și de instruire a pescarilor și piscicultorilor.</w:t>
            </w:r>
          </w:p>
        </w:tc>
        <w:tc>
          <w:tcPr>
            <w:tcW w:w="3261" w:type="dxa"/>
            <w:shd w:val="clear" w:color="auto" w:fill="auto"/>
          </w:tcPr>
          <w:p w14:paraId="11E92294" w14:textId="77777777" w:rsidR="00670FD4" w:rsidRPr="00344FCE" w:rsidRDefault="00670FD4" w:rsidP="001925BA">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t>Os4.a Gestionarea durabilă a resurselor zonei de coastă; Os2.a Atingerea stării ecologice bune a ecosistemelor.</w:t>
            </w:r>
          </w:p>
        </w:tc>
      </w:tr>
      <w:tr w:rsidR="00670FD4" w:rsidRPr="00344FCE" w14:paraId="27076D1D" w14:textId="77777777" w:rsidTr="001925BA">
        <w:tc>
          <w:tcPr>
            <w:tcW w:w="2122" w:type="dxa"/>
            <w:vMerge/>
            <w:shd w:val="clear" w:color="auto" w:fill="auto"/>
          </w:tcPr>
          <w:p w14:paraId="31FCB7CC"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4723E227"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D.6 Realizarea programelor de dezvoltarea a acvaculturii costiere (marine, terestre) prietenoase cu mediul</w:t>
            </w:r>
          </w:p>
        </w:tc>
        <w:tc>
          <w:tcPr>
            <w:tcW w:w="6520" w:type="dxa"/>
            <w:shd w:val="clear" w:color="auto" w:fill="auto"/>
          </w:tcPr>
          <w:p w14:paraId="46A7D23A"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control pentru respectarea legislației în vigoare privind utilizarea apelor marine, identificarea și concesionarea zonelor și selectarea speciilor pretabile pentru acvacultura, respectarea distanței minime față de țărm și față de alte activități pentru evitarea situațiilor conflictuale;</w:t>
            </w:r>
          </w:p>
          <w:p w14:paraId="2F38CFAA"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 dezvoltarea cercetărilor în domeniul acvaculturii și reabilitării ecologice, studierea interrelatiei pescuitului și  acvaculturii cu alte activități maritime;</w:t>
            </w:r>
          </w:p>
          <w:p w14:paraId="3183895F"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implementarea standardelor de calitate pentru peştele de consum livrat în stare vie, în special în cazul aplicării unor tehnologii ecologice;</w:t>
            </w:r>
          </w:p>
          <w:p w14:paraId="1E39C879"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respectarea condițiilor de dezvoltare a infrastructurii specifice, inclusiv crearea și dezvoltarea de puncte de debarcare numai pentru acvacultură;</w:t>
            </w:r>
          </w:p>
          <w:p w14:paraId="29CC7DF5"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implementarea sistemului de trasabilitate pentru produsele pescuite și cultivate;</w:t>
            </w:r>
          </w:p>
          <w:p w14:paraId="2508FC18"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implementarea unor programe eficiente de prevenţie şi tratament în cadrul unor reţele specializate pentru monitorizarea calităţii apei şi bolilor la peşti cu impact cantitativ şi calitativ asupra produsului final;</w:t>
            </w:r>
          </w:p>
          <w:p w14:paraId="64BBE142"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introducerea şi susţinerea unor acţiuni prin instrumente financiare bine delimitate referitoare la activităţi conexe procesului tehnologic în cadrul viitoarelor programe europene şi naţionale pentru activităţile de acvacultură;</w:t>
            </w:r>
          </w:p>
          <w:p w14:paraId="16BD9831"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elaborarea și implementarea de măsuri fiscale care să asigurare producţia în cazul unor calamităţi naturale).</w:t>
            </w:r>
          </w:p>
        </w:tc>
        <w:tc>
          <w:tcPr>
            <w:tcW w:w="3261" w:type="dxa"/>
            <w:shd w:val="clear" w:color="auto" w:fill="auto"/>
          </w:tcPr>
          <w:p w14:paraId="028442E8"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Os4.a Gestionarea durabilă a resurselor zonei de coastă; Os4.b Dezvoltarea “verde a zonei costiere</w:t>
            </w:r>
          </w:p>
        </w:tc>
      </w:tr>
      <w:tr w:rsidR="00670FD4" w:rsidRPr="00344FCE" w14:paraId="63107575" w14:textId="77777777" w:rsidTr="001925BA">
        <w:tc>
          <w:tcPr>
            <w:tcW w:w="2122" w:type="dxa"/>
            <w:vMerge/>
            <w:shd w:val="clear" w:color="auto" w:fill="auto"/>
          </w:tcPr>
          <w:p w14:paraId="62F1B92B"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6E5989F9"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D.7 Dezvoltarea infrastructurii pescărești și utilizarea de mijloace de pescuit (ambarcațiuni, echipamente și unelte) prietenoase cu mediul pentru evitarea deteriorării substratului marin și diminuarea presiunii asupra mediului</w:t>
            </w:r>
          </w:p>
        </w:tc>
        <w:tc>
          <w:tcPr>
            <w:tcW w:w="6520" w:type="dxa"/>
            <w:shd w:val="clear" w:color="auto" w:fill="auto"/>
          </w:tcPr>
          <w:p w14:paraId="7C0F101C"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elaborarea și implementarea programelor pentru modernizarea ambarcaţiunilor de pescuit, dotarea cu echipamente de navigaţie şi plase de pescuit specializate, diferenţiat pe specii de peşte;</w:t>
            </w:r>
          </w:p>
          <w:p w14:paraId="68EA0FB6"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elaborarea și implementarea programelor privind modernizarea uneltelor de pescuit, respectiv achiziţia de noi unelte, schimbarea motoarelor  ambarcaţiunilor;</w:t>
            </w:r>
          </w:p>
          <w:p w14:paraId="76699799"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îmbunătățirea bazei logistice prin retehnologizare şi modernizarea infrastructurii, achiziționarea de echipamente moderne și soft-uri specializate pentru standardizarea metodelor de pescuit și procesarea datelor de producție.</w:t>
            </w:r>
          </w:p>
        </w:tc>
        <w:tc>
          <w:tcPr>
            <w:tcW w:w="3261" w:type="dxa"/>
            <w:shd w:val="clear" w:color="auto" w:fill="auto"/>
          </w:tcPr>
          <w:p w14:paraId="4BE9CAA8"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 4.a Gestionarea durabilă a resurselor zonei de coastă</w:t>
            </w:r>
          </w:p>
        </w:tc>
      </w:tr>
      <w:tr w:rsidR="00670FD4" w:rsidRPr="00344FCE" w14:paraId="794F084A" w14:textId="77777777" w:rsidTr="001925BA">
        <w:tc>
          <w:tcPr>
            <w:tcW w:w="2122" w:type="dxa"/>
            <w:vMerge/>
            <w:shd w:val="clear" w:color="auto" w:fill="auto"/>
          </w:tcPr>
          <w:p w14:paraId="0976EEF6"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32BA0499"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D.8 Realizarea de programe  / proiecte pentru reabilitarea activităților tradiționale și valorificarea resursei stuficole din Delta Dunării</w:t>
            </w:r>
          </w:p>
        </w:tc>
        <w:tc>
          <w:tcPr>
            <w:tcW w:w="6520" w:type="dxa"/>
            <w:shd w:val="clear" w:color="auto" w:fill="auto"/>
          </w:tcPr>
          <w:p w14:paraId="254F2206"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campanii de conștientizare a populației locale și turiștilor cu privire la beneficiile reabilitării activităților tradiționale de valorificare a stufului, de noi oportunități de valorificare a resursei stuficole, alături de beneficiile economice pe care aceste oportunități le implică;</w:t>
            </w:r>
          </w:p>
          <w:p w14:paraId="67D8FBBF"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inițiere și implementare de proiecte pilot pentru producerea de energie din stuf;</w:t>
            </w:r>
          </w:p>
          <w:p w14:paraId="0A3EB7BD"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campanii de instruire în tehnici de construcție cu materiale din stuf adresate comunității locale;</w:t>
            </w:r>
          </w:p>
          <w:p w14:paraId="231B8FF9"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proiecte pilot pentru valorificarea resursei stuficole în industria modei și de design, promovarea acestui tip de valorificare prin organizarea de târguri, expoziții, etc.;</w:t>
            </w:r>
          </w:p>
          <w:p w14:paraId="736F13C7"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implementarea de proiecte pentru valorificarea stufului ca materiale în construcția de locuințe tradiționale;</w:t>
            </w:r>
          </w:p>
          <w:p w14:paraId="0756AEB6"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identificarea posibilităților de revigorare a industrie celulozei și hârtie folosind stuful ca materie primă</w:t>
            </w:r>
          </w:p>
          <w:p w14:paraId="23792182"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restaurarea zonelor de stufăriș afectate de degradare sau distrugere.</w:t>
            </w:r>
          </w:p>
        </w:tc>
        <w:tc>
          <w:tcPr>
            <w:tcW w:w="3261" w:type="dxa"/>
            <w:shd w:val="clear" w:color="auto" w:fill="auto"/>
          </w:tcPr>
          <w:p w14:paraId="79074433" w14:textId="77777777" w:rsidR="00670FD4" w:rsidRPr="00344FCE" w:rsidRDefault="00670FD4" w:rsidP="001925BA">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t>Os4.b Dezvoltarea “verde” a zonei costiere;</w:t>
            </w:r>
          </w:p>
          <w:p w14:paraId="26D05FC6" w14:textId="77777777" w:rsidR="00670FD4" w:rsidRPr="00344FCE" w:rsidRDefault="00670FD4" w:rsidP="001925BA">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t>Os2.c Stimularea dezvoltării infrastructurii verzi;</w:t>
            </w:r>
          </w:p>
          <w:p w14:paraId="22F70387" w14:textId="77777777" w:rsidR="00670FD4" w:rsidRPr="00344FCE" w:rsidRDefault="00670FD4" w:rsidP="001925BA">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t>Os6.b Creșterea gradului de conștientizare cu privire la necesitatea de a păstra și îmbunătăți resursele zonei de coastă.</w:t>
            </w:r>
          </w:p>
        </w:tc>
      </w:tr>
      <w:tr w:rsidR="00670FD4" w:rsidRPr="00344FCE" w14:paraId="76EBC486" w14:textId="77777777" w:rsidTr="001925BA">
        <w:tc>
          <w:tcPr>
            <w:tcW w:w="2122" w:type="dxa"/>
            <w:vMerge/>
            <w:shd w:val="clear" w:color="auto" w:fill="auto"/>
          </w:tcPr>
          <w:p w14:paraId="67FDEC33"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135B6155"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D.9 Implementarea de programe de conștientizare și susținere a producătorilor agricoli privind beneficiile aplicării în  practică a noilor politici agricole</w:t>
            </w:r>
          </w:p>
        </w:tc>
        <w:tc>
          <w:tcPr>
            <w:tcW w:w="6520" w:type="dxa"/>
            <w:shd w:val="clear" w:color="auto" w:fill="auto"/>
          </w:tcPr>
          <w:p w14:paraId="33B1B692"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utilizarea teledetecției în colectarea datelor spațiale sau utilizarea imaginilor satelitare și interpretarea lor de către specialiști în vederea eficientizării producției agricole,</w:t>
            </w:r>
          </w:p>
          <w:p w14:paraId="43B5DDD3"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utilizarea dronelor pentru supraveghere, evaluare, măsurători sau pentru aplicarea de soluții/substanțe (ex. fertilizanți, pesticide),</w:t>
            </w:r>
          </w:p>
          <w:p w14:paraId="330BB8E0"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utilizarea softurilor pentru controlul și gestionarea eficientă a echipamentelor și a materialelor din ferme,</w:t>
            </w:r>
          </w:p>
          <w:p w14:paraId="63C03F51"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adoptarea tehnicilor și materialelor de construcții prietenoase cu mediul și eficiente energetic,</w:t>
            </w:r>
          </w:p>
          <w:p w14:paraId="6149ED60"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sprijin în implementarea metodelor de gestionare sustenabilă a deșeurilor agricole,</w:t>
            </w:r>
          </w:p>
          <w:p w14:paraId="6C246BBE"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 sprijin pentru achiziționarea de utilaje și echipamente de ultima generație, </w:t>
            </w:r>
          </w:p>
          <w:p w14:paraId="4C463921"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 sprijin pentru implementarea unor programe de gestiune computerizată în special pentru fermele mici și mijlocii,</w:t>
            </w:r>
          </w:p>
          <w:p w14:paraId="3D0A906A"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sprijinirea asocierii comunităților de fermieri din zona costieră pentru creșterea eficienței în desfacerea produselor pe plan local în primul rând,</w:t>
            </w:r>
          </w:p>
          <w:p w14:paraId="5952FBC9"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organizarea periodică de întâlniri între fermieri și alți antreprenori (operatori de turism, reprezentanți ai altor comunități de afaceri, reprezentanți ai comunităților locale) prin care să fie promovate ideile, schimburile și care să întărească comunitatea de afaceri din zona costieră, cu beneficii pentru toată zona litorală.</w:t>
            </w:r>
          </w:p>
        </w:tc>
        <w:tc>
          <w:tcPr>
            <w:tcW w:w="3261" w:type="dxa"/>
            <w:shd w:val="clear" w:color="auto" w:fill="auto"/>
          </w:tcPr>
          <w:p w14:paraId="5F924095" w14:textId="77777777" w:rsidR="00670FD4" w:rsidRPr="00344FCE" w:rsidRDefault="00670FD4" w:rsidP="001925BA">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Os4.a Gestionarea durabilă a resurselor zonei de coastă; Os4.b Dezvoltarea “verde” a zonei costiere</w:t>
            </w:r>
          </w:p>
          <w:p w14:paraId="08C489EB" w14:textId="77777777" w:rsidR="00670FD4" w:rsidRPr="00344FCE" w:rsidRDefault="00670FD4" w:rsidP="001925BA">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t>Os6.b Creșterea gradului de conștientizare cu privire la necesitatea de a păstra și îmbunătăți resursele zonei de coastă.</w:t>
            </w:r>
          </w:p>
        </w:tc>
      </w:tr>
      <w:tr w:rsidR="00670FD4" w:rsidRPr="00344FCE" w14:paraId="3767AE36" w14:textId="77777777" w:rsidTr="001925BA">
        <w:tc>
          <w:tcPr>
            <w:tcW w:w="2122" w:type="dxa"/>
            <w:vMerge/>
            <w:shd w:val="clear" w:color="auto" w:fill="auto"/>
          </w:tcPr>
          <w:p w14:paraId="4DDF45CF"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0985FD3B"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D.10 Implementarea proiectelor de transport fluvial verde în Delta Dunării</w:t>
            </w:r>
          </w:p>
        </w:tc>
        <w:tc>
          <w:tcPr>
            <w:tcW w:w="6520" w:type="dxa"/>
            <w:shd w:val="clear" w:color="auto" w:fill="auto"/>
          </w:tcPr>
          <w:p w14:paraId="74506A8A"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campanii de conștientizare a operatorilor de transport fluvial, a operatorilor turistici, precum și a asociațiilor de pescari privind efectele negative ale transportului fluvial cu combustibili convenționali asupra stării ecosistemului deltaic și a serviciilor furnizate de către acesta comunității locale;</w:t>
            </w:r>
          </w:p>
          <w:p w14:paraId="4C14337B"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implementarea unor proiecte pilot  pentru testarea unor soluțiii de transport bazat pe surse neconvenționale;</w:t>
            </w:r>
          </w:p>
          <w:p w14:paraId="3E07DF8F"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identificarea unor mecanisme financiare de stimulare a folosirii ambarcațiunilor ce folosesc combustibili neconvenționali (“transportului verde”);</w:t>
            </w:r>
          </w:p>
          <w:p w14:paraId="4F183DAD"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identificarea unor mecanisme financiare de stimulare a operatorilor de transport, turistici și pescarilor pentru scoaterea din uz a ambarcațiunilor cu motoare vechi, poluante.</w:t>
            </w:r>
          </w:p>
        </w:tc>
        <w:tc>
          <w:tcPr>
            <w:tcW w:w="3261" w:type="dxa"/>
            <w:shd w:val="clear" w:color="auto" w:fill="auto"/>
          </w:tcPr>
          <w:p w14:paraId="7002EFAF"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Os4.b Dezvoltarea “verde” a zonei costiere;</w:t>
            </w:r>
          </w:p>
          <w:p w14:paraId="3BB2049C"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Os6.b Creșterea gradului de conștientizare cu privire la necesitatea de a păstra și îmbunătăți resursele zonei de coastă.</w:t>
            </w:r>
          </w:p>
        </w:tc>
      </w:tr>
      <w:tr w:rsidR="00670FD4" w:rsidRPr="00344FCE" w14:paraId="6895759E" w14:textId="77777777" w:rsidTr="001925BA">
        <w:tc>
          <w:tcPr>
            <w:tcW w:w="2122" w:type="dxa"/>
            <w:vMerge/>
            <w:shd w:val="clear" w:color="auto" w:fill="auto"/>
          </w:tcPr>
          <w:p w14:paraId="1F9329C8"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6BB6A12A"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D.11 Evaluarea potențialului de valorificare a resurselor energetice regenerabile din zonă: energia eoliană, “inshore” și „offshore”, energia valurilor, fotovoltaică, etc.</w:t>
            </w:r>
          </w:p>
        </w:tc>
        <w:tc>
          <w:tcPr>
            <w:tcW w:w="6520" w:type="dxa"/>
            <w:shd w:val="clear" w:color="auto" w:fill="auto"/>
          </w:tcPr>
          <w:p w14:paraId="5851BB59"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elaborarea și implementarea de studii / proiecte pilot privind evaluarea potențialului de valorificare a energiei eoliene, energiei valurilor și fotovoltaice din zona costieră;</w:t>
            </w:r>
          </w:p>
          <w:p w14:paraId="528D1F2C"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susținerea instituțiilor și infrastructurilor de cercetare-dezvoltare de interes național și European pentru studierea resurselor energetice regenerabile;</w:t>
            </w:r>
          </w:p>
          <w:p w14:paraId="0AF1ACA9"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susţinerea şi promovarea producţiei de energie din surse alternative, regenerabile şi nepoluante.</w:t>
            </w:r>
          </w:p>
        </w:tc>
        <w:tc>
          <w:tcPr>
            <w:tcW w:w="3261" w:type="dxa"/>
            <w:shd w:val="clear" w:color="auto" w:fill="auto"/>
          </w:tcPr>
          <w:p w14:paraId="7479826B"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Os4.c Valorificarea resurselor energetice regenerabile;</w:t>
            </w:r>
          </w:p>
          <w:p w14:paraId="748D3775"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Os4.b Dezvoltarea “verde” a zonei costiere.</w:t>
            </w:r>
          </w:p>
        </w:tc>
      </w:tr>
      <w:tr w:rsidR="00670FD4" w:rsidRPr="00344FCE" w14:paraId="6BA21ACA" w14:textId="77777777" w:rsidTr="001925BA">
        <w:tc>
          <w:tcPr>
            <w:tcW w:w="2122" w:type="dxa"/>
            <w:vMerge/>
            <w:shd w:val="clear" w:color="auto" w:fill="auto"/>
          </w:tcPr>
          <w:p w14:paraId="48CE20D0"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26CDB36A"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D.12 Susținerea și dezvoltarea de noi instrumente (centre de excelență, proiecte pilot, servicii de extensie oferite de către universități, etc) pentru transferul cunoștințelor  din cercetare spre business în sectoarele Blue Economy (ex. acvacultura IMTA - Integrated multitrophic aquaculture - în sistem circular; diversificarea resurselor alimentare din surse marine sau agricole prin utilizarea biotehnologiilor, etc.)</w:t>
            </w:r>
          </w:p>
        </w:tc>
        <w:tc>
          <w:tcPr>
            <w:tcW w:w="6520" w:type="dxa"/>
            <w:shd w:val="clear" w:color="auto" w:fill="auto"/>
          </w:tcPr>
          <w:p w14:paraId="3C68B9E8"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intensificarea finanțării inovării, în special prin implementarea platformelor de parteneriate între autorități locale, mediu de afaceri, universități și institute de cercetare, precum și a unor HUB-uri/platforme naṭionale de inovare orientate pe Blue Economy;</w:t>
            </w:r>
          </w:p>
          <w:p w14:paraId="18B0CF4D"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dezvoltarea instrumentelor/programelor de finanțare și valorificarea rezultatelor cercetării prin transfer tehnologic.</w:t>
            </w:r>
          </w:p>
        </w:tc>
        <w:tc>
          <w:tcPr>
            <w:tcW w:w="3261" w:type="dxa"/>
            <w:shd w:val="clear" w:color="auto" w:fill="auto"/>
          </w:tcPr>
          <w:p w14:paraId="520D8487"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Os4.d. Atragerea investițiilor în biotehnologii pentru recuperarea, remedierea, îmbunătățirea sănătății umane și a mediului, în acord cu strategiile europene de promovare a Economiei Albastre și de atingere a obiectivelor Pactului Verde European și a Strategiei de la Ferma direct în Farfurie</w:t>
            </w:r>
          </w:p>
        </w:tc>
      </w:tr>
      <w:tr w:rsidR="00670FD4" w:rsidRPr="00344FCE" w14:paraId="560473CC" w14:textId="77777777" w:rsidTr="001925BA">
        <w:tc>
          <w:tcPr>
            <w:tcW w:w="2122" w:type="dxa"/>
            <w:vMerge/>
            <w:shd w:val="clear" w:color="auto" w:fill="auto"/>
          </w:tcPr>
          <w:p w14:paraId="44EA98DD" w14:textId="77777777" w:rsidR="00670FD4" w:rsidRPr="00344FCE" w:rsidRDefault="00670FD4" w:rsidP="001925BA">
            <w:pPr>
              <w:spacing w:before="0" w:after="160" w:line="252" w:lineRule="auto"/>
              <w:ind w:firstLine="0"/>
              <w:jc w:val="left"/>
              <w:rPr>
                <w:rFonts w:eastAsia="Times New Roman" w:cs="Times New Roman"/>
                <w:kern w:val="0"/>
                <w:lang w:val="ro-RO"/>
              </w:rPr>
            </w:pPr>
          </w:p>
        </w:tc>
        <w:tc>
          <w:tcPr>
            <w:tcW w:w="2693" w:type="dxa"/>
            <w:shd w:val="clear" w:color="auto" w:fill="auto"/>
          </w:tcPr>
          <w:p w14:paraId="76F73C42"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D.13 Dezvoltarea programelor/proiectelor privind porturile “verzi” de la litoralul românesc al Mării Negre</w:t>
            </w:r>
          </w:p>
        </w:tc>
        <w:tc>
          <w:tcPr>
            <w:tcW w:w="6520" w:type="dxa"/>
            <w:shd w:val="clear" w:color="auto" w:fill="auto"/>
          </w:tcPr>
          <w:p w14:paraId="05CFB85A"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Implementarea unor proiecte pentru realizarea unui design ecologic al portului, care include perdele forestiere, ce contribuie la reducerea poluării</w:t>
            </w:r>
            <w:r>
              <w:rPr>
                <w:rFonts w:eastAsia="Times New Roman" w:cs="Times New Roman"/>
                <w:kern w:val="0"/>
                <w:lang w:val="ro-RO"/>
              </w:rPr>
              <w:t xml:space="preserve"> </w:t>
            </w:r>
            <w:r w:rsidRPr="00344FCE">
              <w:rPr>
                <w:rFonts w:eastAsia="Times New Roman" w:cs="Times New Roman"/>
                <w:kern w:val="0"/>
                <w:lang w:val="ro-RO"/>
              </w:rPr>
              <w:t>atmosferice.</w:t>
            </w:r>
          </w:p>
          <w:p w14:paraId="0CDFF84A"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Implementarea proiectelor privind utilizarea surselor de energie regenerabilă în operațiunile și activitățile portuare (inclusiv transport).</w:t>
            </w:r>
          </w:p>
          <w:p w14:paraId="0744ED14"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 Identificarea și aplicarea de soluții moderne pentru tratarea și reciclarea deșeurilor de la nave, precum și a celor rezultate din diverse activități portuare. </w:t>
            </w:r>
          </w:p>
          <w:p w14:paraId="7A47C299" w14:textId="77777777" w:rsidR="00670FD4" w:rsidRPr="00344FCE" w:rsidRDefault="00670FD4" w:rsidP="001925BA">
            <w:pPr>
              <w:spacing w:before="0" w:after="0" w:line="240" w:lineRule="auto"/>
              <w:ind w:firstLine="0"/>
              <w:jc w:val="left"/>
              <w:rPr>
                <w:rFonts w:eastAsia="Times New Roman" w:cs="Times New Roman"/>
                <w:kern w:val="0"/>
                <w:lang w:val="ro-RO"/>
              </w:rPr>
            </w:pPr>
          </w:p>
        </w:tc>
        <w:tc>
          <w:tcPr>
            <w:tcW w:w="3261" w:type="dxa"/>
            <w:shd w:val="clear" w:color="auto" w:fill="auto"/>
          </w:tcPr>
          <w:p w14:paraId="2E015979"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Os4.b Dezvoltarea “verde” a zonei costiere</w:t>
            </w:r>
          </w:p>
          <w:p w14:paraId="04D25466" w14:textId="77777777" w:rsidR="00670FD4" w:rsidRPr="00344FCE" w:rsidRDefault="00670FD4" w:rsidP="001925BA">
            <w:pPr>
              <w:spacing w:before="0" w:after="0" w:line="240" w:lineRule="auto"/>
              <w:ind w:firstLine="0"/>
              <w:jc w:val="left"/>
              <w:rPr>
                <w:rFonts w:eastAsia="Times New Roman" w:cs="Times New Roman"/>
                <w:kern w:val="0"/>
                <w:lang w:val="ro-RO"/>
              </w:rPr>
            </w:pPr>
          </w:p>
          <w:p w14:paraId="13FC6D94"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Os2.c Stimularea dezvoltării infrastructurii verzi</w:t>
            </w:r>
          </w:p>
        </w:tc>
      </w:tr>
      <w:tr w:rsidR="00670FD4" w:rsidRPr="00344FCE" w14:paraId="5FA396E9" w14:textId="77777777" w:rsidTr="001925BA">
        <w:tc>
          <w:tcPr>
            <w:tcW w:w="2122" w:type="dxa"/>
            <w:vMerge w:val="restart"/>
            <w:shd w:val="clear" w:color="auto" w:fill="auto"/>
          </w:tcPr>
          <w:p w14:paraId="03DB3952" w14:textId="77777777" w:rsidR="00670FD4" w:rsidRPr="00344FCE" w:rsidRDefault="00670FD4" w:rsidP="001925BA">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 xml:space="preserve">Optimizarea cadrului </w:t>
            </w:r>
            <w:r w:rsidRPr="00344FCE">
              <w:rPr>
                <w:rFonts w:eastAsia="Times New Roman" w:cs="Times New Roman"/>
                <w:kern w:val="0"/>
                <w:lang w:val="ro-RO"/>
              </w:rPr>
              <w:lastRenderedPageBreak/>
              <w:t>instituțional și procedural al planificării spațiale în zona costieră</w:t>
            </w:r>
          </w:p>
          <w:p w14:paraId="0C32BAF6"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113B1D60"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23E2B395"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4B102E73"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46D2CB04"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1FC33F1B"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2058C2CE"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08362411" w14:textId="77777777" w:rsidR="00670FD4" w:rsidRPr="00344FCE" w:rsidRDefault="00670FD4" w:rsidP="001925BA">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Optimizarea cadrului instituțional și procedural al planificării spațiale în zona costieră</w:t>
            </w:r>
          </w:p>
        </w:tc>
        <w:tc>
          <w:tcPr>
            <w:tcW w:w="2693" w:type="dxa"/>
            <w:shd w:val="clear" w:color="auto" w:fill="auto"/>
          </w:tcPr>
          <w:p w14:paraId="201261BE"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 xml:space="preserve">E.1 Crearea unui cadru coerent, integrat și sinergic de planificare </w:t>
            </w:r>
            <w:r w:rsidRPr="00344FCE">
              <w:rPr>
                <w:rFonts w:eastAsia="Times New Roman" w:cs="Times New Roman"/>
                <w:kern w:val="0"/>
                <w:lang w:val="ro-RO"/>
              </w:rPr>
              <w:lastRenderedPageBreak/>
              <w:t>spațială specific pentru teritoriul transfrontalier și regional</w:t>
            </w:r>
          </w:p>
        </w:tc>
        <w:tc>
          <w:tcPr>
            <w:tcW w:w="6520" w:type="dxa"/>
            <w:shd w:val="clear" w:color="auto" w:fill="auto"/>
          </w:tcPr>
          <w:p w14:paraId="7C3C6706"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 elaborarea / actualizarea metodologiei de elaborare a planurilor de amenajare a teritoriului zonal transfrontalier și interjudețean;</w:t>
            </w:r>
          </w:p>
          <w:p w14:paraId="34494971"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 elaborarea de strategii și planuri de dezvoltare spațială în zonele transfrontaliere și în zona costieră a Mării Negre.</w:t>
            </w:r>
          </w:p>
        </w:tc>
        <w:tc>
          <w:tcPr>
            <w:tcW w:w="3261" w:type="dxa"/>
            <w:shd w:val="clear" w:color="auto" w:fill="auto"/>
          </w:tcPr>
          <w:p w14:paraId="7A933C0E"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 xml:space="preserve">Os3.a Punerea în practică a planurilor de amenajare spațială a zonei costiere în </w:t>
            </w:r>
            <w:r w:rsidRPr="00344FCE">
              <w:rPr>
                <w:rFonts w:eastAsia="Times New Roman" w:cs="Times New Roman"/>
                <w:kern w:val="0"/>
                <w:lang w:val="ro-RO"/>
              </w:rPr>
              <w:lastRenderedPageBreak/>
              <w:t>coordonare cu planurile statelor vecine;</w:t>
            </w:r>
          </w:p>
          <w:p w14:paraId="7D73D447"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 Os3.c Planificare și dezvoltare spațială integrată și durabilă a zonelor metropolitane, periurbane și rurale din zona costieră.</w:t>
            </w:r>
          </w:p>
        </w:tc>
      </w:tr>
      <w:tr w:rsidR="00670FD4" w:rsidRPr="00344FCE" w14:paraId="0AB096D1" w14:textId="77777777" w:rsidTr="001925BA">
        <w:tc>
          <w:tcPr>
            <w:tcW w:w="2122" w:type="dxa"/>
            <w:vMerge/>
            <w:shd w:val="clear" w:color="auto" w:fill="auto"/>
          </w:tcPr>
          <w:p w14:paraId="21E150DF"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5BE847E3"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E.2 Crearea unui cadru coerent și integrat de planificare strategică și planificare spațială la nivel zonal și local, specific zonei costiere</w:t>
            </w:r>
          </w:p>
        </w:tc>
        <w:tc>
          <w:tcPr>
            <w:tcW w:w="6520" w:type="dxa"/>
            <w:shd w:val="clear" w:color="auto" w:fill="auto"/>
          </w:tcPr>
          <w:p w14:paraId="791AB73D"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elaborarea / actualizarea metodologiei de elaborare a planurilor de amenajare a teritoriului zonal metropolitan / intercomunitar;</w:t>
            </w:r>
          </w:p>
          <w:p w14:paraId="10F48EF5"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elaborarea unui regulament-cadru de urbanism pentru toată zona costieră;</w:t>
            </w:r>
          </w:p>
          <w:p w14:paraId="111D00C8"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elaborarea/modificarea  documentațiilor de planificare spațială pentru zonele metropolitane, periurbane și rurale din zona costieră (planuri zonale metropolitane, periurbane, intercomunale, planuri urbanistice generale pentru municipii, orașe și comune);</w:t>
            </w:r>
          </w:p>
          <w:p w14:paraId="20B3BFD7"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modificarea PUZ existente și elaborarea de noi planuri urbanistice zonale pentru zonele critice / sensibile (zona dintre linia apei și linia țărmului, zone istorice, statiuni, zona lacurilor).</w:t>
            </w:r>
          </w:p>
        </w:tc>
        <w:tc>
          <w:tcPr>
            <w:tcW w:w="3261" w:type="dxa"/>
            <w:shd w:val="clear" w:color="auto" w:fill="auto"/>
          </w:tcPr>
          <w:p w14:paraId="2AD36403"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Os3.c Planificare și dezvoltare spațială integrată și durabilă a zonelor metropolitane, periurbane și rurale din zona costieră</w:t>
            </w:r>
          </w:p>
        </w:tc>
      </w:tr>
      <w:tr w:rsidR="00670FD4" w:rsidRPr="00344FCE" w14:paraId="6B13469F" w14:textId="77777777" w:rsidTr="001925BA">
        <w:tc>
          <w:tcPr>
            <w:tcW w:w="2122" w:type="dxa"/>
            <w:vMerge/>
            <w:shd w:val="clear" w:color="auto" w:fill="auto"/>
          </w:tcPr>
          <w:p w14:paraId="33968D98"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31C2C681"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E.3 Crearea unui mecanism eficient de implementare, monitorizare și verificare a instrumentelor de planificare spațială în zona costieră</w:t>
            </w:r>
          </w:p>
        </w:tc>
        <w:tc>
          <w:tcPr>
            <w:tcW w:w="6520" w:type="dxa"/>
            <w:shd w:val="clear" w:color="auto" w:fill="auto"/>
          </w:tcPr>
          <w:p w14:paraId="184604E1"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revizuirea / completarea procedurilor de avizare / aprobare a documentațiilor de amenajarea teritoriului și urbanism);</w:t>
            </w:r>
          </w:p>
          <w:p w14:paraId="5135E030"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crearea unui sistem de informare și comunicare eficient între administrațiile locale din zona costieră în domeniul planificării spațiale;</w:t>
            </w:r>
          </w:p>
          <w:p w14:paraId="1AE670F9"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crearea unei platforme cu acces public, de comunicare și dezbatere privind starea și evoluția zonei costiere.</w:t>
            </w:r>
          </w:p>
        </w:tc>
        <w:tc>
          <w:tcPr>
            <w:tcW w:w="3261" w:type="dxa"/>
            <w:shd w:val="clear" w:color="auto" w:fill="auto"/>
          </w:tcPr>
          <w:p w14:paraId="1588CAA4"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Os3.b. Stabilirea unui sistem performant de supraveghere a eficienței implementării planificării spațiale prin realizarea Geamănului Digital (Digital Twin) a litoralului românesc;</w:t>
            </w:r>
          </w:p>
          <w:p w14:paraId="3BD2A250"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 Os3.c Planificare și dezvoltare spațială integrată și durabilă a zonelor metropolitane, periurbane și rurale din zona costieră,;</w:t>
            </w:r>
          </w:p>
          <w:p w14:paraId="1AA99B66" w14:textId="77777777" w:rsidR="00670FD4" w:rsidRPr="00344FCE" w:rsidRDefault="00670FD4" w:rsidP="001925BA">
            <w:pPr>
              <w:spacing w:before="0" w:line="240" w:lineRule="auto"/>
              <w:ind w:firstLine="0"/>
              <w:rPr>
                <w:rFonts w:eastAsia="Times New Roman" w:cs="Times New Roman"/>
                <w:kern w:val="0"/>
                <w:lang w:val="ro-RO"/>
              </w:rPr>
            </w:pPr>
            <w:r w:rsidRPr="00344FCE">
              <w:rPr>
                <w:rFonts w:eastAsia="Times New Roman" w:cs="Times New Roman"/>
                <w:kern w:val="0"/>
                <w:lang w:val="ro-RO"/>
              </w:rPr>
              <w:lastRenderedPageBreak/>
              <w:t>Os6.a Crearea unui proces real participativ în gestionarea integrată a zonei costiere;</w:t>
            </w:r>
          </w:p>
          <w:p w14:paraId="77BB64B4"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Os6.b Creșterea gradului de conștientizare cu privire la necesitatea de a păstra și îmbunătăți resursele zonei de coastă.</w:t>
            </w:r>
          </w:p>
        </w:tc>
      </w:tr>
      <w:tr w:rsidR="00670FD4" w:rsidRPr="00344FCE" w14:paraId="5448FCF7" w14:textId="77777777" w:rsidTr="001925BA">
        <w:tc>
          <w:tcPr>
            <w:tcW w:w="2122" w:type="dxa"/>
            <w:vMerge w:val="restart"/>
            <w:shd w:val="clear" w:color="auto" w:fill="auto"/>
          </w:tcPr>
          <w:p w14:paraId="5D893E11"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751EF933"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404B105D"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1ABF9CEC"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43F3DB1B"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7D297EAF"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3BEE04A6"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35351E8F" w14:textId="77777777" w:rsidR="00670FD4" w:rsidRPr="00344FCE" w:rsidRDefault="00670FD4" w:rsidP="001925BA">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Consolidarea sistemului de management integrat al zonei costiere</w:t>
            </w:r>
          </w:p>
          <w:p w14:paraId="51E22E03"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6D0C0FAA"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02C1E027"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62C0E127"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1C8A7CB9"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07DF90BD"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26C059BC"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3C3F482E"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62C0E01B"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1C624C05"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020B17FD"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7EA3F2EA"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72AAE914"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21BC8E97"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59B7071A"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5D985EE3" w14:textId="77777777" w:rsidR="00670FD4" w:rsidRPr="00344FCE" w:rsidRDefault="00670FD4" w:rsidP="001925BA">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Consolidarea sistemului de management integrat al zonei costiere</w:t>
            </w:r>
          </w:p>
          <w:p w14:paraId="397D20A1"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10598520"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5554DEC9"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33F3ADC5"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265E35DC"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074503DB"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7DB18E3E"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1FAAEEBD"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7B959934"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35236A36"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2AAE5915"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7D9C4EB2"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7083FB39" w14:textId="77777777" w:rsidR="00670FD4" w:rsidRPr="00344FCE" w:rsidRDefault="00670FD4" w:rsidP="001925BA">
            <w:pPr>
              <w:spacing w:before="0" w:after="160" w:line="252" w:lineRule="auto"/>
              <w:ind w:firstLine="0"/>
              <w:jc w:val="left"/>
              <w:rPr>
                <w:rFonts w:eastAsia="Times New Roman" w:cs="Times New Roman"/>
                <w:kern w:val="0"/>
                <w:lang w:val="ro-RO"/>
              </w:rPr>
            </w:pPr>
          </w:p>
          <w:p w14:paraId="12499D97" w14:textId="77777777" w:rsidR="00670FD4" w:rsidRPr="00344FCE" w:rsidRDefault="00670FD4" w:rsidP="001925BA">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Consolidarea sistemului de management integrat al zonei costiere</w:t>
            </w:r>
          </w:p>
          <w:p w14:paraId="2D2F6247" w14:textId="77777777" w:rsidR="00670FD4" w:rsidRPr="00344FCE" w:rsidRDefault="00670FD4" w:rsidP="001925BA">
            <w:pPr>
              <w:spacing w:before="0" w:after="160" w:line="252" w:lineRule="auto"/>
              <w:ind w:firstLine="0"/>
              <w:jc w:val="left"/>
              <w:rPr>
                <w:rFonts w:eastAsia="Times New Roman" w:cs="Times New Roman"/>
                <w:kern w:val="0"/>
                <w:lang w:val="ro-RO"/>
              </w:rPr>
            </w:pPr>
          </w:p>
        </w:tc>
        <w:tc>
          <w:tcPr>
            <w:tcW w:w="2693" w:type="dxa"/>
            <w:shd w:val="clear" w:color="auto" w:fill="auto"/>
          </w:tcPr>
          <w:p w14:paraId="0DDA0F05"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F.1 Reorganizarea Comitetului Național al Zonei Costiere</w:t>
            </w:r>
          </w:p>
        </w:tc>
        <w:tc>
          <w:tcPr>
            <w:tcW w:w="6520" w:type="dxa"/>
            <w:shd w:val="clear" w:color="auto" w:fill="auto"/>
          </w:tcPr>
          <w:p w14:paraId="017EE266"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 revizuirea / completarea OUG 202/2002 cu privire la organizarea și componența CNZC; </w:t>
            </w:r>
          </w:p>
          <w:p w14:paraId="7BC023A4"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revizuirea actelor normative subsecvente pentru funcționarea CNZC (pentru aprobarea regulamentului de funcționare) precum și completarea cu alte reglementări pentru aprobarea proceduri de lucru pentru grupurile de experți, cooperarea cu secretariatul tehnic-administrativ al zonei costiere, emiterea avizelor, etc.;</w:t>
            </w:r>
          </w:p>
          <w:p w14:paraId="15243A73"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realizarea unei liste largi cu experți în vederea selectării acestora în vederea constituirii Grupurilor de Lucru;</w:t>
            </w:r>
          </w:p>
          <w:p w14:paraId="29E31423"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identificarea resurselor financiare necesare funcționării eficiente a  Grupurilor de Lucru (motivarea financiară a experților).</w:t>
            </w:r>
          </w:p>
        </w:tc>
        <w:tc>
          <w:tcPr>
            <w:tcW w:w="3261" w:type="dxa"/>
            <w:shd w:val="clear" w:color="auto" w:fill="auto"/>
          </w:tcPr>
          <w:p w14:paraId="07884BB3"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Os5.a Stabilirea / consolidarea mecanismului de coordonare a managementului integrat al zonei de coastă care să aducă împreună toate instituțiile responsabile ale statului român;</w:t>
            </w:r>
          </w:p>
          <w:p w14:paraId="12CCC25C" w14:textId="77777777" w:rsidR="00670FD4" w:rsidRPr="00344FCE" w:rsidRDefault="00670FD4" w:rsidP="001925BA">
            <w:pPr>
              <w:spacing w:before="0" w:line="240" w:lineRule="auto"/>
              <w:ind w:firstLine="0"/>
              <w:rPr>
                <w:rFonts w:eastAsia="Times New Roman" w:cs="Times New Roman"/>
                <w:kern w:val="0"/>
                <w:lang w:val="ro-RO"/>
              </w:rPr>
            </w:pPr>
          </w:p>
        </w:tc>
      </w:tr>
      <w:tr w:rsidR="00670FD4" w:rsidRPr="00344FCE" w14:paraId="47AB6865" w14:textId="77777777" w:rsidTr="001925BA">
        <w:tc>
          <w:tcPr>
            <w:tcW w:w="2122" w:type="dxa"/>
            <w:vMerge/>
            <w:shd w:val="clear" w:color="auto" w:fill="auto"/>
          </w:tcPr>
          <w:p w14:paraId="0F1D7CC1"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7947B69A"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F.2 Înființarea și asigurarea funcționalității Observatorului Zonei Costiere</w:t>
            </w:r>
          </w:p>
        </w:tc>
        <w:tc>
          <w:tcPr>
            <w:tcW w:w="6520" w:type="dxa"/>
            <w:shd w:val="clear" w:color="auto" w:fill="auto"/>
          </w:tcPr>
          <w:p w14:paraId="4F351E84"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elaborarea unui studiu pentru stabilirea structurii bazei de date a Observatorului zonei costiere și a soluțiilor instituționale pentru gestionare;</w:t>
            </w:r>
          </w:p>
          <w:p w14:paraId="43E08F6F"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elaborarea și aprobarea reglementărilor necesare înființării și funcționării;</w:t>
            </w:r>
          </w:p>
          <w:p w14:paraId="18EB7B3B"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programe de instruire a operatorilor de baze de date;</w:t>
            </w:r>
          </w:p>
          <w:p w14:paraId="1CE33B1C"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realizarea legăturilor instituționale pentru asigurarea schimbului de date și informații cu alte sisteme de date, aparținând altor instituții (de exemplu Ministerul Dezvoltării, Lucrărilor, Publice și Administrației, Ministerul Transporturilor, etc)</w:t>
            </w:r>
          </w:p>
        </w:tc>
        <w:tc>
          <w:tcPr>
            <w:tcW w:w="3261" w:type="dxa"/>
            <w:shd w:val="clear" w:color="auto" w:fill="auto"/>
          </w:tcPr>
          <w:p w14:paraId="545F6F3F"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Os5.a Stabilirea / consolidarea mecanismului de coordonare a managementului integrat al zonei de coastă care să aducă împreună toate instituțiile responsabile ale statului român;</w:t>
            </w:r>
          </w:p>
          <w:p w14:paraId="6C3BA810"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Os3.b. Stabilirea unui sistem performant de supraveghere a eficienței implementării planificării spațiale prin realizarea Geamănului Digital </w:t>
            </w:r>
            <w:r w:rsidRPr="00344FCE">
              <w:rPr>
                <w:rFonts w:eastAsia="Times New Roman" w:cs="Times New Roman"/>
                <w:kern w:val="0"/>
                <w:lang w:val="ro-RO"/>
              </w:rPr>
              <w:lastRenderedPageBreak/>
              <w:t>(Digital Twin) a litoralului românesc.</w:t>
            </w:r>
          </w:p>
        </w:tc>
      </w:tr>
      <w:tr w:rsidR="00670FD4" w:rsidRPr="00344FCE" w14:paraId="4A5BC680" w14:textId="77777777" w:rsidTr="001925BA">
        <w:tc>
          <w:tcPr>
            <w:tcW w:w="2122" w:type="dxa"/>
            <w:vMerge/>
            <w:shd w:val="clear" w:color="auto" w:fill="auto"/>
          </w:tcPr>
          <w:p w14:paraId="15D0CAD4"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0601DC38"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F.3 Elaborarea și implementarea Planului de comunicare al Strategiei naționale pentru managementul integrat a zonei costiere</w:t>
            </w:r>
          </w:p>
        </w:tc>
        <w:tc>
          <w:tcPr>
            <w:tcW w:w="6520" w:type="dxa"/>
            <w:shd w:val="clear" w:color="auto" w:fill="auto"/>
          </w:tcPr>
          <w:p w14:paraId="106A0279" w14:textId="77777777" w:rsidR="00670FD4" w:rsidRPr="00344FCE" w:rsidRDefault="00670FD4" w:rsidP="001925BA">
            <w:pPr>
              <w:spacing w:before="0" w:after="0" w:line="240" w:lineRule="auto"/>
              <w:ind w:firstLine="0"/>
              <w:jc w:val="left"/>
              <w:rPr>
                <w:rFonts w:eastAsia="Times New Roman" w:cs="Times New Roman"/>
                <w:kern w:val="0"/>
                <w:lang w:val="ro-RO"/>
              </w:rPr>
            </w:pPr>
          </w:p>
        </w:tc>
        <w:tc>
          <w:tcPr>
            <w:tcW w:w="3261" w:type="dxa"/>
            <w:shd w:val="clear" w:color="auto" w:fill="auto"/>
          </w:tcPr>
          <w:p w14:paraId="4DEDA34A"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Os6.b Creșterea gradului de conștientizare cu privire la necesitatea de a păstra și îmbunătăți resursele zonei de coastă;</w:t>
            </w:r>
          </w:p>
          <w:p w14:paraId="309E24BA"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Os6.c Implicarea cetățenilor în monitorizarea stării de sănătate a mediului costier (Citizen-science);</w:t>
            </w:r>
          </w:p>
          <w:p w14:paraId="3DF3BB0D" w14:textId="77777777" w:rsidR="00670FD4" w:rsidRPr="00344FCE" w:rsidRDefault="00670FD4" w:rsidP="001925BA">
            <w:pPr>
              <w:spacing w:before="0" w:line="240" w:lineRule="auto"/>
              <w:ind w:firstLine="0"/>
              <w:rPr>
                <w:rFonts w:eastAsia="Times New Roman" w:cs="Times New Roman"/>
                <w:kern w:val="0"/>
                <w:lang w:val="ro-RO"/>
              </w:rPr>
            </w:pPr>
            <w:r w:rsidRPr="00344FCE">
              <w:rPr>
                <w:rFonts w:eastAsia="Times New Roman" w:cs="Times New Roman"/>
                <w:kern w:val="0"/>
                <w:lang w:val="ro-RO"/>
              </w:rPr>
              <w:t>Os6.a Crearea unui proces real participativ în gestionarea integrată a zonei costiere</w:t>
            </w:r>
          </w:p>
        </w:tc>
      </w:tr>
      <w:tr w:rsidR="00670FD4" w:rsidRPr="00344FCE" w14:paraId="22084879" w14:textId="77777777" w:rsidTr="001925BA">
        <w:tc>
          <w:tcPr>
            <w:tcW w:w="2122" w:type="dxa"/>
            <w:vMerge/>
            <w:shd w:val="clear" w:color="auto" w:fill="auto"/>
          </w:tcPr>
          <w:p w14:paraId="3DDB021A"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15EC84FA"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F.4 Promovarea și implementarea unui instrument de tip citizen-science în vederea implicării directe a cetățenilor, pe bază de voluntariat, în acțiuni de monitorizare a stării și proceselor din zona costieră</w:t>
            </w:r>
          </w:p>
        </w:tc>
        <w:tc>
          <w:tcPr>
            <w:tcW w:w="6520" w:type="dxa"/>
            <w:shd w:val="clear" w:color="auto" w:fill="auto"/>
          </w:tcPr>
          <w:p w14:paraId="2DB62305"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-campanii de creștere a conștientizării privind necesitatea monitorizării stării și proceselor din zona costieră;</w:t>
            </w:r>
          </w:p>
          <w:p w14:paraId="3F6A3322"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-organizare de cursuri periodice de instruire a voluntarilor în aplicarea tehnicilor de monitoring;</w:t>
            </w:r>
          </w:p>
          <w:p w14:paraId="683881A8"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-sprijinirea voluntarilor prin permiterea accesului la infrastructura de monitorizare a organizațiilor specializate.</w:t>
            </w:r>
          </w:p>
        </w:tc>
        <w:tc>
          <w:tcPr>
            <w:tcW w:w="3261" w:type="dxa"/>
            <w:shd w:val="clear" w:color="auto" w:fill="auto"/>
          </w:tcPr>
          <w:p w14:paraId="5AD2EFDC"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Os6.c Implicarea cetățenilor în monitorizarea stării de sănătate a mediului costier (Citizen-science);</w:t>
            </w:r>
          </w:p>
          <w:p w14:paraId="69489EFD"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Os6.b Creșterea gradului de conștientizare cu privire la necesitatea de a păstra și îmbunătăți resursele zonei costiere.</w:t>
            </w:r>
          </w:p>
        </w:tc>
      </w:tr>
      <w:tr w:rsidR="00670FD4" w:rsidRPr="00344FCE" w14:paraId="0098CCB5" w14:textId="77777777" w:rsidTr="001925BA">
        <w:tc>
          <w:tcPr>
            <w:tcW w:w="2122" w:type="dxa"/>
            <w:vMerge/>
            <w:shd w:val="clear" w:color="auto" w:fill="auto"/>
          </w:tcPr>
          <w:p w14:paraId="32D10766"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1815ABCC"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F.5 Revizuirea delimitării zonei costiere prevăzută în OUG 202/2002, precum și a limitelor de restricție temporară stabilite prin actele normative subsecvente Legea 597/ 31.10. 2001, </w:t>
            </w:r>
            <w:r w:rsidRPr="00344FCE">
              <w:rPr>
                <w:rFonts w:eastAsia="Times New Roman" w:cs="Times New Roman"/>
                <w:kern w:val="0"/>
                <w:lang w:val="ro-RO"/>
              </w:rPr>
              <w:lastRenderedPageBreak/>
              <w:t>H.G. nr. 546/07.04.2004 și H.G. nr. 749/14.05.2004</w:t>
            </w:r>
          </w:p>
        </w:tc>
        <w:tc>
          <w:tcPr>
            <w:tcW w:w="6520" w:type="dxa"/>
            <w:shd w:val="clear" w:color="auto" w:fill="auto"/>
          </w:tcPr>
          <w:p w14:paraId="126C7F7D"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 xml:space="preserve">- stabilirea criteriilor de delimitare a spațiilor sensibile / critice / vulnerabile din zona costieră; </w:t>
            </w:r>
          </w:p>
          <w:p w14:paraId="676391BC"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 elaborarea unui </w:t>
            </w:r>
            <w:r>
              <w:rPr>
                <w:rFonts w:eastAsia="Times New Roman" w:cs="Times New Roman"/>
                <w:kern w:val="0"/>
                <w:lang w:val="ro-RO"/>
              </w:rPr>
              <w:t xml:space="preserve">studiu centralizat </w:t>
            </w:r>
            <w:r w:rsidRPr="00344FCE">
              <w:rPr>
                <w:rFonts w:eastAsia="Times New Roman" w:cs="Times New Roman"/>
                <w:kern w:val="0"/>
                <w:lang w:val="ro-RO"/>
              </w:rPr>
              <w:t>pentru stabilirea spațiilor</w:t>
            </w:r>
            <w:r>
              <w:rPr>
                <w:rFonts w:eastAsia="Times New Roman" w:cs="Times New Roman"/>
                <w:kern w:val="0"/>
                <w:lang w:val="ro-RO"/>
              </w:rPr>
              <w:t xml:space="preserve"> sensibile /</w:t>
            </w:r>
            <w:r w:rsidRPr="00344FCE">
              <w:rPr>
                <w:rFonts w:eastAsia="Times New Roman" w:cs="Times New Roman"/>
                <w:kern w:val="0"/>
                <w:lang w:val="ro-RO"/>
              </w:rPr>
              <w:t xml:space="preserve"> critice </w:t>
            </w:r>
            <w:r>
              <w:rPr>
                <w:rFonts w:eastAsia="Times New Roman" w:cs="Times New Roman"/>
                <w:kern w:val="0"/>
                <w:lang w:val="ro-RO"/>
              </w:rPr>
              <w:t xml:space="preserve">/ vulnerabile </w:t>
            </w:r>
            <w:r w:rsidRPr="00344FCE">
              <w:rPr>
                <w:rFonts w:eastAsia="Times New Roman" w:cs="Times New Roman"/>
                <w:kern w:val="0"/>
                <w:lang w:val="ro-RO"/>
              </w:rPr>
              <w:t>din zona costieră;</w:t>
            </w:r>
          </w:p>
          <w:p w14:paraId="71DAC365"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elaborarea și aprobarea proiectelor de revizuire a OUG 202/2002, precum și a actelor normative subsecvente Legea 597/31.10.2001, H.G. nr. 546/07.04.2004 și H.G. nr. 749/14.05.2004.</w:t>
            </w:r>
          </w:p>
        </w:tc>
        <w:tc>
          <w:tcPr>
            <w:tcW w:w="3261" w:type="dxa"/>
            <w:shd w:val="clear" w:color="auto" w:fill="auto"/>
          </w:tcPr>
          <w:p w14:paraId="7086DB52"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Os5.a Stabilirea / consolidarea mecanismului de coordonare a managementului integrat al zonei de coastă care să aducă împreună toate instituțiile responsabile ale statului român.</w:t>
            </w:r>
          </w:p>
        </w:tc>
      </w:tr>
      <w:tr w:rsidR="00670FD4" w:rsidRPr="00344FCE" w14:paraId="6A0D71FF" w14:textId="77777777" w:rsidTr="001925BA">
        <w:tc>
          <w:tcPr>
            <w:tcW w:w="2122" w:type="dxa"/>
            <w:vMerge/>
            <w:shd w:val="clear" w:color="auto" w:fill="auto"/>
          </w:tcPr>
          <w:p w14:paraId="00F1EF3C"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5C737C1B"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F.6 Programe pentru furnizarea de Asistență Tehnică pentru îmbunătățirea / consolidarea capacității administrative  a actorilor instituționali implicați în implementarea managementului integrat al zonei costiere</w:t>
            </w:r>
          </w:p>
        </w:tc>
        <w:tc>
          <w:tcPr>
            <w:tcW w:w="6520" w:type="dxa"/>
            <w:shd w:val="clear" w:color="auto" w:fill="auto"/>
          </w:tcPr>
          <w:p w14:paraId="556CFCB2"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identificarea beneficiarilor instituționali potențiali și a nevoii acestora de asistență tehnică;</w:t>
            </w:r>
          </w:p>
          <w:p w14:paraId="512724EF"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elaborarea planului de acțiuni de asistență tehnică.</w:t>
            </w:r>
          </w:p>
        </w:tc>
        <w:tc>
          <w:tcPr>
            <w:tcW w:w="3261" w:type="dxa"/>
            <w:shd w:val="clear" w:color="auto" w:fill="auto"/>
          </w:tcPr>
          <w:p w14:paraId="65C0D0B8" w14:textId="77777777" w:rsidR="00670FD4" w:rsidRPr="00344FCE" w:rsidRDefault="00670FD4" w:rsidP="001925BA">
            <w:pPr>
              <w:spacing w:before="0" w:line="252" w:lineRule="auto"/>
              <w:ind w:firstLine="0"/>
              <w:rPr>
                <w:rFonts w:eastAsia="Times New Roman" w:cs="Times New Roman"/>
                <w:kern w:val="0"/>
                <w:lang w:val="ro-RO"/>
              </w:rPr>
            </w:pPr>
            <w:r w:rsidRPr="00344FCE">
              <w:rPr>
                <w:rFonts w:eastAsia="Times New Roman" w:cs="Times New Roman"/>
                <w:kern w:val="0"/>
                <w:lang w:val="ro-RO"/>
              </w:rPr>
              <w:t>Os5.b Consolidarea capacităţii administrației publice</w:t>
            </w:r>
          </w:p>
          <w:p w14:paraId="31141243" w14:textId="77777777" w:rsidR="00670FD4" w:rsidRPr="00344FCE" w:rsidRDefault="00670FD4" w:rsidP="001925BA">
            <w:pPr>
              <w:spacing w:before="0" w:after="160" w:line="252" w:lineRule="auto"/>
              <w:ind w:firstLine="0"/>
              <w:jc w:val="left"/>
              <w:rPr>
                <w:rFonts w:eastAsia="Times New Roman" w:cs="Times New Roman"/>
                <w:kern w:val="0"/>
                <w:lang w:val="ro-RO"/>
              </w:rPr>
            </w:pPr>
          </w:p>
        </w:tc>
      </w:tr>
      <w:tr w:rsidR="00670FD4" w:rsidRPr="00344FCE" w14:paraId="6BD63D2D" w14:textId="77777777" w:rsidTr="001925BA">
        <w:tc>
          <w:tcPr>
            <w:tcW w:w="2122" w:type="dxa"/>
            <w:vMerge/>
            <w:shd w:val="clear" w:color="auto" w:fill="auto"/>
          </w:tcPr>
          <w:p w14:paraId="20DB45CA" w14:textId="77777777" w:rsidR="00670FD4" w:rsidRPr="00344FCE" w:rsidRDefault="00670FD4" w:rsidP="001925BA">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17111D6B" w14:textId="77777777" w:rsidR="00670FD4" w:rsidRPr="00344FCE" w:rsidRDefault="00670FD4" w:rsidP="001925BA">
            <w:pPr>
              <w:spacing w:before="0" w:after="0" w:line="240" w:lineRule="auto"/>
              <w:ind w:firstLine="0"/>
              <w:jc w:val="left"/>
              <w:rPr>
                <w:rFonts w:eastAsia="Times New Roman" w:cs="Times New Roman"/>
                <w:kern w:val="0"/>
                <w:lang w:val="ro-RO"/>
              </w:rPr>
            </w:pPr>
          </w:p>
          <w:p w14:paraId="06A24CD8" w14:textId="77777777" w:rsidR="00670FD4" w:rsidRPr="00344FCE" w:rsidRDefault="00670FD4" w:rsidP="001925BA">
            <w:pPr>
              <w:spacing w:before="0" w:after="0" w:line="240" w:lineRule="auto"/>
              <w:ind w:firstLine="0"/>
              <w:jc w:val="left"/>
              <w:rPr>
                <w:rFonts w:eastAsia="Times New Roman" w:cs="Times New Roman"/>
                <w:kern w:val="0"/>
                <w:lang w:val="ro-RO"/>
              </w:rPr>
            </w:pPr>
          </w:p>
          <w:p w14:paraId="1B6AAC13"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F.7 Dezvoltarea unui sistem eficient de supraveghere și control a utilizării resurselor zonei costiere</w:t>
            </w:r>
          </w:p>
        </w:tc>
        <w:tc>
          <w:tcPr>
            <w:tcW w:w="6520" w:type="dxa"/>
            <w:shd w:val="clear" w:color="auto" w:fill="auto"/>
          </w:tcPr>
          <w:p w14:paraId="665811D1"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dezvoltarea unor mecanisme pentru îmbunătățirea coordonării acțiunilor entităților/organizațiilor responsabile pentru supravegherea și controlul activităților de pescuit, poluării apelor subterane și de suprafață, poluării solului, construcțiilor ilegale, etc.;</w:t>
            </w:r>
          </w:p>
          <w:p w14:paraId="5BB0729D"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realizarea periodică de programe de instruire a personalului de control;</w:t>
            </w:r>
          </w:p>
          <w:p w14:paraId="1B29DC43"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realizarea de programe de consolidare a capacităților tehnice (utilizarea unor mijloace moderne de control)de supraveghere și control, în special din perspectiva  prevenirii utilizării mijloacelor interzise în pescuit, introducerii interzise de specii invazive, construcţiilor ilegale, valorificării comerciale a patrimoniului natural şi cultural de pe uscat şi pe mare.</w:t>
            </w:r>
          </w:p>
        </w:tc>
        <w:tc>
          <w:tcPr>
            <w:tcW w:w="3261" w:type="dxa"/>
            <w:shd w:val="clear" w:color="auto" w:fill="auto"/>
          </w:tcPr>
          <w:p w14:paraId="2FF3A70B" w14:textId="77777777" w:rsidR="00670FD4" w:rsidRPr="00344FCE" w:rsidRDefault="00670FD4" w:rsidP="001925BA">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Os4.a Gestionarea durabilă a resurselor zonei de coastă;</w:t>
            </w:r>
          </w:p>
          <w:p w14:paraId="315C2D62" w14:textId="77777777" w:rsidR="00670FD4" w:rsidRPr="00344FCE" w:rsidRDefault="00670FD4" w:rsidP="001925BA">
            <w:pPr>
              <w:spacing w:before="0" w:line="240" w:lineRule="auto"/>
              <w:ind w:firstLine="0"/>
              <w:rPr>
                <w:rFonts w:eastAsia="Times New Roman" w:cs="Times New Roman"/>
                <w:kern w:val="0"/>
                <w:lang w:val="ro-RO"/>
              </w:rPr>
            </w:pPr>
            <w:r w:rsidRPr="00344FCE">
              <w:rPr>
                <w:rFonts w:eastAsia="Times New Roman" w:cs="Times New Roman"/>
                <w:kern w:val="0"/>
                <w:lang w:val="ro-RO"/>
              </w:rPr>
              <w:t xml:space="preserve">Os5.c Întărirea aplicării normelor specifice sectoarelor economice din zona costieră </w:t>
            </w:r>
          </w:p>
          <w:p w14:paraId="3845E105" w14:textId="77777777" w:rsidR="00670FD4" w:rsidRPr="00344FCE" w:rsidRDefault="00670FD4" w:rsidP="001925BA">
            <w:pPr>
              <w:spacing w:before="0" w:after="0" w:line="240" w:lineRule="auto"/>
              <w:ind w:firstLine="0"/>
              <w:jc w:val="left"/>
              <w:rPr>
                <w:rFonts w:eastAsia="Times New Roman" w:cs="Times New Roman"/>
                <w:kern w:val="0"/>
                <w:lang w:val="ro-RO"/>
              </w:rPr>
            </w:pPr>
          </w:p>
        </w:tc>
      </w:tr>
    </w:tbl>
    <w:p w14:paraId="14F5E8AD" w14:textId="77777777" w:rsidR="00670FD4" w:rsidRDefault="00670FD4" w:rsidP="00670FD4">
      <w:pPr>
        <w:ind w:firstLine="0"/>
        <w:rPr>
          <w:lang w:val="ro-RO"/>
        </w:rPr>
      </w:pPr>
    </w:p>
    <w:p w14:paraId="38EBFC1B" w14:textId="77777777" w:rsidR="00670FD4" w:rsidRDefault="00670FD4" w:rsidP="00670FD4">
      <w:pPr>
        <w:ind w:firstLine="0"/>
        <w:rPr>
          <w:lang w:val="ro-RO"/>
        </w:rPr>
      </w:pPr>
    </w:p>
    <w:p w14:paraId="503367AE" w14:textId="77777777" w:rsidR="00670FD4" w:rsidRDefault="00670FD4" w:rsidP="00670FD4">
      <w:pPr>
        <w:ind w:firstLine="0"/>
        <w:rPr>
          <w:lang w:val="ro-RO"/>
        </w:rPr>
      </w:pPr>
    </w:p>
    <w:p w14:paraId="5F1D702D" w14:textId="77777777" w:rsidR="00670FD4" w:rsidRPr="00B50691" w:rsidRDefault="00670FD4" w:rsidP="00670FD4">
      <w:pPr>
        <w:ind w:firstLine="0"/>
        <w:rPr>
          <w:lang w:val="ro-RO"/>
        </w:rPr>
      </w:pPr>
    </w:p>
    <w:p w14:paraId="076552C1" w14:textId="77777777" w:rsidR="00670FD4" w:rsidRPr="00B50691" w:rsidRDefault="00670FD4" w:rsidP="00670FD4">
      <w:pPr>
        <w:pStyle w:val="Heading2"/>
      </w:pPr>
      <w:bookmarkStart w:id="170" w:name="_Toc150247025"/>
      <w:bookmarkStart w:id="171" w:name="_Toc171084870"/>
      <w:r w:rsidRPr="00B50691">
        <w:lastRenderedPageBreak/>
        <w:t>Anexa 3</w:t>
      </w:r>
      <w:bookmarkEnd w:id="170"/>
      <w:bookmarkEnd w:id="171"/>
    </w:p>
    <w:tbl>
      <w:tblPr>
        <w:tblW w:w="130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4536"/>
        <w:gridCol w:w="6237"/>
      </w:tblGrid>
      <w:tr w:rsidR="00670FD4" w:rsidRPr="00344FCE" w14:paraId="2EA62CFD" w14:textId="77777777" w:rsidTr="001925BA">
        <w:tc>
          <w:tcPr>
            <w:tcW w:w="2263" w:type="dxa"/>
          </w:tcPr>
          <w:p w14:paraId="552478E0" w14:textId="77777777" w:rsidR="00670FD4" w:rsidRPr="00344FCE" w:rsidRDefault="00670FD4" w:rsidP="001925BA">
            <w:pPr>
              <w:spacing w:before="0" w:after="0"/>
              <w:ind w:firstLine="0"/>
              <w:contextualSpacing/>
              <w:jc w:val="left"/>
              <w:rPr>
                <w:rFonts w:cs="Times New Roman"/>
                <w:b/>
                <w:kern w:val="0"/>
                <w:lang w:val="ro-RO"/>
              </w:rPr>
            </w:pPr>
            <w:r w:rsidRPr="00344FCE">
              <w:rPr>
                <w:rFonts w:cs="Times New Roman"/>
                <w:b/>
                <w:kern w:val="0"/>
                <w:lang w:val="ro-RO"/>
              </w:rPr>
              <w:t>Obiectiv general</w:t>
            </w:r>
          </w:p>
        </w:tc>
        <w:tc>
          <w:tcPr>
            <w:tcW w:w="4536" w:type="dxa"/>
          </w:tcPr>
          <w:p w14:paraId="733DFD24" w14:textId="77777777" w:rsidR="00670FD4" w:rsidRPr="00344FCE" w:rsidRDefault="00670FD4" w:rsidP="001925BA">
            <w:pPr>
              <w:spacing w:before="0" w:after="0"/>
              <w:ind w:firstLine="0"/>
              <w:contextualSpacing/>
              <w:jc w:val="left"/>
              <w:rPr>
                <w:rFonts w:cs="Times New Roman"/>
                <w:b/>
                <w:kern w:val="0"/>
                <w:lang w:val="ro-RO"/>
              </w:rPr>
            </w:pPr>
            <w:r w:rsidRPr="00344FCE">
              <w:rPr>
                <w:rFonts w:cs="Times New Roman"/>
                <w:b/>
                <w:kern w:val="0"/>
                <w:lang w:val="ro-RO"/>
              </w:rPr>
              <w:t>Indicator</w:t>
            </w:r>
          </w:p>
        </w:tc>
        <w:tc>
          <w:tcPr>
            <w:tcW w:w="6237" w:type="dxa"/>
          </w:tcPr>
          <w:p w14:paraId="2C255121" w14:textId="77777777" w:rsidR="00670FD4" w:rsidRPr="00344FCE" w:rsidRDefault="00670FD4" w:rsidP="001925BA">
            <w:pPr>
              <w:spacing w:before="0" w:after="0"/>
              <w:ind w:firstLine="0"/>
              <w:contextualSpacing/>
              <w:jc w:val="left"/>
              <w:rPr>
                <w:rFonts w:cs="Times New Roman"/>
                <w:b/>
                <w:kern w:val="0"/>
                <w:lang w:val="ro-RO"/>
              </w:rPr>
            </w:pPr>
            <w:r w:rsidRPr="00344FCE">
              <w:rPr>
                <w:rFonts w:cs="Times New Roman"/>
                <w:b/>
                <w:kern w:val="0"/>
                <w:lang w:val="ro-RO"/>
              </w:rPr>
              <w:t>Parametru măsurat</w:t>
            </w:r>
          </w:p>
        </w:tc>
      </w:tr>
      <w:tr w:rsidR="00670FD4" w:rsidRPr="00344FCE" w14:paraId="07207497" w14:textId="77777777" w:rsidTr="001925BA">
        <w:tc>
          <w:tcPr>
            <w:tcW w:w="2263" w:type="dxa"/>
            <w:vMerge w:val="restart"/>
          </w:tcPr>
          <w:p w14:paraId="3818C31F" w14:textId="77777777" w:rsidR="00670FD4" w:rsidRPr="00344FCE" w:rsidRDefault="00670FD4" w:rsidP="001925BA">
            <w:pPr>
              <w:spacing w:before="0" w:after="0"/>
              <w:ind w:firstLine="0"/>
              <w:contextualSpacing/>
              <w:jc w:val="left"/>
              <w:rPr>
                <w:rFonts w:cs="Times New Roman"/>
                <w:kern w:val="0"/>
                <w:lang w:val="ro-RO"/>
              </w:rPr>
            </w:pPr>
          </w:p>
          <w:p w14:paraId="2902549B" w14:textId="77777777" w:rsidR="00670FD4" w:rsidRPr="00344FCE" w:rsidRDefault="00670FD4" w:rsidP="001925BA">
            <w:pPr>
              <w:spacing w:before="0" w:after="0"/>
              <w:ind w:firstLine="0"/>
              <w:contextualSpacing/>
              <w:jc w:val="left"/>
              <w:rPr>
                <w:rFonts w:cs="Times New Roman"/>
                <w:kern w:val="0"/>
                <w:lang w:val="ro-RO"/>
              </w:rPr>
            </w:pPr>
          </w:p>
          <w:p w14:paraId="597477B4" w14:textId="77777777" w:rsidR="00670FD4" w:rsidRPr="00344FCE" w:rsidRDefault="00670FD4" w:rsidP="001925BA">
            <w:pPr>
              <w:spacing w:before="0" w:after="0"/>
              <w:ind w:firstLine="0"/>
              <w:contextualSpacing/>
              <w:jc w:val="left"/>
              <w:rPr>
                <w:rFonts w:cs="Times New Roman"/>
                <w:kern w:val="0"/>
                <w:lang w:val="ro-RO"/>
              </w:rPr>
            </w:pPr>
          </w:p>
          <w:p w14:paraId="64211379" w14:textId="77777777" w:rsidR="00670FD4" w:rsidRPr="00344FCE" w:rsidRDefault="00670FD4" w:rsidP="001925BA">
            <w:pPr>
              <w:spacing w:before="0" w:after="0"/>
              <w:ind w:firstLine="0"/>
              <w:contextualSpacing/>
              <w:jc w:val="left"/>
              <w:rPr>
                <w:rFonts w:cs="Times New Roman"/>
                <w:kern w:val="0"/>
                <w:lang w:val="ro-RO"/>
              </w:rPr>
            </w:pPr>
          </w:p>
          <w:p w14:paraId="63F4F60D" w14:textId="77777777" w:rsidR="00670FD4" w:rsidRPr="00344FCE" w:rsidRDefault="00670FD4" w:rsidP="001925BA">
            <w:pPr>
              <w:spacing w:before="0" w:after="0"/>
              <w:ind w:firstLine="0"/>
              <w:contextualSpacing/>
              <w:jc w:val="left"/>
              <w:rPr>
                <w:rFonts w:cs="Times New Roman"/>
                <w:kern w:val="0"/>
                <w:lang w:val="ro-RO"/>
              </w:rPr>
            </w:pPr>
          </w:p>
          <w:p w14:paraId="47903C8B" w14:textId="77777777" w:rsidR="00670FD4" w:rsidRPr="00344FCE" w:rsidRDefault="00670FD4" w:rsidP="001925BA">
            <w:pPr>
              <w:spacing w:before="0" w:after="0"/>
              <w:ind w:firstLine="0"/>
              <w:contextualSpacing/>
              <w:jc w:val="left"/>
              <w:rPr>
                <w:rFonts w:cs="Times New Roman"/>
                <w:kern w:val="0"/>
                <w:lang w:val="ro-RO"/>
              </w:rPr>
            </w:pPr>
          </w:p>
          <w:p w14:paraId="036F88F3" w14:textId="77777777" w:rsidR="00670FD4" w:rsidRPr="00344FCE" w:rsidRDefault="00670FD4" w:rsidP="001925BA">
            <w:pPr>
              <w:spacing w:before="0" w:after="0"/>
              <w:ind w:firstLine="0"/>
              <w:contextualSpacing/>
              <w:jc w:val="left"/>
              <w:rPr>
                <w:rFonts w:cs="Times New Roman"/>
                <w:kern w:val="0"/>
                <w:lang w:val="ro-RO"/>
              </w:rPr>
            </w:pPr>
          </w:p>
          <w:p w14:paraId="68E58DB1" w14:textId="77777777" w:rsidR="00670FD4" w:rsidRPr="00344FCE" w:rsidRDefault="00670FD4" w:rsidP="001925BA">
            <w:pPr>
              <w:spacing w:before="0" w:after="0"/>
              <w:ind w:firstLine="0"/>
              <w:contextualSpacing/>
              <w:jc w:val="left"/>
              <w:rPr>
                <w:rFonts w:cs="Times New Roman"/>
                <w:kern w:val="0"/>
                <w:lang w:val="ro-RO"/>
              </w:rPr>
            </w:pPr>
          </w:p>
          <w:p w14:paraId="4979C114" w14:textId="77777777" w:rsidR="00670FD4" w:rsidRPr="00344FCE" w:rsidRDefault="00670FD4" w:rsidP="001925BA">
            <w:pPr>
              <w:spacing w:before="0" w:after="0"/>
              <w:ind w:firstLine="0"/>
              <w:contextualSpacing/>
              <w:jc w:val="left"/>
              <w:rPr>
                <w:rFonts w:cs="Times New Roman"/>
                <w:kern w:val="0"/>
                <w:lang w:val="ro-RO"/>
              </w:rPr>
            </w:pPr>
          </w:p>
          <w:p w14:paraId="5EF0E6D1" w14:textId="77777777" w:rsidR="00670FD4" w:rsidRPr="00344FCE" w:rsidRDefault="00670FD4" w:rsidP="001925BA">
            <w:pPr>
              <w:spacing w:before="0" w:after="0"/>
              <w:ind w:firstLine="0"/>
              <w:contextualSpacing/>
              <w:jc w:val="left"/>
              <w:rPr>
                <w:rFonts w:cs="Times New Roman"/>
                <w:kern w:val="0"/>
                <w:lang w:val="ro-RO"/>
              </w:rPr>
            </w:pPr>
          </w:p>
          <w:p w14:paraId="5AD3D5DD"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Conservarea valorilor naturale, peisagistice și culturale</w:t>
            </w:r>
          </w:p>
          <w:p w14:paraId="0BC05562" w14:textId="77777777" w:rsidR="00670FD4" w:rsidRPr="00344FCE" w:rsidRDefault="00670FD4" w:rsidP="001925BA">
            <w:pPr>
              <w:spacing w:before="0" w:after="0"/>
              <w:ind w:firstLine="0"/>
              <w:contextualSpacing/>
              <w:jc w:val="left"/>
              <w:rPr>
                <w:rFonts w:cs="Times New Roman"/>
                <w:kern w:val="0"/>
                <w:lang w:val="ro-RO"/>
              </w:rPr>
            </w:pPr>
          </w:p>
          <w:p w14:paraId="6C9838C3" w14:textId="77777777" w:rsidR="00670FD4" w:rsidRPr="00344FCE" w:rsidRDefault="00670FD4" w:rsidP="001925BA">
            <w:pPr>
              <w:spacing w:before="0" w:after="0"/>
              <w:ind w:firstLine="0"/>
              <w:contextualSpacing/>
              <w:jc w:val="left"/>
              <w:rPr>
                <w:rFonts w:cs="Times New Roman"/>
                <w:kern w:val="0"/>
                <w:lang w:val="ro-RO"/>
              </w:rPr>
            </w:pPr>
          </w:p>
          <w:p w14:paraId="26C67878" w14:textId="77777777" w:rsidR="00670FD4" w:rsidRPr="00344FCE" w:rsidRDefault="00670FD4" w:rsidP="001925BA">
            <w:pPr>
              <w:spacing w:before="0" w:after="0"/>
              <w:ind w:firstLine="0"/>
              <w:contextualSpacing/>
              <w:jc w:val="left"/>
              <w:rPr>
                <w:rFonts w:cs="Times New Roman"/>
                <w:kern w:val="0"/>
                <w:lang w:val="ro-RO"/>
              </w:rPr>
            </w:pPr>
          </w:p>
          <w:p w14:paraId="27084F2A" w14:textId="77777777" w:rsidR="00670FD4" w:rsidRPr="00344FCE" w:rsidRDefault="00670FD4" w:rsidP="001925BA">
            <w:pPr>
              <w:spacing w:before="0" w:after="0"/>
              <w:ind w:firstLine="0"/>
              <w:contextualSpacing/>
              <w:jc w:val="left"/>
              <w:rPr>
                <w:rFonts w:cs="Times New Roman"/>
                <w:kern w:val="0"/>
                <w:lang w:val="ro-RO"/>
              </w:rPr>
            </w:pPr>
          </w:p>
          <w:p w14:paraId="04D1C13F" w14:textId="77777777" w:rsidR="00670FD4" w:rsidRPr="00344FCE" w:rsidRDefault="00670FD4" w:rsidP="001925BA">
            <w:pPr>
              <w:spacing w:before="0" w:after="0"/>
              <w:ind w:firstLine="0"/>
              <w:contextualSpacing/>
              <w:jc w:val="left"/>
              <w:rPr>
                <w:rFonts w:cs="Times New Roman"/>
                <w:kern w:val="0"/>
                <w:lang w:val="ro-RO"/>
              </w:rPr>
            </w:pPr>
          </w:p>
          <w:p w14:paraId="7DEF5032" w14:textId="77777777" w:rsidR="00670FD4" w:rsidRPr="00344FCE" w:rsidRDefault="00670FD4" w:rsidP="001925BA">
            <w:pPr>
              <w:spacing w:before="0" w:after="0"/>
              <w:ind w:firstLine="0"/>
              <w:contextualSpacing/>
              <w:jc w:val="left"/>
              <w:rPr>
                <w:rFonts w:cs="Times New Roman"/>
                <w:kern w:val="0"/>
                <w:lang w:val="ro-RO"/>
              </w:rPr>
            </w:pPr>
          </w:p>
          <w:p w14:paraId="60E484D9" w14:textId="77777777" w:rsidR="00670FD4" w:rsidRPr="00344FCE" w:rsidRDefault="00670FD4" w:rsidP="001925BA">
            <w:pPr>
              <w:spacing w:before="0" w:after="0"/>
              <w:ind w:firstLine="0"/>
              <w:contextualSpacing/>
              <w:jc w:val="left"/>
              <w:rPr>
                <w:rFonts w:cs="Times New Roman"/>
                <w:kern w:val="0"/>
                <w:lang w:val="ro-RO"/>
              </w:rPr>
            </w:pPr>
          </w:p>
          <w:p w14:paraId="39C96E3F" w14:textId="77777777" w:rsidR="00670FD4" w:rsidRPr="00344FCE" w:rsidRDefault="00670FD4" w:rsidP="001925BA">
            <w:pPr>
              <w:spacing w:before="0" w:after="0"/>
              <w:ind w:firstLine="0"/>
              <w:contextualSpacing/>
              <w:jc w:val="left"/>
              <w:rPr>
                <w:rFonts w:cs="Times New Roman"/>
                <w:kern w:val="0"/>
                <w:lang w:val="ro-RO"/>
              </w:rPr>
            </w:pPr>
          </w:p>
          <w:p w14:paraId="7F973290"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val="restart"/>
          </w:tcPr>
          <w:p w14:paraId="667BA9AF" w14:textId="77777777" w:rsidR="00670FD4" w:rsidRPr="00344FCE" w:rsidRDefault="00670FD4" w:rsidP="001925BA">
            <w:pPr>
              <w:spacing w:before="0" w:after="0"/>
              <w:ind w:firstLine="0"/>
              <w:contextualSpacing/>
              <w:jc w:val="left"/>
              <w:rPr>
                <w:rFonts w:cs="Times New Roman"/>
                <w:kern w:val="0"/>
                <w:lang w:val="ro-RO"/>
              </w:rPr>
            </w:pPr>
          </w:p>
          <w:p w14:paraId="312983A7" w14:textId="77777777" w:rsidR="00670FD4" w:rsidRPr="00344FCE" w:rsidRDefault="00670FD4" w:rsidP="001925BA">
            <w:pPr>
              <w:spacing w:before="0" w:after="0"/>
              <w:ind w:firstLine="0"/>
              <w:contextualSpacing/>
              <w:jc w:val="left"/>
              <w:rPr>
                <w:rFonts w:cs="Times New Roman"/>
                <w:kern w:val="0"/>
                <w:lang w:val="ro-RO"/>
              </w:rPr>
            </w:pPr>
          </w:p>
          <w:p w14:paraId="20AC78C8" w14:textId="77777777" w:rsidR="00670FD4" w:rsidRPr="00344FCE" w:rsidRDefault="00670FD4" w:rsidP="001925BA">
            <w:pPr>
              <w:spacing w:before="0" w:after="0"/>
              <w:ind w:firstLine="0"/>
              <w:contextualSpacing/>
              <w:jc w:val="left"/>
              <w:rPr>
                <w:rFonts w:cs="Times New Roman"/>
                <w:kern w:val="0"/>
                <w:lang w:val="ro-RO"/>
              </w:rPr>
            </w:pPr>
          </w:p>
          <w:p w14:paraId="13A265B4"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Protejarea patrimoniului cultural</w:t>
            </w:r>
          </w:p>
        </w:tc>
        <w:tc>
          <w:tcPr>
            <w:tcW w:w="6237" w:type="dxa"/>
          </w:tcPr>
          <w:p w14:paraId="58246416"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 situri subacvatice inventariate</w:t>
            </w:r>
          </w:p>
        </w:tc>
      </w:tr>
      <w:tr w:rsidR="00670FD4" w:rsidRPr="00344FCE" w14:paraId="5001ABC4" w14:textId="77777777" w:rsidTr="001925BA">
        <w:tc>
          <w:tcPr>
            <w:tcW w:w="2263" w:type="dxa"/>
            <w:vMerge/>
          </w:tcPr>
          <w:p w14:paraId="03257B1C"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4FF081C4"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58AF1691"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 monumente istorice și situri arheologice cu zone de protecție georeferențiate</w:t>
            </w:r>
          </w:p>
        </w:tc>
      </w:tr>
      <w:tr w:rsidR="00670FD4" w:rsidRPr="00344FCE" w14:paraId="3FD14B8F" w14:textId="77777777" w:rsidTr="001925BA">
        <w:tc>
          <w:tcPr>
            <w:tcW w:w="2263" w:type="dxa"/>
            <w:vMerge/>
          </w:tcPr>
          <w:p w14:paraId="6B27580A"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5F696FAB"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6AEDCCA8"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 de monumente istorice și situri cadastrate</w:t>
            </w:r>
          </w:p>
        </w:tc>
      </w:tr>
      <w:tr w:rsidR="00670FD4" w:rsidRPr="00344FCE" w14:paraId="283AF187" w14:textId="77777777" w:rsidTr="001925BA">
        <w:tc>
          <w:tcPr>
            <w:tcW w:w="2263" w:type="dxa"/>
            <w:vMerge/>
          </w:tcPr>
          <w:p w14:paraId="5B4C709C"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1E88EB56"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05B913D8"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Monumente istorice și situri arheologice protejate/conservate/restaurate</w:t>
            </w:r>
          </w:p>
        </w:tc>
      </w:tr>
      <w:tr w:rsidR="00670FD4" w:rsidRPr="00344FCE" w14:paraId="69B5607A" w14:textId="77777777" w:rsidTr="001925BA">
        <w:tc>
          <w:tcPr>
            <w:tcW w:w="2263" w:type="dxa"/>
            <w:vMerge/>
          </w:tcPr>
          <w:p w14:paraId="78509A63"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473FB9B5"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72C42466"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 planuri de peisaj elaborate</w:t>
            </w:r>
          </w:p>
        </w:tc>
      </w:tr>
      <w:tr w:rsidR="00670FD4" w:rsidRPr="00344FCE" w14:paraId="02CD8C99" w14:textId="77777777" w:rsidTr="001925BA">
        <w:tc>
          <w:tcPr>
            <w:tcW w:w="2263" w:type="dxa"/>
            <w:vMerge/>
          </w:tcPr>
          <w:p w14:paraId="6E43193C"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val="restart"/>
          </w:tcPr>
          <w:p w14:paraId="1F2C08BD"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Management eficient al ariilor protejate</w:t>
            </w:r>
          </w:p>
        </w:tc>
        <w:tc>
          <w:tcPr>
            <w:tcW w:w="6237" w:type="dxa"/>
          </w:tcPr>
          <w:p w14:paraId="7757EA89"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Suprafața totală a zonelor degradate din ariile protejate în urma desfășurării de activității umane</w:t>
            </w:r>
          </w:p>
        </w:tc>
      </w:tr>
      <w:tr w:rsidR="00670FD4" w:rsidRPr="00344FCE" w14:paraId="224DAC9A" w14:textId="77777777" w:rsidTr="001925BA">
        <w:tc>
          <w:tcPr>
            <w:tcW w:w="2263" w:type="dxa"/>
            <w:vMerge/>
          </w:tcPr>
          <w:p w14:paraId="229782C1"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297FF04C"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2C325759"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Rata pierderii sau deteriorării ariilor protejate</w:t>
            </w:r>
          </w:p>
        </w:tc>
      </w:tr>
      <w:tr w:rsidR="00670FD4" w:rsidRPr="00344FCE" w14:paraId="79BEA311" w14:textId="77777777" w:rsidTr="001925BA">
        <w:tc>
          <w:tcPr>
            <w:tcW w:w="2263" w:type="dxa"/>
            <w:vMerge/>
          </w:tcPr>
          <w:p w14:paraId="18E35D6D"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6583CB07"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0C10C0BC"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 de măsuri incluse în planurile de management care sa corespunda dezideratului de conservare a ariilor protejate, a habitatelor naturale și a biodiversității</w:t>
            </w:r>
          </w:p>
        </w:tc>
      </w:tr>
      <w:tr w:rsidR="00670FD4" w:rsidRPr="00344FCE" w14:paraId="232F415E" w14:textId="77777777" w:rsidTr="001925BA">
        <w:trPr>
          <w:trHeight w:val="592"/>
        </w:trPr>
        <w:tc>
          <w:tcPr>
            <w:tcW w:w="2263" w:type="dxa"/>
            <w:vMerge/>
          </w:tcPr>
          <w:p w14:paraId="2182BAEA"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2F4960AD"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2D0E9322"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 de planuri de management elaborate / revizuite / implementate</w:t>
            </w:r>
            <w:r w:rsidRPr="00344FCE">
              <w:rPr>
                <w:rFonts w:cs="Times New Roman"/>
                <w:kern w:val="0"/>
                <w:lang w:val="ro-RO"/>
              </w:rPr>
              <w:tab/>
            </w:r>
          </w:p>
        </w:tc>
      </w:tr>
      <w:tr w:rsidR="00670FD4" w:rsidRPr="00344FCE" w14:paraId="01B34F84" w14:textId="77777777" w:rsidTr="001925BA">
        <w:tc>
          <w:tcPr>
            <w:tcW w:w="2263" w:type="dxa"/>
            <w:vMerge/>
          </w:tcPr>
          <w:p w14:paraId="66EB6799"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val="restart"/>
          </w:tcPr>
          <w:p w14:paraId="6FF2381D"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Refacerea habitatelor folosind soluții bazate pe natură (nature-based solutions)</w:t>
            </w:r>
          </w:p>
        </w:tc>
        <w:tc>
          <w:tcPr>
            <w:tcW w:w="6237" w:type="dxa"/>
          </w:tcPr>
          <w:p w14:paraId="3A5FA114"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Plan de refacere a habitatelor și de prevenire și reducere a impactului dezastrelor naturale.</w:t>
            </w:r>
          </w:p>
        </w:tc>
      </w:tr>
      <w:tr w:rsidR="00670FD4" w:rsidRPr="00344FCE" w14:paraId="406AE7A4" w14:textId="77777777" w:rsidTr="001925BA">
        <w:tc>
          <w:tcPr>
            <w:tcW w:w="2263" w:type="dxa"/>
            <w:vMerge/>
          </w:tcPr>
          <w:p w14:paraId="56FE26DC"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6F25B0B2"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13F8874A"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Suprafața habitatelor supuse procesului de refacere, raportată la suprafața totala a habitatelor de același tip din zona costiera</w:t>
            </w:r>
          </w:p>
        </w:tc>
      </w:tr>
      <w:tr w:rsidR="00670FD4" w:rsidRPr="00344FCE" w14:paraId="7E31C8D7" w14:textId="77777777" w:rsidTr="001925BA">
        <w:tc>
          <w:tcPr>
            <w:tcW w:w="2263" w:type="dxa"/>
            <w:vMerge/>
          </w:tcPr>
          <w:p w14:paraId="60455C89"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val="restart"/>
          </w:tcPr>
          <w:p w14:paraId="5FFBEB6E"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Modificări în importanța speciilor și habitatelor din zona costieră</w:t>
            </w:r>
          </w:p>
        </w:tc>
        <w:tc>
          <w:tcPr>
            <w:tcW w:w="6237" w:type="dxa"/>
          </w:tcPr>
          <w:p w14:paraId="5E83B7DF"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Starea și tendința speciilor și habitatelor costiere</w:t>
            </w:r>
          </w:p>
        </w:tc>
      </w:tr>
      <w:tr w:rsidR="00670FD4" w:rsidRPr="00344FCE" w14:paraId="7B546DBB" w14:textId="77777777" w:rsidTr="001925BA">
        <w:tc>
          <w:tcPr>
            <w:tcW w:w="2263" w:type="dxa"/>
            <w:vMerge/>
          </w:tcPr>
          <w:p w14:paraId="56F2D059"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3C2FC411"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0F81A2EF"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 specii  per tip de habitat</w:t>
            </w:r>
          </w:p>
        </w:tc>
      </w:tr>
      <w:tr w:rsidR="00670FD4" w:rsidRPr="00344FCE" w14:paraId="3FB67472" w14:textId="77777777" w:rsidTr="001925BA">
        <w:tc>
          <w:tcPr>
            <w:tcW w:w="2263" w:type="dxa"/>
            <w:vMerge/>
          </w:tcPr>
          <w:p w14:paraId="7102A700"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0DCDA5D0"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255EC4F3"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 specii din Lista Roșie</w:t>
            </w:r>
          </w:p>
        </w:tc>
      </w:tr>
      <w:tr w:rsidR="00670FD4" w:rsidRPr="00344FCE" w14:paraId="2C97381C" w14:textId="77777777" w:rsidTr="001925BA">
        <w:trPr>
          <w:trHeight w:val="547"/>
        </w:trPr>
        <w:tc>
          <w:tcPr>
            <w:tcW w:w="2263" w:type="dxa"/>
            <w:vMerge/>
          </w:tcPr>
          <w:p w14:paraId="559E0EE8"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val="restart"/>
          </w:tcPr>
          <w:p w14:paraId="2BAEBDCA"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Valorizarea serviciilor ecosistemice din zona costieră</w:t>
            </w:r>
          </w:p>
        </w:tc>
        <w:tc>
          <w:tcPr>
            <w:tcW w:w="6237" w:type="dxa"/>
          </w:tcPr>
          <w:p w14:paraId="69B3AA40"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 servicii ecosistemice identificate și evaluate în zona costieră.</w:t>
            </w:r>
          </w:p>
        </w:tc>
      </w:tr>
      <w:tr w:rsidR="00670FD4" w:rsidRPr="00344FCE" w14:paraId="2FCBA333" w14:textId="77777777" w:rsidTr="001925BA">
        <w:trPr>
          <w:trHeight w:val="692"/>
        </w:trPr>
        <w:tc>
          <w:tcPr>
            <w:tcW w:w="2263" w:type="dxa"/>
            <w:vMerge/>
          </w:tcPr>
          <w:p w14:paraId="4050625D"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66DA5B9B"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61F930A2"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 servicii ecosistemice valorizate prin instrumente economice</w:t>
            </w:r>
          </w:p>
        </w:tc>
      </w:tr>
      <w:tr w:rsidR="00670FD4" w:rsidRPr="00344FCE" w14:paraId="383B92E0" w14:textId="77777777" w:rsidTr="001925BA">
        <w:trPr>
          <w:trHeight w:val="676"/>
        </w:trPr>
        <w:tc>
          <w:tcPr>
            <w:tcW w:w="2263" w:type="dxa"/>
            <w:vMerge/>
          </w:tcPr>
          <w:p w14:paraId="3240A808"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val="restart"/>
          </w:tcPr>
          <w:p w14:paraId="757AFFD6" w14:textId="77777777" w:rsidR="00670FD4" w:rsidRPr="00344FCE" w:rsidRDefault="00670FD4" w:rsidP="001925BA">
            <w:pPr>
              <w:spacing w:before="0" w:after="0"/>
              <w:ind w:firstLine="0"/>
              <w:contextualSpacing/>
              <w:jc w:val="left"/>
              <w:rPr>
                <w:rFonts w:cs="Times New Roman"/>
                <w:kern w:val="0"/>
                <w:lang w:val="ro-RO"/>
              </w:rPr>
            </w:pPr>
          </w:p>
          <w:p w14:paraId="0AB5B925" w14:textId="77777777" w:rsidR="00670FD4" w:rsidRPr="00344FCE" w:rsidRDefault="00670FD4" w:rsidP="001925BA">
            <w:pPr>
              <w:spacing w:before="0" w:after="0"/>
              <w:ind w:firstLine="0"/>
              <w:contextualSpacing/>
              <w:jc w:val="left"/>
              <w:rPr>
                <w:rFonts w:cs="Times New Roman"/>
                <w:kern w:val="0"/>
                <w:lang w:val="ro-RO"/>
              </w:rPr>
            </w:pPr>
          </w:p>
          <w:p w14:paraId="788C726A" w14:textId="77777777" w:rsidR="00670FD4" w:rsidRPr="00344FCE" w:rsidRDefault="00670FD4" w:rsidP="001925BA">
            <w:pPr>
              <w:spacing w:before="0" w:after="0"/>
              <w:ind w:firstLine="0"/>
              <w:contextualSpacing/>
              <w:jc w:val="left"/>
              <w:rPr>
                <w:rFonts w:cs="Times New Roman"/>
                <w:kern w:val="0"/>
                <w:lang w:val="ro-RO"/>
              </w:rPr>
            </w:pPr>
          </w:p>
          <w:p w14:paraId="3F0E52A1"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Specii invazive</w:t>
            </w:r>
          </w:p>
        </w:tc>
        <w:tc>
          <w:tcPr>
            <w:tcW w:w="6237" w:type="dxa"/>
          </w:tcPr>
          <w:p w14:paraId="2384C9B9"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Numărul de specii alogene invazive pentru care s-au prevăzut măsuri de eradicare/ limitare /control al populațiilor</w:t>
            </w:r>
          </w:p>
        </w:tc>
      </w:tr>
      <w:tr w:rsidR="00670FD4" w:rsidRPr="00344FCE" w14:paraId="614E381B" w14:textId="77777777" w:rsidTr="001925BA">
        <w:trPr>
          <w:trHeight w:val="676"/>
        </w:trPr>
        <w:tc>
          <w:tcPr>
            <w:tcW w:w="2263" w:type="dxa"/>
            <w:vMerge/>
          </w:tcPr>
          <w:p w14:paraId="607E7EF4"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6FD93FD6"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7C72F5D7"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 de specii alohtone/invazive introduse prin activități umane (acvacultură, transport naval, comerț, etc)</w:t>
            </w:r>
          </w:p>
        </w:tc>
      </w:tr>
      <w:tr w:rsidR="00670FD4" w:rsidRPr="00344FCE" w14:paraId="5CDEBB7E" w14:textId="77777777" w:rsidTr="001925BA">
        <w:trPr>
          <w:trHeight w:val="321"/>
        </w:trPr>
        <w:tc>
          <w:tcPr>
            <w:tcW w:w="2263" w:type="dxa"/>
            <w:vMerge/>
          </w:tcPr>
          <w:p w14:paraId="10CB5F85"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651C2085"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031878CB"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 de specii alohtone potențial invazive în zona costiera</w:t>
            </w:r>
          </w:p>
        </w:tc>
      </w:tr>
      <w:tr w:rsidR="00670FD4" w:rsidRPr="00344FCE" w14:paraId="50778DB1" w14:textId="77777777" w:rsidTr="001925BA">
        <w:trPr>
          <w:trHeight w:val="710"/>
        </w:trPr>
        <w:tc>
          <w:tcPr>
            <w:tcW w:w="2263" w:type="dxa"/>
            <w:vMerge w:val="restart"/>
          </w:tcPr>
          <w:p w14:paraId="67CBB002" w14:textId="77777777" w:rsidR="00670FD4" w:rsidRPr="00344FCE" w:rsidRDefault="00670FD4" w:rsidP="001925BA">
            <w:pPr>
              <w:spacing w:before="0" w:after="0"/>
              <w:ind w:firstLine="0"/>
              <w:contextualSpacing/>
              <w:jc w:val="left"/>
              <w:rPr>
                <w:rFonts w:cs="Times New Roman"/>
                <w:kern w:val="0"/>
                <w:lang w:val="ro-RO"/>
              </w:rPr>
            </w:pPr>
          </w:p>
          <w:p w14:paraId="0C2C2867" w14:textId="77777777" w:rsidR="00670FD4" w:rsidRPr="00344FCE" w:rsidRDefault="00670FD4" w:rsidP="001925BA">
            <w:pPr>
              <w:spacing w:before="0" w:after="0"/>
              <w:ind w:firstLine="0"/>
              <w:contextualSpacing/>
              <w:jc w:val="left"/>
              <w:rPr>
                <w:rFonts w:cs="Times New Roman"/>
                <w:kern w:val="0"/>
                <w:lang w:val="ro-RO"/>
              </w:rPr>
            </w:pPr>
          </w:p>
          <w:p w14:paraId="1516AB92" w14:textId="77777777" w:rsidR="00670FD4" w:rsidRPr="00344FCE" w:rsidRDefault="00670FD4" w:rsidP="001925BA">
            <w:pPr>
              <w:spacing w:before="0" w:after="0"/>
              <w:ind w:firstLine="0"/>
              <w:contextualSpacing/>
              <w:jc w:val="left"/>
              <w:rPr>
                <w:rFonts w:cs="Times New Roman"/>
                <w:kern w:val="0"/>
                <w:lang w:val="ro-RO"/>
              </w:rPr>
            </w:pPr>
          </w:p>
          <w:p w14:paraId="21C0C3B4" w14:textId="77777777" w:rsidR="00670FD4" w:rsidRPr="00344FCE" w:rsidRDefault="00670FD4" w:rsidP="001925BA">
            <w:pPr>
              <w:spacing w:before="0" w:after="0"/>
              <w:ind w:firstLine="0"/>
              <w:contextualSpacing/>
              <w:jc w:val="left"/>
              <w:rPr>
                <w:rFonts w:cs="Times New Roman"/>
                <w:kern w:val="0"/>
                <w:lang w:val="ro-RO"/>
              </w:rPr>
            </w:pPr>
          </w:p>
          <w:p w14:paraId="7B2084B0" w14:textId="77777777" w:rsidR="00670FD4" w:rsidRPr="00344FCE" w:rsidRDefault="00670FD4" w:rsidP="001925BA">
            <w:pPr>
              <w:spacing w:before="0" w:after="0"/>
              <w:ind w:firstLine="0"/>
              <w:contextualSpacing/>
              <w:jc w:val="left"/>
              <w:rPr>
                <w:rFonts w:cs="Times New Roman"/>
                <w:kern w:val="0"/>
                <w:lang w:val="ro-RO"/>
              </w:rPr>
            </w:pPr>
          </w:p>
          <w:p w14:paraId="298F4BE6" w14:textId="77777777" w:rsidR="00670FD4" w:rsidRPr="00344FCE" w:rsidRDefault="00670FD4" w:rsidP="001925BA">
            <w:pPr>
              <w:spacing w:before="0" w:after="0"/>
              <w:ind w:firstLine="0"/>
              <w:contextualSpacing/>
              <w:jc w:val="left"/>
              <w:rPr>
                <w:rFonts w:cs="Times New Roman"/>
                <w:kern w:val="0"/>
                <w:lang w:val="ro-RO"/>
              </w:rPr>
            </w:pPr>
          </w:p>
          <w:p w14:paraId="795F890C" w14:textId="77777777" w:rsidR="00670FD4" w:rsidRPr="00344FCE" w:rsidRDefault="00670FD4" w:rsidP="001925BA">
            <w:pPr>
              <w:spacing w:before="0" w:after="0"/>
              <w:ind w:firstLine="0"/>
              <w:contextualSpacing/>
              <w:jc w:val="left"/>
              <w:rPr>
                <w:rFonts w:cs="Times New Roman"/>
                <w:kern w:val="0"/>
                <w:lang w:val="ro-RO"/>
              </w:rPr>
            </w:pPr>
          </w:p>
          <w:p w14:paraId="61199109" w14:textId="77777777" w:rsidR="00670FD4" w:rsidRPr="00344FCE" w:rsidRDefault="00670FD4" w:rsidP="001925BA">
            <w:pPr>
              <w:spacing w:before="0" w:after="0"/>
              <w:ind w:firstLine="0"/>
              <w:contextualSpacing/>
              <w:jc w:val="left"/>
              <w:rPr>
                <w:rFonts w:cs="Times New Roman"/>
                <w:kern w:val="0"/>
                <w:lang w:val="ro-RO"/>
              </w:rPr>
            </w:pPr>
          </w:p>
          <w:p w14:paraId="2CDDF3E4" w14:textId="77777777" w:rsidR="00670FD4" w:rsidRPr="00344FCE" w:rsidRDefault="00670FD4" w:rsidP="001925BA">
            <w:pPr>
              <w:spacing w:before="0" w:after="0"/>
              <w:ind w:firstLine="0"/>
              <w:contextualSpacing/>
              <w:jc w:val="left"/>
              <w:rPr>
                <w:rFonts w:cs="Times New Roman"/>
                <w:kern w:val="0"/>
                <w:lang w:val="ro-RO"/>
              </w:rPr>
            </w:pPr>
          </w:p>
          <w:p w14:paraId="59E241B3" w14:textId="77777777" w:rsidR="00670FD4" w:rsidRPr="00344FCE" w:rsidRDefault="00670FD4" w:rsidP="001925BA">
            <w:pPr>
              <w:spacing w:before="0" w:after="0"/>
              <w:ind w:firstLine="0"/>
              <w:contextualSpacing/>
              <w:jc w:val="left"/>
              <w:rPr>
                <w:rFonts w:cs="Times New Roman"/>
                <w:kern w:val="0"/>
                <w:lang w:val="ro-RO"/>
              </w:rPr>
            </w:pPr>
          </w:p>
          <w:p w14:paraId="57FF61FE"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 xml:space="preserve">Prevenirea, reducerea și remedierea efectelor schimbărilor climatice și poluării </w:t>
            </w:r>
          </w:p>
          <w:p w14:paraId="7B5F31AD" w14:textId="77777777" w:rsidR="00670FD4" w:rsidRPr="00344FCE" w:rsidRDefault="00670FD4" w:rsidP="001925BA">
            <w:pPr>
              <w:spacing w:before="0" w:after="0"/>
              <w:ind w:firstLine="0"/>
              <w:contextualSpacing/>
              <w:jc w:val="left"/>
              <w:rPr>
                <w:rFonts w:cs="Times New Roman"/>
                <w:kern w:val="0"/>
                <w:lang w:val="ro-RO"/>
              </w:rPr>
            </w:pPr>
          </w:p>
          <w:p w14:paraId="0E01A2FA" w14:textId="77777777" w:rsidR="00670FD4" w:rsidRPr="00344FCE" w:rsidRDefault="00670FD4" w:rsidP="001925BA">
            <w:pPr>
              <w:spacing w:before="0" w:after="0"/>
              <w:ind w:firstLine="0"/>
              <w:contextualSpacing/>
              <w:jc w:val="left"/>
              <w:rPr>
                <w:rFonts w:cs="Times New Roman"/>
                <w:kern w:val="0"/>
                <w:lang w:val="ro-RO"/>
              </w:rPr>
            </w:pPr>
          </w:p>
          <w:p w14:paraId="6FD5FE4D" w14:textId="77777777" w:rsidR="00670FD4" w:rsidRPr="00344FCE" w:rsidRDefault="00670FD4" w:rsidP="001925BA">
            <w:pPr>
              <w:spacing w:before="0" w:after="0"/>
              <w:ind w:firstLine="0"/>
              <w:contextualSpacing/>
              <w:jc w:val="left"/>
              <w:rPr>
                <w:rFonts w:cs="Times New Roman"/>
                <w:kern w:val="0"/>
                <w:lang w:val="ro-RO"/>
              </w:rPr>
            </w:pPr>
          </w:p>
          <w:p w14:paraId="7F89B3A0" w14:textId="77777777" w:rsidR="00670FD4" w:rsidRPr="00344FCE" w:rsidRDefault="00670FD4" w:rsidP="001925BA">
            <w:pPr>
              <w:spacing w:before="0" w:after="0"/>
              <w:ind w:firstLine="0"/>
              <w:contextualSpacing/>
              <w:jc w:val="left"/>
              <w:rPr>
                <w:rFonts w:cs="Times New Roman"/>
                <w:kern w:val="0"/>
                <w:lang w:val="ro-RO"/>
              </w:rPr>
            </w:pPr>
          </w:p>
          <w:p w14:paraId="60BCF171" w14:textId="77777777" w:rsidR="00670FD4" w:rsidRPr="00344FCE" w:rsidRDefault="00670FD4" w:rsidP="001925BA">
            <w:pPr>
              <w:spacing w:before="0" w:after="0"/>
              <w:ind w:firstLine="0"/>
              <w:contextualSpacing/>
              <w:jc w:val="left"/>
              <w:rPr>
                <w:rFonts w:cs="Times New Roman"/>
                <w:kern w:val="0"/>
                <w:lang w:val="ro-RO"/>
              </w:rPr>
            </w:pPr>
          </w:p>
          <w:p w14:paraId="4B8760AE" w14:textId="77777777" w:rsidR="00670FD4" w:rsidRPr="00344FCE" w:rsidRDefault="00670FD4" w:rsidP="001925BA">
            <w:pPr>
              <w:spacing w:before="0" w:after="0"/>
              <w:ind w:firstLine="0"/>
              <w:contextualSpacing/>
              <w:jc w:val="left"/>
              <w:rPr>
                <w:rFonts w:cs="Times New Roman"/>
                <w:kern w:val="0"/>
                <w:lang w:val="ro-RO"/>
              </w:rPr>
            </w:pPr>
          </w:p>
          <w:p w14:paraId="2394CAE1" w14:textId="77777777" w:rsidR="00670FD4" w:rsidRPr="00344FCE" w:rsidRDefault="00670FD4" w:rsidP="001925BA">
            <w:pPr>
              <w:spacing w:before="0" w:after="0"/>
              <w:ind w:firstLine="0"/>
              <w:contextualSpacing/>
              <w:jc w:val="left"/>
              <w:rPr>
                <w:rFonts w:cs="Times New Roman"/>
                <w:kern w:val="0"/>
                <w:lang w:val="ro-RO"/>
              </w:rPr>
            </w:pPr>
          </w:p>
          <w:p w14:paraId="1E37E126" w14:textId="77777777" w:rsidR="00670FD4" w:rsidRPr="00344FCE" w:rsidRDefault="00670FD4" w:rsidP="001925BA">
            <w:pPr>
              <w:spacing w:before="0" w:after="0"/>
              <w:ind w:firstLine="0"/>
              <w:contextualSpacing/>
              <w:jc w:val="left"/>
              <w:rPr>
                <w:rFonts w:cs="Times New Roman"/>
                <w:kern w:val="0"/>
                <w:lang w:val="ro-RO"/>
              </w:rPr>
            </w:pPr>
          </w:p>
          <w:p w14:paraId="60C52640" w14:textId="77777777" w:rsidR="00670FD4" w:rsidRPr="00344FCE" w:rsidRDefault="00670FD4" w:rsidP="001925BA">
            <w:pPr>
              <w:spacing w:before="0" w:after="0"/>
              <w:ind w:firstLine="0"/>
              <w:contextualSpacing/>
              <w:jc w:val="left"/>
              <w:rPr>
                <w:rFonts w:cs="Times New Roman"/>
                <w:kern w:val="0"/>
                <w:lang w:val="ro-RO"/>
              </w:rPr>
            </w:pPr>
          </w:p>
          <w:p w14:paraId="06594EFA" w14:textId="77777777" w:rsidR="00670FD4" w:rsidRPr="00344FCE" w:rsidRDefault="00670FD4" w:rsidP="001925BA">
            <w:pPr>
              <w:spacing w:before="0" w:after="0"/>
              <w:ind w:firstLine="0"/>
              <w:contextualSpacing/>
              <w:jc w:val="left"/>
              <w:rPr>
                <w:rFonts w:cs="Times New Roman"/>
                <w:kern w:val="0"/>
                <w:lang w:val="ro-RO"/>
              </w:rPr>
            </w:pPr>
          </w:p>
          <w:p w14:paraId="2B378B9D" w14:textId="77777777" w:rsidR="00670FD4" w:rsidRPr="00344FCE" w:rsidRDefault="00670FD4" w:rsidP="001925BA">
            <w:pPr>
              <w:spacing w:before="0" w:after="0"/>
              <w:ind w:firstLine="0"/>
              <w:contextualSpacing/>
              <w:jc w:val="left"/>
              <w:rPr>
                <w:rFonts w:cs="Times New Roman"/>
                <w:kern w:val="0"/>
                <w:lang w:val="ro-RO"/>
              </w:rPr>
            </w:pPr>
          </w:p>
          <w:p w14:paraId="0CF3C1C2" w14:textId="77777777" w:rsidR="00670FD4" w:rsidRPr="00344FCE" w:rsidRDefault="00670FD4" w:rsidP="001925BA">
            <w:pPr>
              <w:spacing w:before="0" w:after="0"/>
              <w:ind w:firstLine="0"/>
              <w:contextualSpacing/>
              <w:jc w:val="left"/>
              <w:rPr>
                <w:rFonts w:cs="Times New Roman"/>
                <w:kern w:val="0"/>
                <w:lang w:val="ro-RO"/>
              </w:rPr>
            </w:pPr>
          </w:p>
          <w:p w14:paraId="7E5CDA08" w14:textId="77777777" w:rsidR="00670FD4" w:rsidRPr="00344FCE" w:rsidRDefault="00670FD4" w:rsidP="001925BA">
            <w:pPr>
              <w:spacing w:before="0" w:after="0"/>
              <w:ind w:firstLine="0"/>
              <w:contextualSpacing/>
              <w:jc w:val="left"/>
              <w:rPr>
                <w:rFonts w:cs="Times New Roman"/>
                <w:kern w:val="0"/>
                <w:lang w:val="ro-RO"/>
              </w:rPr>
            </w:pPr>
          </w:p>
          <w:p w14:paraId="4B256BB4" w14:textId="77777777" w:rsidR="00670FD4" w:rsidRPr="00344FCE" w:rsidRDefault="00670FD4" w:rsidP="001925BA">
            <w:pPr>
              <w:spacing w:before="0" w:after="0"/>
              <w:ind w:firstLine="0"/>
              <w:contextualSpacing/>
              <w:jc w:val="left"/>
              <w:rPr>
                <w:rFonts w:cs="Times New Roman"/>
                <w:kern w:val="0"/>
                <w:lang w:val="ro-RO"/>
              </w:rPr>
            </w:pPr>
          </w:p>
          <w:p w14:paraId="75A1A989" w14:textId="77777777" w:rsidR="00670FD4" w:rsidRPr="00344FCE" w:rsidRDefault="00670FD4" w:rsidP="001925BA">
            <w:pPr>
              <w:spacing w:before="0" w:after="0"/>
              <w:ind w:firstLine="0"/>
              <w:contextualSpacing/>
              <w:jc w:val="left"/>
              <w:rPr>
                <w:rFonts w:cs="Times New Roman"/>
                <w:kern w:val="0"/>
                <w:lang w:val="ro-RO"/>
              </w:rPr>
            </w:pPr>
          </w:p>
          <w:p w14:paraId="55F1E21B" w14:textId="77777777" w:rsidR="00670FD4" w:rsidRPr="00344FCE" w:rsidRDefault="00670FD4" w:rsidP="001925BA">
            <w:pPr>
              <w:spacing w:before="0" w:after="0"/>
              <w:ind w:firstLine="0"/>
              <w:contextualSpacing/>
              <w:jc w:val="left"/>
              <w:rPr>
                <w:rFonts w:cs="Times New Roman"/>
                <w:kern w:val="0"/>
                <w:lang w:val="ro-RO"/>
              </w:rPr>
            </w:pPr>
          </w:p>
          <w:p w14:paraId="3B7C1108" w14:textId="77777777" w:rsidR="00670FD4" w:rsidRPr="00344FCE" w:rsidRDefault="00670FD4" w:rsidP="001925BA">
            <w:pPr>
              <w:spacing w:before="0" w:after="0"/>
              <w:ind w:firstLine="0"/>
              <w:contextualSpacing/>
              <w:jc w:val="left"/>
              <w:rPr>
                <w:rFonts w:cs="Times New Roman"/>
                <w:kern w:val="0"/>
                <w:lang w:val="ro-RO"/>
              </w:rPr>
            </w:pPr>
          </w:p>
          <w:p w14:paraId="21A636FA" w14:textId="77777777" w:rsidR="00670FD4" w:rsidRPr="00344FCE" w:rsidRDefault="00670FD4" w:rsidP="001925BA">
            <w:pPr>
              <w:spacing w:before="0" w:after="0"/>
              <w:ind w:firstLine="0"/>
              <w:contextualSpacing/>
              <w:jc w:val="left"/>
              <w:rPr>
                <w:rFonts w:cs="Times New Roman"/>
                <w:kern w:val="0"/>
                <w:lang w:val="ro-RO"/>
              </w:rPr>
            </w:pPr>
          </w:p>
          <w:p w14:paraId="0097CAD9" w14:textId="77777777" w:rsidR="00670FD4" w:rsidRPr="00344FCE" w:rsidRDefault="00670FD4" w:rsidP="001925BA">
            <w:pPr>
              <w:spacing w:before="0" w:after="0"/>
              <w:ind w:firstLine="0"/>
              <w:contextualSpacing/>
              <w:jc w:val="left"/>
              <w:rPr>
                <w:rFonts w:cs="Times New Roman"/>
                <w:kern w:val="0"/>
                <w:lang w:val="ro-RO"/>
              </w:rPr>
            </w:pPr>
          </w:p>
          <w:p w14:paraId="5A4D98E2" w14:textId="77777777" w:rsidR="00670FD4" w:rsidRDefault="00670FD4" w:rsidP="001925BA">
            <w:pPr>
              <w:spacing w:before="0" w:after="0"/>
              <w:ind w:firstLine="0"/>
              <w:contextualSpacing/>
              <w:jc w:val="left"/>
              <w:rPr>
                <w:rFonts w:cs="Times New Roman"/>
                <w:kern w:val="0"/>
                <w:lang w:val="ro-RO"/>
              </w:rPr>
            </w:pPr>
          </w:p>
          <w:p w14:paraId="6DEEFCD4" w14:textId="77777777" w:rsidR="00670FD4" w:rsidRDefault="00670FD4" w:rsidP="001925BA">
            <w:pPr>
              <w:spacing w:before="0" w:after="0"/>
              <w:ind w:firstLine="0"/>
              <w:contextualSpacing/>
              <w:jc w:val="left"/>
              <w:rPr>
                <w:rFonts w:cs="Times New Roman"/>
                <w:kern w:val="0"/>
                <w:lang w:val="ro-RO"/>
              </w:rPr>
            </w:pPr>
          </w:p>
          <w:p w14:paraId="04663772" w14:textId="77777777" w:rsidR="00670FD4" w:rsidRPr="00344FCE" w:rsidRDefault="00670FD4" w:rsidP="001925BA">
            <w:pPr>
              <w:spacing w:before="0" w:after="0"/>
              <w:ind w:firstLine="0"/>
              <w:contextualSpacing/>
              <w:jc w:val="left"/>
              <w:rPr>
                <w:rFonts w:cs="Times New Roman"/>
                <w:kern w:val="0"/>
                <w:lang w:val="ro-RO"/>
              </w:rPr>
            </w:pPr>
          </w:p>
          <w:p w14:paraId="6069CF94"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 xml:space="preserve">Prevenirea, reducerea și remedierea efectelor schimbărilor climatice și poluării </w:t>
            </w:r>
          </w:p>
          <w:p w14:paraId="564D3F53" w14:textId="77777777" w:rsidR="00670FD4" w:rsidRPr="00344FCE" w:rsidRDefault="00670FD4" w:rsidP="001925BA">
            <w:pPr>
              <w:spacing w:before="0" w:after="0"/>
              <w:ind w:firstLine="0"/>
              <w:contextualSpacing/>
              <w:jc w:val="left"/>
              <w:rPr>
                <w:rFonts w:cs="Times New Roman"/>
                <w:kern w:val="0"/>
                <w:lang w:val="ro-RO"/>
              </w:rPr>
            </w:pPr>
          </w:p>
          <w:p w14:paraId="6C8335D5" w14:textId="77777777" w:rsidR="00670FD4" w:rsidRPr="00344FCE" w:rsidRDefault="00670FD4" w:rsidP="001925BA">
            <w:pPr>
              <w:spacing w:before="0" w:after="0"/>
              <w:ind w:firstLine="0"/>
              <w:contextualSpacing/>
              <w:jc w:val="left"/>
              <w:rPr>
                <w:rFonts w:cs="Times New Roman"/>
                <w:kern w:val="0"/>
                <w:lang w:val="ro-RO"/>
              </w:rPr>
            </w:pPr>
          </w:p>
          <w:p w14:paraId="00B50EB0" w14:textId="77777777" w:rsidR="00670FD4" w:rsidRPr="00344FCE" w:rsidRDefault="00670FD4" w:rsidP="001925BA">
            <w:pPr>
              <w:spacing w:before="0" w:after="0"/>
              <w:ind w:firstLine="0"/>
              <w:contextualSpacing/>
              <w:jc w:val="left"/>
              <w:rPr>
                <w:rFonts w:cs="Times New Roman"/>
                <w:kern w:val="0"/>
                <w:lang w:val="ro-RO"/>
              </w:rPr>
            </w:pPr>
          </w:p>
          <w:p w14:paraId="3D013567" w14:textId="77777777" w:rsidR="00670FD4" w:rsidRPr="00344FCE" w:rsidRDefault="00670FD4" w:rsidP="001925BA">
            <w:pPr>
              <w:spacing w:before="0" w:after="0"/>
              <w:ind w:firstLine="0"/>
              <w:contextualSpacing/>
              <w:jc w:val="left"/>
              <w:rPr>
                <w:rFonts w:cs="Times New Roman"/>
                <w:kern w:val="0"/>
                <w:lang w:val="ro-RO"/>
              </w:rPr>
            </w:pPr>
          </w:p>
          <w:p w14:paraId="726A847C" w14:textId="77777777" w:rsidR="00670FD4" w:rsidRPr="00344FCE" w:rsidRDefault="00670FD4" w:rsidP="001925BA">
            <w:pPr>
              <w:spacing w:before="0" w:after="0"/>
              <w:ind w:firstLine="0"/>
              <w:contextualSpacing/>
              <w:jc w:val="left"/>
              <w:rPr>
                <w:rFonts w:cs="Times New Roman"/>
                <w:kern w:val="0"/>
                <w:lang w:val="ro-RO"/>
              </w:rPr>
            </w:pPr>
          </w:p>
          <w:p w14:paraId="7B698D11" w14:textId="77777777" w:rsidR="00670FD4" w:rsidRPr="00344FCE" w:rsidRDefault="00670FD4" w:rsidP="001925BA">
            <w:pPr>
              <w:spacing w:before="0" w:after="0"/>
              <w:ind w:firstLine="0"/>
              <w:contextualSpacing/>
              <w:jc w:val="left"/>
              <w:rPr>
                <w:rFonts w:cs="Times New Roman"/>
                <w:kern w:val="0"/>
                <w:lang w:val="ro-RO"/>
              </w:rPr>
            </w:pPr>
          </w:p>
          <w:p w14:paraId="1B55C77B" w14:textId="77777777" w:rsidR="00670FD4" w:rsidRPr="00344FCE" w:rsidRDefault="00670FD4" w:rsidP="001925BA">
            <w:pPr>
              <w:spacing w:before="0" w:after="0"/>
              <w:ind w:firstLine="0"/>
              <w:contextualSpacing/>
              <w:jc w:val="left"/>
              <w:rPr>
                <w:rFonts w:cs="Times New Roman"/>
                <w:kern w:val="0"/>
                <w:lang w:val="ro-RO"/>
              </w:rPr>
            </w:pPr>
          </w:p>
          <w:p w14:paraId="44D2685D" w14:textId="77777777" w:rsidR="00670FD4" w:rsidRPr="00344FCE" w:rsidRDefault="00670FD4" w:rsidP="001925BA">
            <w:pPr>
              <w:spacing w:before="0" w:after="0"/>
              <w:ind w:firstLine="0"/>
              <w:contextualSpacing/>
              <w:jc w:val="left"/>
              <w:rPr>
                <w:rFonts w:cs="Times New Roman"/>
                <w:kern w:val="0"/>
                <w:lang w:val="ro-RO"/>
              </w:rPr>
            </w:pPr>
          </w:p>
          <w:p w14:paraId="56FA97D8" w14:textId="77777777" w:rsidR="00670FD4" w:rsidRPr="00344FCE" w:rsidRDefault="00670FD4" w:rsidP="001925BA">
            <w:pPr>
              <w:spacing w:before="0" w:after="0"/>
              <w:ind w:firstLine="0"/>
              <w:contextualSpacing/>
              <w:jc w:val="left"/>
              <w:rPr>
                <w:rFonts w:cs="Times New Roman"/>
                <w:kern w:val="0"/>
                <w:lang w:val="ro-RO"/>
              </w:rPr>
            </w:pPr>
          </w:p>
          <w:p w14:paraId="66A00E10" w14:textId="77777777" w:rsidR="00670FD4" w:rsidRPr="00344FCE" w:rsidRDefault="00670FD4" w:rsidP="001925BA">
            <w:pPr>
              <w:spacing w:before="0" w:after="0"/>
              <w:ind w:firstLine="0"/>
              <w:contextualSpacing/>
              <w:jc w:val="left"/>
              <w:rPr>
                <w:rFonts w:cs="Times New Roman"/>
                <w:kern w:val="0"/>
                <w:lang w:val="ro-RO"/>
              </w:rPr>
            </w:pPr>
          </w:p>
          <w:p w14:paraId="2548586D"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val="restart"/>
          </w:tcPr>
          <w:p w14:paraId="6375148E" w14:textId="77777777" w:rsidR="00670FD4" w:rsidRPr="00344FCE" w:rsidRDefault="00670FD4" w:rsidP="001925BA">
            <w:pPr>
              <w:spacing w:before="0" w:after="0"/>
              <w:ind w:firstLine="0"/>
              <w:contextualSpacing/>
              <w:jc w:val="left"/>
              <w:rPr>
                <w:rFonts w:cs="Times New Roman"/>
                <w:kern w:val="0"/>
                <w:lang w:val="ro-RO"/>
              </w:rPr>
            </w:pPr>
          </w:p>
          <w:p w14:paraId="1DA265F4"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Cantitatea de deșeuri</w:t>
            </w:r>
          </w:p>
        </w:tc>
        <w:tc>
          <w:tcPr>
            <w:tcW w:w="6237" w:type="dxa"/>
          </w:tcPr>
          <w:p w14:paraId="7A2DF75C"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Cantitatea de deșeuri de pe plaje</w:t>
            </w:r>
          </w:p>
        </w:tc>
      </w:tr>
      <w:tr w:rsidR="00670FD4" w:rsidRPr="00344FCE" w14:paraId="6E49C10B" w14:textId="77777777" w:rsidTr="001925BA">
        <w:trPr>
          <w:trHeight w:val="272"/>
        </w:trPr>
        <w:tc>
          <w:tcPr>
            <w:tcW w:w="2263" w:type="dxa"/>
            <w:vMerge/>
          </w:tcPr>
          <w:p w14:paraId="15839027"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733DDB44"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2711BB43"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Cantitatea de deșeuri plutitoare și scufundate în mare</w:t>
            </w:r>
          </w:p>
        </w:tc>
      </w:tr>
      <w:tr w:rsidR="00670FD4" w:rsidRPr="00344FCE" w14:paraId="6745A1F4" w14:textId="77777777" w:rsidTr="001925BA">
        <w:trPr>
          <w:trHeight w:val="263"/>
        </w:trPr>
        <w:tc>
          <w:tcPr>
            <w:tcW w:w="2263" w:type="dxa"/>
            <w:vMerge/>
          </w:tcPr>
          <w:p w14:paraId="1E7FBCAF"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25763874"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43607A6E"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Suprafața depozitelor ilegale de deșeuri</w:t>
            </w:r>
          </w:p>
        </w:tc>
      </w:tr>
      <w:tr w:rsidR="00670FD4" w:rsidRPr="00344FCE" w14:paraId="09D7093B" w14:textId="77777777" w:rsidTr="001925BA">
        <w:trPr>
          <w:trHeight w:val="266"/>
        </w:trPr>
        <w:tc>
          <w:tcPr>
            <w:tcW w:w="2263" w:type="dxa"/>
            <w:vMerge/>
          </w:tcPr>
          <w:p w14:paraId="7562FF3B"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71E6625B"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2E583ADD"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Volumul de deșeuri trata</w:t>
            </w:r>
            <w:r>
              <w:rPr>
                <w:rFonts w:cs="Times New Roman"/>
                <w:kern w:val="0"/>
                <w:lang w:val="ro-RO"/>
              </w:rPr>
              <w:t>t</w:t>
            </w:r>
            <w:r w:rsidRPr="00344FCE">
              <w:rPr>
                <w:rFonts w:cs="Times New Roman"/>
                <w:kern w:val="0"/>
                <w:lang w:val="ro-RO"/>
              </w:rPr>
              <w:t>e și recicla</w:t>
            </w:r>
            <w:r>
              <w:rPr>
                <w:rFonts w:cs="Times New Roman"/>
                <w:kern w:val="0"/>
                <w:lang w:val="ro-RO"/>
              </w:rPr>
              <w:t>t</w:t>
            </w:r>
            <w:r w:rsidRPr="00344FCE">
              <w:rPr>
                <w:rFonts w:cs="Times New Roman"/>
                <w:kern w:val="0"/>
                <w:lang w:val="ro-RO"/>
              </w:rPr>
              <w:t>e</w:t>
            </w:r>
          </w:p>
        </w:tc>
      </w:tr>
      <w:tr w:rsidR="00670FD4" w:rsidRPr="00344FCE" w14:paraId="326C5A65" w14:textId="77777777" w:rsidTr="001925BA">
        <w:trPr>
          <w:trHeight w:val="378"/>
        </w:trPr>
        <w:tc>
          <w:tcPr>
            <w:tcW w:w="2263" w:type="dxa"/>
            <w:vMerge/>
          </w:tcPr>
          <w:p w14:paraId="1989C0DA"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val="restart"/>
          </w:tcPr>
          <w:p w14:paraId="54B8294F"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Situri contaminate și potențial contaminate</w:t>
            </w:r>
          </w:p>
        </w:tc>
        <w:tc>
          <w:tcPr>
            <w:tcW w:w="6237" w:type="dxa"/>
          </w:tcPr>
          <w:p w14:paraId="3815ABCB"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 de situri contaminate și potențial contaminate identificate</w:t>
            </w:r>
          </w:p>
        </w:tc>
      </w:tr>
      <w:tr w:rsidR="00670FD4" w:rsidRPr="00344FCE" w14:paraId="4F9873FA" w14:textId="77777777" w:rsidTr="001925BA">
        <w:trPr>
          <w:trHeight w:val="265"/>
        </w:trPr>
        <w:tc>
          <w:tcPr>
            <w:tcW w:w="2263" w:type="dxa"/>
            <w:vMerge/>
          </w:tcPr>
          <w:p w14:paraId="01D4B1C2"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57B40384"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2FF7C6F5"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 de situri remediate</w:t>
            </w:r>
          </w:p>
        </w:tc>
      </w:tr>
      <w:tr w:rsidR="00670FD4" w:rsidRPr="00344FCE" w14:paraId="3CC2C88A" w14:textId="77777777" w:rsidTr="001925BA">
        <w:tc>
          <w:tcPr>
            <w:tcW w:w="2263" w:type="dxa"/>
            <w:vMerge/>
          </w:tcPr>
          <w:p w14:paraId="26A628E5" w14:textId="77777777" w:rsidR="00670FD4" w:rsidRPr="00344FCE" w:rsidRDefault="00670FD4" w:rsidP="001925BA">
            <w:pPr>
              <w:spacing w:before="0" w:after="0"/>
              <w:ind w:firstLine="0"/>
              <w:contextualSpacing/>
              <w:jc w:val="left"/>
              <w:rPr>
                <w:rFonts w:cs="Times New Roman"/>
                <w:kern w:val="0"/>
                <w:lang w:val="ro-RO"/>
              </w:rPr>
            </w:pPr>
          </w:p>
        </w:tc>
        <w:tc>
          <w:tcPr>
            <w:tcW w:w="4536" w:type="dxa"/>
          </w:tcPr>
          <w:p w14:paraId="4F7BA252"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Calitatea apelor de îmbăiere</w:t>
            </w:r>
          </w:p>
        </w:tc>
        <w:tc>
          <w:tcPr>
            <w:tcW w:w="6237" w:type="dxa"/>
          </w:tcPr>
          <w:p w14:paraId="550F086B"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 xml:space="preserve">Numărul de plaje cu stare excelentă conform Directivei Ape de Îmbăiere </w:t>
            </w:r>
          </w:p>
        </w:tc>
      </w:tr>
      <w:tr w:rsidR="00670FD4" w:rsidRPr="00344FCE" w14:paraId="1C72A196" w14:textId="77777777" w:rsidTr="001925BA">
        <w:tc>
          <w:tcPr>
            <w:tcW w:w="2263" w:type="dxa"/>
            <w:vMerge/>
          </w:tcPr>
          <w:p w14:paraId="17941D8B" w14:textId="77777777" w:rsidR="00670FD4" w:rsidRPr="00344FCE" w:rsidRDefault="00670FD4" w:rsidP="001925BA">
            <w:pPr>
              <w:spacing w:before="0" w:after="0"/>
              <w:ind w:firstLine="0"/>
              <w:contextualSpacing/>
              <w:jc w:val="left"/>
              <w:rPr>
                <w:rFonts w:cs="Times New Roman"/>
                <w:kern w:val="0"/>
                <w:lang w:val="ro-RO"/>
              </w:rPr>
            </w:pPr>
          </w:p>
        </w:tc>
        <w:tc>
          <w:tcPr>
            <w:tcW w:w="4536" w:type="dxa"/>
          </w:tcPr>
          <w:p w14:paraId="283E14F2"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Calitatea apelor subterane</w:t>
            </w:r>
          </w:p>
        </w:tc>
        <w:tc>
          <w:tcPr>
            <w:tcW w:w="6237" w:type="dxa"/>
          </w:tcPr>
          <w:p w14:paraId="70B64B46"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Numărul de corpuri de apă subterană aflată în stare chimică proastă</w:t>
            </w:r>
          </w:p>
        </w:tc>
      </w:tr>
      <w:tr w:rsidR="00670FD4" w:rsidRPr="00344FCE" w14:paraId="46F428E5" w14:textId="77777777" w:rsidTr="001925BA">
        <w:trPr>
          <w:trHeight w:val="356"/>
        </w:trPr>
        <w:tc>
          <w:tcPr>
            <w:tcW w:w="2263" w:type="dxa"/>
            <w:vMerge/>
          </w:tcPr>
          <w:p w14:paraId="74ADB35B"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val="restart"/>
          </w:tcPr>
          <w:p w14:paraId="46C6AF48"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Introducerea de nutrienți în mediul acvatic</w:t>
            </w:r>
          </w:p>
        </w:tc>
        <w:tc>
          <w:tcPr>
            <w:tcW w:w="6237" w:type="dxa"/>
          </w:tcPr>
          <w:p w14:paraId="4F3F357F"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Cantitate de azot și fosfor introdusă în mediul acvatic (ape costiere, tranzitorii și ape interioare) din surse punctiforme</w:t>
            </w:r>
          </w:p>
        </w:tc>
      </w:tr>
      <w:tr w:rsidR="00670FD4" w:rsidRPr="00344FCE" w14:paraId="1F99E8F4" w14:textId="77777777" w:rsidTr="001925BA">
        <w:trPr>
          <w:trHeight w:val="356"/>
        </w:trPr>
        <w:tc>
          <w:tcPr>
            <w:tcW w:w="2263" w:type="dxa"/>
            <w:vMerge/>
          </w:tcPr>
          <w:p w14:paraId="1FD1B847"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4B974286"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04DFFA81"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Cantitate de azot și fosfor introdusă în mediul acvatic (ape costiere, tranzitorii și ape interioare) din surse difuze</w:t>
            </w:r>
          </w:p>
        </w:tc>
      </w:tr>
      <w:tr w:rsidR="00670FD4" w:rsidRPr="00344FCE" w14:paraId="474168F0" w14:textId="77777777" w:rsidTr="001925BA">
        <w:trPr>
          <w:trHeight w:val="144"/>
        </w:trPr>
        <w:tc>
          <w:tcPr>
            <w:tcW w:w="2263" w:type="dxa"/>
            <w:vMerge/>
          </w:tcPr>
          <w:p w14:paraId="6E8A940E"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val="restart"/>
          </w:tcPr>
          <w:p w14:paraId="555EDEDC" w14:textId="77777777" w:rsidR="00670FD4" w:rsidRPr="00344FCE" w:rsidRDefault="00670FD4" w:rsidP="001925BA">
            <w:pPr>
              <w:spacing w:before="0" w:after="0"/>
              <w:ind w:firstLine="0"/>
              <w:contextualSpacing/>
              <w:jc w:val="left"/>
              <w:rPr>
                <w:rFonts w:cs="Times New Roman"/>
                <w:kern w:val="0"/>
                <w:lang w:val="ro-RO"/>
              </w:rPr>
            </w:pPr>
          </w:p>
          <w:p w14:paraId="33988ED7" w14:textId="77777777" w:rsidR="00670FD4" w:rsidRPr="00344FCE" w:rsidRDefault="00670FD4" w:rsidP="001925BA">
            <w:pPr>
              <w:spacing w:before="0" w:after="0"/>
              <w:ind w:firstLine="0"/>
              <w:contextualSpacing/>
              <w:jc w:val="left"/>
              <w:rPr>
                <w:rFonts w:cs="Times New Roman"/>
                <w:kern w:val="0"/>
                <w:lang w:val="ro-RO"/>
              </w:rPr>
            </w:pPr>
          </w:p>
          <w:p w14:paraId="7EAC9DAD"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Eutrofizarea apelor de suprafață</w:t>
            </w:r>
          </w:p>
        </w:tc>
        <w:tc>
          <w:tcPr>
            <w:tcW w:w="6237" w:type="dxa"/>
          </w:tcPr>
          <w:p w14:paraId="3F29F24E"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Concentrația nutrienților în apele interioare</w:t>
            </w:r>
          </w:p>
        </w:tc>
      </w:tr>
      <w:tr w:rsidR="00670FD4" w:rsidRPr="00344FCE" w14:paraId="14641117" w14:textId="77777777" w:rsidTr="001925BA">
        <w:trPr>
          <w:trHeight w:val="144"/>
        </w:trPr>
        <w:tc>
          <w:tcPr>
            <w:tcW w:w="2263" w:type="dxa"/>
            <w:vMerge/>
          </w:tcPr>
          <w:p w14:paraId="3363876B"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0C4EF19C"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4B97AA10"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Concentrația de materie organică în apele interioare</w:t>
            </w:r>
          </w:p>
        </w:tc>
      </w:tr>
      <w:tr w:rsidR="00670FD4" w:rsidRPr="00344FCE" w14:paraId="0871270E" w14:textId="77777777" w:rsidTr="001925BA">
        <w:trPr>
          <w:trHeight w:val="144"/>
        </w:trPr>
        <w:tc>
          <w:tcPr>
            <w:tcW w:w="2263" w:type="dxa"/>
            <w:vMerge/>
          </w:tcPr>
          <w:p w14:paraId="5DF05AB2"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68D45978"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357945A2"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Conținutul de oxigen dizolvat în apele interioare</w:t>
            </w:r>
          </w:p>
        </w:tc>
      </w:tr>
      <w:tr w:rsidR="00670FD4" w:rsidRPr="00344FCE" w14:paraId="092780AE" w14:textId="77777777" w:rsidTr="001925BA">
        <w:trPr>
          <w:trHeight w:val="144"/>
        </w:trPr>
        <w:tc>
          <w:tcPr>
            <w:tcW w:w="2263" w:type="dxa"/>
            <w:vMerge/>
          </w:tcPr>
          <w:p w14:paraId="77F3F755"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6564815F"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5BC3FF57"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Turbiditatea și suspensii totale în apele interioare</w:t>
            </w:r>
          </w:p>
        </w:tc>
      </w:tr>
      <w:tr w:rsidR="00670FD4" w:rsidRPr="00344FCE" w14:paraId="29B5E020" w14:textId="77777777" w:rsidTr="001925BA">
        <w:trPr>
          <w:trHeight w:val="267"/>
        </w:trPr>
        <w:tc>
          <w:tcPr>
            <w:tcW w:w="2263" w:type="dxa"/>
            <w:vMerge/>
          </w:tcPr>
          <w:p w14:paraId="4B803F0B"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val="restart"/>
          </w:tcPr>
          <w:p w14:paraId="11FF6CCE" w14:textId="77777777" w:rsidR="00670FD4" w:rsidRPr="00344FCE" w:rsidRDefault="00670FD4" w:rsidP="001925BA">
            <w:pPr>
              <w:spacing w:before="0" w:after="0"/>
              <w:ind w:firstLine="0"/>
              <w:contextualSpacing/>
              <w:jc w:val="left"/>
              <w:rPr>
                <w:rFonts w:cs="Times New Roman"/>
                <w:kern w:val="0"/>
                <w:lang w:val="ro-RO"/>
              </w:rPr>
            </w:pPr>
          </w:p>
          <w:p w14:paraId="0EFDCC38" w14:textId="77777777" w:rsidR="00670FD4" w:rsidRPr="00344FCE" w:rsidRDefault="00670FD4" w:rsidP="001925BA">
            <w:pPr>
              <w:spacing w:before="0" w:after="0"/>
              <w:ind w:firstLine="0"/>
              <w:contextualSpacing/>
              <w:jc w:val="left"/>
              <w:rPr>
                <w:rFonts w:cs="Times New Roman"/>
                <w:kern w:val="0"/>
                <w:lang w:val="ro-RO"/>
              </w:rPr>
            </w:pPr>
          </w:p>
          <w:p w14:paraId="3990285B" w14:textId="77777777" w:rsidR="00670FD4" w:rsidRPr="00344FCE" w:rsidRDefault="00670FD4" w:rsidP="001925BA">
            <w:pPr>
              <w:spacing w:before="0" w:after="0"/>
              <w:ind w:firstLine="0"/>
              <w:contextualSpacing/>
              <w:jc w:val="left"/>
              <w:rPr>
                <w:rFonts w:cs="Times New Roman"/>
                <w:kern w:val="0"/>
                <w:lang w:val="ro-RO"/>
              </w:rPr>
            </w:pPr>
          </w:p>
          <w:p w14:paraId="6A6904BF" w14:textId="77777777" w:rsidR="00670FD4" w:rsidRPr="00344FCE" w:rsidRDefault="00670FD4" w:rsidP="001925BA">
            <w:pPr>
              <w:spacing w:before="0" w:after="0"/>
              <w:ind w:firstLine="0"/>
              <w:contextualSpacing/>
              <w:jc w:val="left"/>
              <w:rPr>
                <w:rFonts w:cs="Times New Roman"/>
                <w:kern w:val="0"/>
                <w:lang w:val="ro-RO"/>
              </w:rPr>
            </w:pPr>
          </w:p>
          <w:p w14:paraId="59E7FD7C" w14:textId="77777777" w:rsidR="00670FD4" w:rsidRPr="00344FCE" w:rsidRDefault="00670FD4" w:rsidP="001925BA">
            <w:pPr>
              <w:spacing w:before="0" w:after="0"/>
              <w:ind w:firstLine="0"/>
              <w:contextualSpacing/>
              <w:jc w:val="left"/>
              <w:rPr>
                <w:rFonts w:cs="Times New Roman"/>
                <w:kern w:val="0"/>
                <w:lang w:val="ro-RO"/>
              </w:rPr>
            </w:pPr>
          </w:p>
          <w:p w14:paraId="33F45FAE" w14:textId="77777777" w:rsidR="00670FD4" w:rsidRPr="00344FCE" w:rsidRDefault="00670FD4" w:rsidP="001925BA">
            <w:pPr>
              <w:spacing w:before="0" w:after="0"/>
              <w:ind w:firstLine="0"/>
              <w:contextualSpacing/>
              <w:jc w:val="left"/>
              <w:rPr>
                <w:rFonts w:cs="Times New Roman"/>
                <w:kern w:val="0"/>
                <w:lang w:val="ro-RO"/>
              </w:rPr>
            </w:pPr>
          </w:p>
          <w:p w14:paraId="410763B0"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Poluare cu substanțe periculoase</w:t>
            </w:r>
          </w:p>
        </w:tc>
        <w:tc>
          <w:tcPr>
            <w:tcW w:w="6237" w:type="dxa"/>
          </w:tcPr>
          <w:p w14:paraId="538829BB"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Evacuări de substanțe periculoase din Dunăre în apele costiere și tranzitorii</w:t>
            </w:r>
          </w:p>
        </w:tc>
      </w:tr>
      <w:tr w:rsidR="00670FD4" w:rsidRPr="00344FCE" w14:paraId="4EF8B007" w14:textId="77777777" w:rsidTr="001925BA">
        <w:trPr>
          <w:trHeight w:val="267"/>
        </w:trPr>
        <w:tc>
          <w:tcPr>
            <w:tcW w:w="2263" w:type="dxa"/>
            <w:vMerge/>
          </w:tcPr>
          <w:p w14:paraId="4163E266"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2FF1346E"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53751D7A"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Evacuări de substanțe periculoase în mediul acvatic din surse punctiforme</w:t>
            </w:r>
          </w:p>
        </w:tc>
      </w:tr>
      <w:tr w:rsidR="00670FD4" w:rsidRPr="00344FCE" w14:paraId="26AC393B" w14:textId="77777777" w:rsidTr="001925BA">
        <w:trPr>
          <w:trHeight w:val="267"/>
        </w:trPr>
        <w:tc>
          <w:tcPr>
            <w:tcW w:w="2263" w:type="dxa"/>
            <w:vMerge/>
          </w:tcPr>
          <w:p w14:paraId="3585ED29"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6DE817F5"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7BEBF894"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Valorile modelate ale evacuărilor de substanțe periculoase din surse difuze</w:t>
            </w:r>
          </w:p>
        </w:tc>
      </w:tr>
      <w:tr w:rsidR="00670FD4" w:rsidRPr="00344FCE" w14:paraId="1A9D81A5" w14:textId="77777777" w:rsidTr="001925BA">
        <w:trPr>
          <w:trHeight w:val="108"/>
        </w:trPr>
        <w:tc>
          <w:tcPr>
            <w:tcW w:w="2263" w:type="dxa"/>
            <w:vMerge/>
          </w:tcPr>
          <w:p w14:paraId="381C62D4"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3408230D"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373580DD"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Concentrații ale substanțelor periculoase în apele costiere, tranzitorii și marine</w:t>
            </w:r>
          </w:p>
        </w:tc>
      </w:tr>
      <w:tr w:rsidR="00670FD4" w:rsidRPr="00344FCE" w14:paraId="140318C3" w14:textId="77777777" w:rsidTr="001925BA">
        <w:trPr>
          <w:trHeight w:val="108"/>
        </w:trPr>
        <w:tc>
          <w:tcPr>
            <w:tcW w:w="2263" w:type="dxa"/>
            <w:vMerge/>
          </w:tcPr>
          <w:p w14:paraId="278344E0"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71F6061C"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06555DFB"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 xml:space="preserve">Concentrații ale substanțelor periculoase în sedimentele din mediul marin </w:t>
            </w:r>
          </w:p>
        </w:tc>
      </w:tr>
      <w:tr w:rsidR="00670FD4" w:rsidRPr="00344FCE" w14:paraId="4845283E" w14:textId="77777777" w:rsidTr="001925BA">
        <w:trPr>
          <w:trHeight w:val="108"/>
        </w:trPr>
        <w:tc>
          <w:tcPr>
            <w:tcW w:w="2263" w:type="dxa"/>
            <w:vMerge/>
          </w:tcPr>
          <w:p w14:paraId="55D9BB9E"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1CFF80E1"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11000179"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Concentrații ale substanțelor periculoase în apele interioare (Dunăre, lacuri)</w:t>
            </w:r>
          </w:p>
        </w:tc>
      </w:tr>
      <w:tr w:rsidR="00670FD4" w:rsidRPr="00344FCE" w14:paraId="600ABA22" w14:textId="77777777" w:rsidTr="001925BA">
        <w:trPr>
          <w:trHeight w:val="144"/>
        </w:trPr>
        <w:tc>
          <w:tcPr>
            <w:tcW w:w="2263" w:type="dxa"/>
            <w:vMerge/>
          </w:tcPr>
          <w:p w14:paraId="2025AF96"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60CDD7E5"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53E05431"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Concentrații ale substanțelor periculoase în sedimentele din mediul dulcicol</w:t>
            </w:r>
          </w:p>
        </w:tc>
      </w:tr>
      <w:tr w:rsidR="00670FD4" w:rsidRPr="00344FCE" w14:paraId="4C5A0FBA" w14:textId="77777777" w:rsidTr="001925BA">
        <w:trPr>
          <w:trHeight w:val="144"/>
        </w:trPr>
        <w:tc>
          <w:tcPr>
            <w:tcW w:w="2263" w:type="dxa"/>
            <w:vMerge/>
          </w:tcPr>
          <w:p w14:paraId="16939E7E"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38341014"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4059B3F8"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Concentrații ale substanțelor periculoase în pești (specii comerciale) și fructe de mare din mediul marin</w:t>
            </w:r>
          </w:p>
        </w:tc>
      </w:tr>
      <w:tr w:rsidR="00670FD4" w:rsidRPr="00344FCE" w14:paraId="15D33C70" w14:textId="77777777" w:rsidTr="001925BA">
        <w:trPr>
          <w:trHeight w:val="144"/>
        </w:trPr>
        <w:tc>
          <w:tcPr>
            <w:tcW w:w="2263" w:type="dxa"/>
            <w:vMerge/>
          </w:tcPr>
          <w:p w14:paraId="361A3C38"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27850E88"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368B373F"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Concentrații ale substanțelor periculoase în soluri</w:t>
            </w:r>
          </w:p>
        </w:tc>
      </w:tr>
      <w:tr w:rsidR="00670FD4" w:rsidRPr="00344FCE" w14:paraId="22318933" w14:textId="77777777" w:rsidTr="001925BA">
        <w:trPr>
          <w:trHeight w:val="1793"/>
        </w:trPr>
        <w:tc>
          <w:tcPr>
            <w:tcW w:w="2263" w:type="dxa"/>
            <w:vMerge/>
          </w:tcPr>
          <w:p w14:paraId="63C25247"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val="restart"/>
          </w:tcPr>
          <w:p w14:paraId="30DB5379" w14:textId="77777777" w:rsidR="00670FD4" w:rsidRPr="00344FCE" w:rsidRDefault="00670FD4" w:rsidP="001925BA">
            <w:pPr>
              <w:spacing w:before="0" w:after="0"/>
              <w:ind w:firstLine="0"/>
              <w:contextualSpacing/>
              <w:jc w:val="left"/>
              <w:rPr>
                <w:rFonts w:cs="Times New Roman"/>
                <w:kern w:val="0"/>
                <w:lang w:val="ro-RO"/>
              </w:rPr>
            </w:pPr>
          </w:p>
          <w:p w14:paraId="691E0F16" w14:textId="77777777" w:rsidR="00670FD4" w:rsidRPr="00344FCE" w:rsidRDefault="00670FD4" w:rsidP="001925BA">
            <w:pPr>
              <w:spacing w:before="0" w:after="0"/>
              <w:contextualSpacing/>
              <w:jc w:val="left"/>
              <w:rPr>
                <w:rFonts w:cs="Times New Roman"/>
                <w:kern w:val="0"/>
                <w:lang w:val="ro-RO"/>
              </w:rPr>
            </w:pPr>
            <w:r w:rsidRPr="00344FCE">
              <w:rPr>
                <w:rFonts w:cs="Times New Roman"/>
                <w:kern w:val="0"/>
                <w:lang w:val="ro-RO"/>
              </w:rPr>
              <w:t xml:space="preserve">Calitatea aerului </w:t>
            </w:r>
          </w:p>
        </w:tc>
        <w:tc>
          <w:tcPr>
            <w:tcW w:w="6237" w:type="dxa"/>
          </w:tcPr>
          <w:p w14:paraId="4135BFCB" w14:textId="77777777" w:rsidR="00670FD4" w:rsidRDefault="00670FD4" w:rsidP="001925BA">
            <w:pPr>
              <w:spacing w:before="0" w:after="0"/>
              <w:ind w:firstLine="0"/>
              <w:contextualSpacing/>
              <w:jc w:val="left"/>
              <w:rPr>
                <w:rFonts w:cs="Times New Roman"/>
                <w:kern w:val="0"/>
                <w:lang w:val="ro-RO"/>
              </w:rPr>
            </w:pPr>
            <w:r w:rsidRPr="00344FCE">
              <w:rPr>
                <w:rFonts w:cs="Times New Roman"/>
                <w:kern w:val="0"/>
                <w:lang w:val="ro-RO"/>
              </w:rPr>
              <w:t>Concentrațiile poluanților atmosferici (valori orare, la 8 ore, zilnice)</w:t>
            </w:r>
          </w:p>
          <w:p w14:paraId="460BB1CD" w14:textId="77777777" w:rsidR="00670FD4" w:rsidRDefault="00670FD4" w:rsidP="001925BA">
            <w:pPr>
              <w:rPr>
                <w:rFonts w:cs="Times New Roman"/>
                <w:kern w:val="0"/>
                <w:lang w:val="ro-RO"/>
              </w:rPr>
            </w:pPr>
          </w:p>
          <w:p w14:paraId="49B0E442" w14:textId="77777777" w:rsidR="00670FD4" w:rsidRPr="0084413B" w:rsidRDefault="00670FD4" w:rsidP="001925BA">
            <w:pPr>
              <w:rPr>
                <w:rFonts w:cs="Times New Roman"/>
                <w:lang w:val="ro-RO"/>
              </w:rPr>
            </w:pPr>
          </w:p>
        </w:tc>
      </w:tr>
      <w:tr w:rsidR="00670FD4" w:rsidRPr="00344FCE" w14:paraId="3CD6B1E5" w14:textId="77777777" w:rsidTr="001925BA">
        <w:tc>
          <w:tcPr>
            <w:tcW w:w="2263" w:type="dxa"/>
            <w:vMerge/>
          </w:tcPr>
          <w:p w14:paraId="61693F78"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1DB4C58C"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3B0B555D"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Modele de dispersie a poluanților atmosferici</w:t>
            </w:r>
          </w:p>
        </w:tc>
      </w:tr>
      <w:tr w:rsidR="00670FD4" w:rsidRPr="00344FCE" w14:paraId="512D961D" w14:textId="77777777" w:rsidTr="001925BA">
        <w:trPr>
          <w:trHeight w:val="275"/>
        </w:trPr>
        <w:tc>
          <w:tcPr>
            <w:tcW w:w="2263" w:type="dxa"/>
            <w:vMerge/>
          </w:tcPr>
          <w:p w14:paraId="13736141"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val="restart"/>
          </w:tcPr>
          <w:p w14:paraId="4C66C3E5"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Creșterea nivelului mării și condiții meteo extreme</w:t>
            </w:r>
          </w:p>
        </w:tc>
        <w:tc>
          <w:tcPr>
            <w:tcW w:w="6237" w:type="dxa"/>
          </w:tcPr>
          <w:p w14:paraId="1D75F465"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Numărul de zile cu furtuni puternice</w:t>
            </w:r>
          </w:p>
        </w:tc>
      </w:tr>
      <w:tr w:rsidR="00670FD4" w:rsidRPr="00344FCE" w14:paraId="3DD62570" w14:textId="77777777" w:rsidTr="001925BA">
        <w:trPr>
          <w:trHeight w:val="253"/>
        </w:trPr>
        <w:tc>
          <w:tcPr>
            <w:tcW w:w="2263" w:type="dxa"/>
            <w:vMerge/>
          </w:tcPr>
          <w:p w14:paraId="5CE4C50E"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4F6880DA"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77241212"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Nivelul mării</w:t>
            </w:r>
          </w:p>
        </w:tc>
      </w:tr>
      <w:tr w:rsidR="00670FD4" w:rsidRPr="00344FCE" w14:paraId="0806B410" w14:textId="77777777" w:rsidTr="001925BA">
        <w:trPr>
          <w:trHeight w:val="257"/>
        </w:trPr>
        <w:tc>
          <w:tcPr>
            <w:tcW w:w="2263" w:type="dxa"/>
            <w:vMerge/>
          </w:tcPr>
          <w:p w14:paraId="5B671EEA"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1E19E00F"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61B56C40"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Lungimea coastei protejate</w:t>
            </w:r>
          </w:p>
        </w:tc>
      </w:tr>
      <w:tr w:rsidR="00670FD4" w:rsidRPr="00344FCE" w14:paraId="7C6F6598" w14:textId="77777777" w:rsidTr="001925BA">
        <w:trPr>
          <w:trHeight w:val="144"/>
        </w:trPr>
        <w:tc>
          <w:tcPr>
            <w:tcW w:w="2263" w:type="dxa"/>
            <w:vMerge/>
          </w:tcPr>
          <w:p w14:paraId="04367101"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val="restart"/>
          </w:tcPr>
          <w:p w14:paraId="3799E6C4" w14:textId="77777777" w:rsidR="00670FD4" w:rsidRPr="00344FCE" w:rsidRDefault="00670FD4" w:rsidP="001925BA">
            <w:pPr>
              <w:spacing w:before="0" w:after="0"/>
              <w:ind w:firstLine="0"/>
              <w:contextualSpacing/>
              <w:jc w:val="left"/>
              <w:rPr>
                <w:rFonts w:cs="Times New Roman"/>
                <w:kern w:val="0"/>
                <w:lang w:val="ro-RO"/>
              </w:rPr>
            </w:pPr>
          </w:p>
          <w:p w14:paraId="2636B7E9"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lastRenderedPageBreak/>
              <w:t>Eroziune costieră și acumulare</w:t>
            </w:r>
          </w:p>
        </w:tc>
        <w:tc>
          <w:tcPr>
            <w:tcW w:w="6237" w:type="dxa"/>
          </w:tcPr>
          <w:p w14:paraId="1C3A1CCB"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lastRenderedPageBreak/>
              <w:t>Lungimea țărmului dinamic</w:t>
            </w:r>
          </w:p>
        </w:tc>
      </w:tr>
      <w:tr w:rsidR="00670FD4" w:rsidRPr="00344FCE" w14:paraId="53C99CE6" w14:textId="77777777" w:rsidTr="001925BA">
        <w:trPr>
          <w:trHeight w:val="281"/>
        </w:trPr>
        <w:tc>
          <w:tcPr>
            <w:tcW w:w="2263" w:type="dxa"/>
            <w:vMerge/>
          </w:tcPr>
          <w:p w14:paraId="58996DDB"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11184B4B"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6C0D42D4"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 xml:space="preserve">Suprafața de uscat pierdută / erodată </w:t>
            </w:r>
            <w:r w:rsidRPr="00344FCE">
              <w:rPr>
                <w:rFonts w:cs="Times New Roman"/>
                <w:i/>
                <w:kern w:val="0"/>
                <w:lang w:val="ro-RO"/>
              </w:rPr>
              <w:t>per</w:t>
            </w:r>
            <w:r w:rsidRPr="00344FCE">
              <w:rPr>
                <w:rFonts w:cs="Times New Roman"/>
                <w:kern w:val="0"/>
                <w:lang w:val="ro-RO"/>
              </w:rPr>
              <w:t xml:space="preserve"> an</w:t>
            </w:r>
          </w:p>
        </w:tc>
      </w:tr>
      <w:tr w:rsidR="00670FD4" w:rsidRPr="00344FCE" w14:paraId="474C4011" w14:textId="77777777" w:rsidTr="001925BA">
        <w:trPr>
          <w:trHeight w:val="252"/>
        </w:trPr>
        <w:tc>
          <w:tcPr>
            <w:tcW w:w="2263" w:type="dxa"/>
            <w:vMerge/>
          </w:tcPr>
          <w:p w14:paraId="78951452"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val="restart"/>
          </w:tcPr>
          <w:p w14:paraId="0A3975CB" w14:textId="77777777" w:rsidR="00670FD4" w:rsidRPr="00344FCE" w:rsidRDefault="00670FD4" w:rsidP="001925BA">
            <w:pPr>
              <w:spacing w:before="0" w:after="0"/>
              <w:ind w:firstLine="0"/>
              <w:contextualSpacing/>
              <w:jc w:val="left"/>
              <w:rPr>
                <w:rFonts w:cs="Times New Roman"/>
                <w:kern w:val="0"/>
                <w:lang w:val="ro-RO"/>
              </w:rPr>
            </w:pPr>
          </w:p>
          <w:p w14:paraId="5968A4B7"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Valori naturale, umane și economice aflate în zone de risc</w:t>
            </w:r>
          </w:p>
        </w:tc>
        <w:tc>
          <w:tcPr>
            <w:tcW w:w="6237" w:type="dxa"/>
          </w:tcPr>
          <w:p w14:paraId="1E83F49F"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Suprafața ariilor protejate aflate în zona de risc</w:t>
            </w:r>
          </w:p>
        </w:tc>
      </w:tr>
      <w:tr w:rsidR="00670FD4" w:rsidRPr="00344FCE" w14:paraId="6BB30714" w14:textId="77777777" w:rsidTr="001925BA">
        <w:trPr>
          <w:trHeight w:val="252"/>
        </w:trPr>
        <w:tc>
          <w:tcPr>
            <w:tcW w:w="2263" w:type="dxa"/>
            <w:vMerge/>
          </w:tcPr>
          <w:p w14:paraId="5342B0E1"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4088865F"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5097D429"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Valoarea activelor economice aflate în zona de risc</w:t>
            </w:r>
          </w:p>
        </w:tc>
      </w:tr>
      <w:tr w:rsidR="00670FD4" w:rsidRPr="00344FCE" w14:paraId="6983F995" w14:textId="77777777" w:rsidTr="001925BA">
        <w:trPr>
          <w:trHeight w:val="260"/>
        </w:trPr>
        <w:tc>
          <w:tcPr>
            <w:tcW w:w="2263" w:type="dxa"/>
            <w:vMerge/>
          </w:tcPr>
          <w:p w14:paraId="4E237078"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409E7C24"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1B0D5509"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 de oameni ce locuiesc în zone de risc</w:t>
            </w:r>
          </w:p>
        </w:tc>
      </w:tr>
      <w:tr w:rsidR="00670FD4" w:rsidRPr="00344FCE" w14:paraId="024D58EE" w14:textId="77777777" w:rsidTr="001925BA">
        <w:trPr>
          <w:trHeight w:val="274"/>
        </w:trPr>
        <w:tc>
          <w:tcPr>
            <w:tcW w:w="2263" w:type="dxa"/>
            <w:vMerge w:val="restart"/>
          </w:tcPr>
          <w:p w14:paraId="070AB5A1" w14:textId="77777777" w:rsidR="00670FD4" w:rsidRPr="00344FCE" w:rsidRDefault="00670FD4" w:rsidP="001925BA">
            <w:pPr>
              <w:spacing w:before="0" w:after="0"/>
              <w:ind w:firstLine="0"/>
              <w:contextualSpacing/>
              <w:jc w:val="left"/>
              <w:rPr>
                <w:rFonts w:cs="Times New Roman"/>
                <w:kern w:val="0"/>
                <w:lang w:val="ro-RO"/>
              </w:rPr>
            </w:pPr>
          </w:p>
          <w:p w14:paraId="40E69590" w14:textId="77777777" w:rsidR="00670FD4" w:rsidRPr="00344FCE" w:rsidRDefault="00670FD4" w:rsidP="001925BA">
            <w:pPr>
              <w:spacing w:before="0" w:after="0"/>
              <w:ind w:firstLine="0"/>
              <w:contextualSpacing/>
              <w:jc w:val="left"/>
              <w:rPr>
                <w:rFonts w:cs="Times New Roman"/>
                <w:kern w:val="0"/>
                <w:lang w:val="ro-RO"/>
              </w:rPr>
            </w:pPr>
          </w:p>
          <w:p w14:paraId="6904985E" w14:textId="77777777" w:rsidR="00670FD4" w:rsidRPr="00344FCE" w:rsidRDefault="00670FD4" w:rsidP="001925BA">
            <w:pPr>
              <w:spacing w:before="0" w:after="0"/>
              <w:ind w:firstLine="0"/>
              <w:contextualSpacing/>
              <w:jc w:val="left"/>
              <w:rPr>
                <w:rFonts w:cs="Times New Roman"/>
                <w:kern w:val="0"/>
                <w:lang w:val="ro-RO"/>
              </w:rPr>
            </w:pPr>
          </w:p>
          <w:p w14:paraId="70562CEE"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Planificare spațială și dezvoltare spațială sustenabilă</w:t>
            </w:r>
          </w:p>
        </w:tc>
        <w:tc>
          <w:tcPr>
            <w:tcW w:w="4536" w:type="dxa"/>
            <w:vMerge w:val="restart"/>
          </w:tcPr>
          <w:p w14:paraId="35069E0C"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Planificare spațială a teritoriului</w:t>
            </w:r>
          </w:p>
        </w:tc>
        <w:tc>
          <w:tcPr>
            <w:tcW w:w="6237" w:type="dxa"/>
          </w:tcPr>
          <w:p w14:paraId="59EA084D"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 PATZ</w:t>
            </w:r>
          </w:p>
        </w:tc>
      </w:tr>
      <w:tr w:rsidR="00670FD4" w:rsidRPr="00344FCE" w14:paraId="08587542" w14:textId="77777777" w:rsidTr="001925BA">
        <w:trPr>
          <w:trHeight w:val="428"/>
        </w:trPr>
        <w:tc>
          <w:tcPr>
            <w:tcW w:w="2263" w:type="dxa"/>
            <w:vMerge/>
          </w:tcPr>
          <w:p w14:paraId="6C59459A"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37D0060E"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4285213A"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 PUG-uri actualizate și aprobate</w:t>
            </w:r>
          </w:p>
        </w:tc>
      </w:tr>
      <w:tr w:rsidR="00670FD4" w:rsidRPr="00344FCE" w14:paraId="6678881D" w14:textId="77777777" w:rsidTr="001925BA">
        <w:trPr>
          <w:trHeight w:val="606"/>
        </w:trPr>
        <w:tc>
          <w:tcPr>
            <w:tcW w:w="2263" w:type="dxa"/>
            <w:vMerge/>
          </w:tcPr>
          <w:p w14:paraId="44970785"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7108490A"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65E6E8A9"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 de PUZ-uri pentru zone prioritare elaborate și aprobate</w:t>
            </w:r>
          </w:p>
        </w:tc>
      </w:tr>
      <w:tr w:rsidR="00670FD4" w:rsidRPr="00344FCE" w14:paraId="2BAB29AC" w14:textId="77777777" w:rsidTr="001925BA">
        <w:trPr>
          <w:trHeight w:val="738"/>
        </w:trPr>
        <w:tc>
          <w:tcPr>
            <w:tcW w:w="2263" w:type="dxa"/>
            <w:vMerge/>
          </w:tcPr>
          <w:p w14:paraId="390AAFE1"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val="restart"/>
          </w:tcPr>
          <w:p w14:paraId="6A0A216E"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Impactul dezvoltării spațiale și al urbanizării în zona costieră</w:t>
            </w:r>
          </w:p>
        </w:tc>
        <w:tc>
          <w:tcPr>
            <w:tcW w:w="6237" w:type="dxa"/>
          </w:tcPr>
          <w:p w14:paraId="21B158DF"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Procent suprafață terenuri pentru utilizări  urbane (intravilane) raportat la total suprafață zonă costieră și UAT-uri din zona costieră</w:t>
            </w:r>
          </w:p>
        </w:tc>
      </w:tr>
      <w:tr w:rsidR="00670FD4" w:rsidRPr="00344FCE" w14:paraId="04055437" w14:textId="77777777" w:rsidTr="001925BA">
        <w:trPr>
          <w:trHeight w:val="569"/>
        </w:trPr>
        <w:tc>
          <w:tcPr>
            <w:tcW w:w="2263" w:type="dxa"/>
            <w:vMerge/>
          </w:tcPr>
          <w:p w14:paraId="606A69F9"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6D706207"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0B6D87F4"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Procent suprafață terenuri pentru utilizări  urbane (intravilane) raportat la km linie de coastă</w:t>
            </w:r>
          </w:p>
        </w:tc>
      </w:tr>
      <w:tr w:rsidR="00670FD4" w:rsidRPr="00344FCE" w14:paraId="1BEE016B" w14:textId="77777777" w:rsidTr="001925BA">
        <w:tc>
          <w:tcPr>
            <w:tcW w:w="2263" w:type="dxa"/>
            <w:vMerge/>
          </w:tcPr>
          <w:p w14:paraId="5B7C7AC6"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val="restart"/>
          </w:tcPr>
          <w:p w14:paraId="517EF1FE" w14:textId="77777777" w:rsidR="00670FD4" w:rsidRPr="00344FCE" w:rsidRDefault="00670FD4" w:rsidP="001925BA">
            <w:pPr>
              <w:spacing w:before="0" w:after="0"/>
              <w:ind w:firstLine="0"/>
              <w:contextualSpacing/>
              <w:jc w:val="left"/>
              <w:rPr>
                <w:rFonts w:cs="Times New Roman"/>
                <w:kern w:val="0"/>
                <w:lang w:val="ro-RO"/>
              </w:rPr>
            </w:pPr>
          </w:p>
          <w:p w14:paraId="0E1684FA"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Tendința dezvoltării funcțiunilor urbane (locuire, turism, spații verzi/plantate, etc.) în zona costieră</w:t>
            </w:r>
          </w:p>
        </w:tc>
        <w:tc>
          <w:tcPr>
            <w:tcW w:w="6237" w:type="dxa"/>
          </w:tcPr>
          <w:p w14:paraId="10F82D49"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Procent suprafață teren ocupat și/sau destinat pentru  funcțiunile urbane (locuire, turism, spații verzi/plantate, etc.) raportat la total suprafață zonă costieră și UAT-uri din zona costieră</w:t>
            </w:r>
          </w:p>
        </w:tc>
      </w:tr>
      <w:tr w:rsidR="00670FD4" w:rsidRPr="00344FCE" w14:paraId="3CDC16A7" w14:textId="77777777" w:rsidTr="001925BA">
        <w:tc>
          <w:tcPr>
            <w:tcW w:w="2263" w:type="dxa"/>
            <w:vMerge/>
          </w:tcPr>
          <w:p w14:paraId="14B92CAE"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1EF3DBA4"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0C3DE08C"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Procent suprafață teren ocupat și/sau destinat pentru  funcțiunile urbane (locuire, turism, spații verzi/plantate, etc.) raportat la km linie de coastă</w:t>
            </w:r>
          </w:p>
        </w:tc>
      </w:tr>
      <w:tr w:rsidR="00670FD4" w:rsidRPr="00344FCE" w14:paraId="3F3DFEDE" w14:textId="77777777" w:rsidTr="001925BA">
        <w:tc>
          <w:tcPr>
            <w:tcW w:w="2263" w:type="dxa"/>
            <w:vMerge/>
          </w:tcPr>
          <w:p w14:paraId="625DDC8F"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45E33643"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38A579CA"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Suprafață teren ocupat și/sau destinat pentru  funcțiunile urbane (locuire, turism, spații verzi/plantate, etc.) raportat la izocronele privind accesul la tărmul mării</w:t>
            </w:r>
          </w:p>
        </w:tc>
      </w:tr>
      <w:tr w:rsidR="00670FD4" w:rsidRPr="00344FCE" w14:paraId="0D09034E" w14:textId="77777777" w:rsidTr="001925BA">
        <w:trPr>
          <w:trHeight w:val="416"/>
        </w:trPr>
        <w:tc>
          <w:tcPr>
            <w:tcW w:w="2263" w:type="dxa"/>
            <w:vMerge w:val="restart"/>
          </w:tcPr>
          <w:p w14:paraId="4867653D"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Dezvoltarea durabilă a zonei costiere</w:t>
            </w:r>
          </w:p>
          <w:p w14:paraId="41A39FCA" w14:textId="77777777" w:rsidR="00670FD4" w:rsidRPr="00344FCE" w:rsidRDefault="00670FD4" w:rsidP="001925BA">
            <w:pPr>
              <w:spacing w:before="0" w:after="0"/>
              <w:ind w:firstLine="0"/>
              <w:contextualSpacing/>
              <w:jc w:val="left"/>
              <w:rPr>
                <w:rFonts w:cs="Times New Roman"/>
                <w:kern w:val="0"/>
                <w:lang w:val="ro-RO"/>
              </w:rPr>
            </w:pPr>
          </w:p>
          <w:p w14:paraId="3D35DEED" w14:textId="77777777" w:rsidR="00670FD4" w:rsidRPr="00344FCE" w:rsidRDefault="00670FD4" w:rsidP="001925BA">
            <w:pPr>
              <w:spacing w:before="0" w:after="0"/>
              <w:ind w:firstLine="0"/>
              <w:contextualSpacing/>
              <w:jc w:val="left"/>
              <w:rPr>
                <w:rFonts w:cs="Times New Roman"/>
                <w:kern w:val="0"/>
                <w:lang w:val="ro-RO"/>
              </w:rPr>
            </w:pPr>
          </w:p>
          <w:p w14:paraId="56B5FC11" w14:textId="77777777" w:rsidR="00670FD4" w:rsidRPr="00344FCE" w:rsidRDefault="00670FD4" w:rsidP="001925BA">
            <w:pPr>
              <w:spacing w:before="0" w:after="0"/>
              <w:ind w:firstLine="0"/>
              <w:contextualSpacing/>
              <w:jc w:val="left"/>
              <w:rPr>
                <w:rFonts w:cs="Times New Roman"/>
                <w:kern w:val="0"/>
                <w:lang w:val="ro-RO"/>
              </w:rPr>
            </w:pPr>
          </w:p>
          <w:p w14:paraId="1E940D71" w14:textId="77777777" w:rsidR="00670FD4" w:rsidRPr="00344FCE" w:rsidRDefault="00670FD4" w:rsidP="001925BA">
            <w:pPr>
              <w:spacing w:before="0" w:after="0"/>
              <w:ind w:firstLine="0"/>
              <w:contextualSpacing/>
              <w:jc w:val="left"/>
              <w:rPr>
                <w:rFonts w:cs="Times New Roman"/>
                <w:kern w:val="0"/>
                <w:lang w:val="ro-RO"/>
              </w:rPr>
            </w:pPr>
          </w:p>
          <w:p w14:paraId="30D465CB" w14:textId="77777777" w:rsidR="00670FD4" w:rsidRPr="00344FCE" w:rsidRDefault="00670FD4" w:rsidP="001925BA">
            <w:pPr>
              <w:spacing w:before="0" w:after="0"/>
              <w:ind w:firstLine="0"/>
              <w:contextualSpacing/>
              <w:jc w:val="left"/>
              <w:rPr>
                <w:rFonts w:cs="Times New Roman"/>
                <w:kern w:val="0"/>
                <w:lang w:val="ro-RO"/>
              </w:rPr>
            </w:pPr>
          </w:p>
          <w:p w14:paraId="5F51E9FF" w14:textId="77777777" w:rsidR="00670FD4" w:rsidRPr="00344FCE" w:rsidRDefault="00670FD4" w:rsidP="001925BA">
            <w:pPr>
              <w:spacing w:before="0" w:after="0"/>
              <w:ind w:firstLine="0"/>
              <w:contextualSpacing/>
              <w:jc w:val="left"/>
              <w:rPr>
                <w:rFonts w:cs="Times New Roman"/>
                <w:kern w:val="0"/>
                <w:lang w:val="ro-RO"/>
              </w:rPr>
            </w:pPr>
          </w:p>
          <w:p w14:paraId="648ABFE4" w14:textId="77777777" w:rsidR="00670FD4" w:rsidRPr="00344FCE" w:rsidRDefault="00670FD4" w:rsidP="001925BA">
            <w:pPr>
              <w:spacing w:before="0" w:after="0"/>
              <w:ind w:firstLine="0"/>
              <w:contextualSpacing/>
              <w:jc w:val="left"/>
              <w:rPr>
                <w:rFonts w:cs="Times New Roman"/>
                <w:kern w:val="0"/>
                <w:lang w:val="ro-RO"/>
              </w:rPr>
            </w:pPr>
          </w:p>
          <w:p w14:paraId="39F06904" w14:textId="77777777" w:rsidR="00670FD4" w:rsidRPr="00344FCE" w:rsidRDefault="00670FD4" w:rsidP="001925BA">
            <w:pPr>
              <w:spacing w:before="0" w:after="0"/>
              <w:ind w:firstLine="0"/>
              <w:contextualSpacing/>
              <w:jc w:val="left"/>
              <w:rPr>
                <w:rFonts w:cs="Times New Roman"/>
                <w:kern w:val="0"/>
                <w:lang w:val="ro-RO"/>
              </w:rPr>
            </w:pPr>
          </w:p>
          <w:p w14:paraId="56F99A77" w14:textId="77777777" w:rsidR="00670FD4" w:rsidRPr="00344FCE" w:rsidRDefault="00670FD4" w:rsidP="001925BA">
            <w:pPr>
              <w:spacing w:before="0" w:after="0"/>
              <w:ind w:firstLine="0"/>
              <w:contextualSpacing/>
              <w:jc w:val="left"/>
              <w:rPr>
                <w:rFonts w:cs="Times New Roman"/>
                <w:kern w:val="0"/>
                <w:lang w:val="ro-RO"/>
              </w:rPr>
            </w:pPr>
          </w:p>
          <w:p w14:paraId="40A7A32B" w14:textId="77777777" w:rsidR="00670FD4" w:rsidRPr="00344FCE" w:rsidRDefault="00670FD4" w:rsidP="001925BA">
            <w:pPr>
              <w:spacing w:before="0" w:after="0"/>
              <w:ind w:firstLine="0"/>
              <w:contextualSpacing/>
              <w:jc w:val="left"/>
              <w:rPr>
                <w:rFonts w:cs="Times New Roman"/>
                <w:kern w:val="0"/>
                <w:lang w:val="ro-RO"/>
              </w:rPr>
            </w:pPr>
          </w:p>
          <w:p w14:paraId="7A2B7D96" w14:textId="77777777" w:rsidR="00670FD4" w:rsidRPr="00344FCE" w:rsidRDefault="00670FD4" w:rsidP="001925BA">
            <w:pPr>
              <w:spacing w:before="0" w:after="0"/>
              <w:ind w:firstLine="0"/>
              <w:contextualSpacing/>
              <w:jc w:val="left"/>
              <w:rPr>
                <w:rFonts w:cs="Times New Roman"/>
                <w:kern w:val="0"/>
                <w:lang w:val="ro-RO"/>
              </w:rPr>
            </w:pPr>
          </w:p>
          <w:p w14:paraId="717DE2F1"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Dezvoltarea durabilă a zonei costiere</w:t>
            </w:r>
          </w:p>
        </w:tc>
        <w:tc>
          <w:tcPr>
            <w:tcW w:w="4536" w:type="dxa"/>
            <w:vMerge w:val="restart"/>
          </w:tcPr>
          <w:p w14:paraId="057836B5" w14:textId="77777777" w:rsidR="00670FD4" w:rsidRPr="00344FCE" w:rsidRDefault="00670FD4" w:rsidP="001925BA">
            <w:pPr>
              <w:spacing w:before="0" w:after="0"/>
              <w:ind w:firstLine="0"/>
              <w:contextualSpacing/>
              <w:jc w:val="left"/>
              <w:rPr>
                <w:rFonts w:cs="Times New Roman"/>
                <w:kern w:val="0"/>
                <w:lang w:val="ro-RO"/>
              </w:rPr>
            </w:pPr>
          </w:p>
          <w:p w14:paraId="6FD77AAB" w14:textId="77777777" w:rsidR="00670FD4" w:rsidRPr="00344FCE" w:rsidRDefault="00670FD4" w:rsidP="001925BA">
            <w:pPr>
              <w:spacing w:before="0" w:after="0"/>
              <w:ind w:firstLine="0"/>
              <w:contextualSpacing/>
              <w:jc w:val="left"/>
              <w:rPr>
                <w:rFonts w:cs="Times New Roman"/>
                <w:kern w:val="0"/>
                <w:lang w:val="ro-RO"/>
              </w:rPr>
            </w:pPr>
          </w:p>
          <w:p w14:paraId="3889E5D0"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lastRenderedPageBreak/>
              <w:t>Stocuri de resurse acvatice vii (pești, moluște, crustacee) și debarcări/totalul capturilor de pești în lacuri litorale și mare</w:t>
            </w:r>
          </w:p>
        </w:tc>
        <w:tc>
          <w:tcPr>
            <w:tcW w:w="6237" w:type="dxa"/>
          </w:tcPr>
          <w:p w14:paraId="1D42216D"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lastRenderedPageBreak/>
              <w:t>Starea principalelor stocuri de pește, moluște și crustacee pe specii și zone</w:t>
            </w:r>
          </w:p>
        </w:tc>
      </w:tr>
      <w:tr w:rsidR="00670FD4" w:rsidRPr="00344FCE" w14:paraId="04C4C890" w14:textId="77777777" w:rsidTr="001925BA">
        <w:trPr>
          <w:trHeight w:val="372"/>
        </w:trPr>
        <w:tc>
          <w:tcPr>
            <w:tcW w:w="2263" w:type="dxa"/>
            <w:vMerge/>
          </w:tcPr>
          <w:p w14:paraId="2DD07D5C"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32660AD7"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0FBA9A79"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Biomasa stocului reproducător și a stadiilor timpurii pe specii.</w:t>
            </w:r>
          </w:p>
        </w:tc>
      </w:tr>
      <w:tr w:rsidR="00670FD4" w:rsidRPr="00344FCE" w14:paraId="220567DB" w14:textId="77777777" w:rsidTr="001925BA">
        <w:trPr>
          <w:trHeight w:val="509"/>
        </w:trPr>
        <w:tc>
          <w:tcPr>
            <w:tcW w:w="2263" w:type="dxa"/>
            <w:vMerge/>
          </w:tcPr>
          <w:p w14:paraId="0C4EDD0F"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48834A63"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6FC98BCF"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Valoarea totală a capturilor și mortalitatea peștilor pe specii</w:t>
            </w:r>
          </w:p>
        </w:tc>
      </w:tr>
      <w:tr w:rsidR="00670FD4" w:rsidRPr="00344FCE" w14:paraId="30B2F09B" w14:textId="77777777" w:rsidTr="001925BA">
        <w:trPr>
          <w:trHeight w:val="425"/>
        </w:trPr>
        <w:tc>
          <w:tcPr>
            <w:tcW w:w="2263" w:type="dxa"/>
            <w:vMerge/>
          </w:tcPr>
          <w:p w14:paraId="446E0683"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4BFCB425"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3897C024"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Valoarea capturilor totale pe port și specii.</w:t>
            </w:r>
          </w:p>
        </w:tc>
      </w:tr>
      <w:tr w:rsidR="00670FD4" w:rsidRPr="00344FCE" w14:paraId="4FE64A13" w14:textId="77777777" w:rsidTr="001925BA">
        <w:tc>
          <w:tcPr>
            <w:tcW w:w="2263" w:type="dxa"/>
            <w:vMerge/>
          </w:tcPr>
          <w:p w14:paraId="5BC547BE" w14:textId="77777777" w:rsidR="00670FD4" w:rsidRPr="00344FCE" w:rsidRDefault="00670FD4" w:rsidP="001925BA">
            <w:pPr>
              <w:spacing w:before="0" w:after="0"/>
              <w:ind w:firstLine="0"/>
              <w:contextualSpacing/>
              <w:jc w:val="left"/>
              <w:rPr>
                <w:rFonts w:cs="Times New Roman"/>
                <w:kern w:val="0"/>
                <w:lang w:val="ro-RO"/>
              </w:rPr>
            </w:pPr>
          </w:p>
        </w:tc>
        <w:tc>
          <w:tcPr>
            <w:tcW w:w="4536" w:type="dxa"/>
          </w:tcPr>
          <w:p w14:paraId="3A5E3145"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Sustenabilitatea pescuitului</w:t>
            </w:r>
          </w:p>
        </w:tc>
        <w:tc>
          <w:tcPr>
            <w:tcW w:w="6237" w:type="dxa"/>
          </w:tcPr>
          <w:p w14:paraId="4A94F776"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Numărul de unelte de pescuit prietenoase cu mediul</w:t>
            </w:r>
          </w:p>
        </w:tc>
      </w:tr>
      <w:tr w:rsidR="00670FD4" w:rsidRPr="00344FCE" w14:paraId="710AA7D5" w14:textId="77777777" w:rsidTr="001925BA">
        <w:trPr>
          <w:trHeight w:val="492"/>
        </w:trPr>
        <w:tc>
          <w:tcPr>
            <w:tcW w:w="2263" w:type="dxa"/>
            <w:vMerge/>
          </w:tcPr>
          <w:p w14:paraId="50B49D6F"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val="restart"/>
          </w:tcPr>
          <w:p w14:paraId="3C087FB2" w14:textId="77777777" w:rsidR="00670FD4" w:rsidRPr="00344FCE" w:rsidRDefault="00670FD4" w:rsidP="001925BA">
            <w:pPr>
              <w:spacing w:before="0" w:after="0"/>
              <w:ind w:firstLine="0"/>
              <w:contextualSpacing/>
              <w:jc w:val="left"/>
              <w:rPr>
                <w:rFonts w:cs="Times New Roman"/>
                <w:kern w:val="0"/>
                <w:lang w:val="ro-RO"/>
              </w:rPr>
            </w:pPr>
          </w:p>
          <w:p w14:paraId="2D17975F" w14:textId="77777777" w:rsidR="00670FD4" w:rsidRPr="00344FCE" w:rsidRDefault="00670FD4" w:rsidP="001925BA">
            <w:pPr>
              <w:spacing w:before="0" w:after="0"/>
              <w:ind w:firstLine="0"/>
              <w:contextualSpacing/>
              <w:jc w:val="left"/>
              <w:rPr>
                <w:rFonts w:cs="Times New Roman"/>
                <w:kern w:val="0"/>
                <w:lang w:val="ro-RO"/>
              </w:rPr>
            </w:pPr>
          </w:p>
          <w:p w14:paraId="7D16EAD4" w14:textId="77777777" w:rsidR="00670FD4" w:rsidRPr="00344FCE" w:rsidRDefault="00670FD4" w:rsidP="001925BA">
            <w:pPr>
              <w:spacing w:before="0" w:after="0"/>
              <w:ind w:firstLine="0"/>
              <w:contextualSpacing/>
              <w:jc w:val="left"/>
              <w:rPr>
                <w:rFonts w:cs="Times New Roman"/>
                <w:kern w:val="0"/>
                <w:lang w:val="ro-RO"/>
              </w:rPr>
            </w:pPr>
          </w:p>
          <w:p w14:paraId="733BC69E" w14:textId="77777777" w:rsidR="00670FD4" w:rsidRPr="00344FCE" w:rsidRDefault="00670FD4" w:rsidP="001925BA">
            <w:pPr>
              <w:spacing w:before="0" w:after="0"/>
              <w:ind w:firstLine="0"/>
              <w:contextualSpacing/>
              <w:jc w:val="left"/>
              <w:rPr>
                <w:rFonts w:cs="Times New Roman"/>
                <w:kern w:val="0"/>
                <w:lang w:val="ro-RO"/>
              </w:rPr>
            </w:pPr>
          </w:p>
          <w:p w14:paraId="573F8220"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Intensitatea turismului</w:t>
            </w:r>
          </w:p>
        </w:tc>
        <w:tc>
          <w:tcPr>
            <w:tcW w:w="6237" w:type="dxa"/>
          </w:tcPr>
          <w:p w14:paraId="3A6FE0AA"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Numărul de sosiri și de înnoptări în structurile de primire turistică având funcțiuni de cazare turistică</w:t>
            </w:r>
          </w:p>
        </w:tc>
      </w:tr>
      <w:tr w:rsidR="00670FD4" w:rsidRPr="00344FCE" w14:paraId="2D95D291" w14:textId="77777777" w:rsidTr="001925BA">
        <w:trPr>
          <w:trHeight w:val="500"/>
        </w:trPr>
        <w:tc>
          <w:tcPr>
            <w:tcW w:w="2263" w:type="dxa"/>
            <w:vMerge/>
          </w:tcPr>
          <w:p w14:paraId="40D57A8F"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58CB943E"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1502F5A1"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Capacitatea de cazare turistică în funcțiune pe tipuri de structuri de primire turistică (în locuri-zile)</w:t>
            </w:r>
          </w:p>
        </w:tc>
      </w:tr>
      <w:tr w:rsidR="00670FD4" w:rsidRPr="00344FCE" w14:paraId="0E9BA18C" w14:textId="77777777" w:rsidTr="001925BA">
        <w:trPr>
          <w:trHeight w:val="665"/>
        </w:trPr>
        <w:tc>
          <w:tcPr>
            <w:tcW w:w="2263" w:type="dxa"/>
            <w:vMerge/>
          </w:tcPr>
          <w:p w14:paraId="67BBDD8A"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2D2EE14F"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7A8655EF"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Densitatea presiunii turistice la nivel teritorial (nr. de sosiri ale turiștilor/ km</w:t>
            </w:r>
            <w:r w:rsidRPr="00344FCE">
              <w:rPr>
                <w:rFonts w:cs="Times New Roman"/>
                <w:kern w:val="0"/>
                <w:vertAlign w:val="superscript"/>
                <w:lang w:val="ro-RO"/>
              </w:rPr>
              <w:t>2</w:t>
            </w:r>
            <w:r w:rsidRPr="00344FCE">
              <w:rPr>
                <w:rFonts w:cs="Times New Roman"/>
                <w:kern w:val="0"/>
                <w:lang w:val="ro-RO"/>
              </w:rPr>
              <w:t>/an)</w:t>
            </w:r>
          </w:p>
        </w:tc>
      </w:tr>
      <w:tr w:rsidR="00670FD4" w:rsidRPr="00344FCE" w14:paraId="6F84B282" w14:textId="77777777" w:rsidTr="001925BA">
        <w:trPr>
          <w:trHeight w:val="493"/>
        </w:trPr>
        <w:tc>
          <w:tcPr>
            <w:tcW w:w="2263" w:type="dxa"/>
            <w:vMerge/>
          </w:tcPr>
          <w:p w14:paraId="039124BF"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723B5F4B"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6AC3AB04"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Durata presiunii turistice (nr. de înnoptări/km</w:t>
            </w:r>
            <w:r w:rsidRPr="00344FCE">
              <w:rPr>
                <w:rFonts w:cs="Times New Roman"/>
                <w:kern w:val="0"/>
                <w:vertAlign w:val="superscript"/>
                <w:lang w:val="ro-RO"/>
              </w:rPr>
              <w:t>2</w:t>
            </w:r>
            <w:r w:rsidRPr="00344FCE">
              <w:rPr>
                <w:rFonts w:cs="Times New Roman"/>
                <w:kern w:val="0"/>
                <w:lang w:val="ro-RO"/>
              </w:rPr>
              <w:t xml:space="preserve"> /an)</w:t>
            </w:r>
          </w:p>
        </w:tc>
      </w:tr>
      <w:tr w:rsidR="00670FD4" w:rsidRPr="00344FCE" w14:paraId="1B75AB99" w14:textId="77777777" w:rsidTr="001925BA">
        <w:trPr>
          <w:trHeight w:val="553"/>
        </w:trPr>
        <w:tc>
          <w:tcPr>
            <w:tcW w:w="2263" w:type="dxa"/>
            <w:vMerge/>
          </w:tcPr>
          <w:p w14:paraId="50C1214F"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1C27A5C0"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380E6641"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Presiunea socială generată de turiști (nr. de sosiri ale turiștilor/nr. locuitori din destinație)</w:t>
            </w:r>
          </w:p>
        </w:tc>
      </w:tr>
      <w:tr w:rsidR="00670FD4" w:rsidRPr="00344FCE" w14:paraId="4860BFB9" w14:textId="77777777" w:rsidTr="001925BA">
        <w:tc>
          <w:tcPr>
            <w:tcW w:w="2263" w:type="dxa"/>
            <w:vMerge/>
          </w:tcPr>
          <w:p w14:paraId="0C44DA36"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val="restart"/>
          </w:tcPr>
          <w:p w14:paraId="487403FC" w14:textId="77777777" w:rsidR="00670FD4" w:rsidRPr="00344FCE" w:rsidRDefault="00670FD4" w:rsidP="001925BA">
            <w:pPr>
              <w:spacing w:before="0" w:after="0"/>
              <w:ind w:firstLine="0"/>
              <w:contextualSpacing/>
              <w:jc w:val="left"/>
              <w:rPr>
                <w:rFonts w:cs="Times New Roman"/>
                <w:kern w:val="0"/>
                <w:lang w:val="ro-RO"/>
              </w:rPr>
            </w:pPr>
          </w:p>
          <w:p w14:paraId="25C9C77F"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Sustenabilitatea turismului</w:t>
            </w:r>
          </w:p>
        </w:tc>
        <w:tc>
          <w:tcPr>
            <w:tcW w:w="6237" w:type="dxa"/>
          </w:tcPr>
          <w:p w14:paraId="48F70AA9"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 de plaje și porturi de agrement ce dețin distincția Blue Flag</w:t>
            </w:r>
          </w:p>
        </w:tc>
      </w:tr>
      <w:tr w:rsidR="00670FD4" w:rsidRPr="00344FCE" w14:paraId="74307D4C" w14:textId="77777777" w:rsidTr="001925BA">
        <w:tc>
          <w:tcPr>
            <w:tcW w:w="2263" w:type="dxa"/>
            <w:vMerge/>
          </w:tcPr>
          <w:p w14:paraId="42A7FD3D"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41AAEF9E"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55B74DCC"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 de operatori de turism ce dețin eticheta ecologică</w:t>
            </w:r>
          </w:p>
        </w:tc>
      </w:tr>
      <w:tr w:rsidR="00670FD4" w:rsidRPr="00344FCE" w14:paraId="2CCC69E7" w14:textId="77777777" w:rsidTr="001925BA">
        <w:trPr>
          <w:trHeight w:val="289"/>
        </w:trPr>
        <w:tc>
          <w:tcPr>
            <w:tcW w:w="2263" w:type="dxa"/>
            <w:vMerge/>
          </w:tcPr>
          <w:p w14:paraId="0343C5EC"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val="restart"/>
          </w:tcPr>
          <w:p w14:paraId="5A0CA535"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 xml:space="preserve">Agricultură sustenabilă </w:t>
            </w:r>
          </w:p>
        </w:tc>
        <w:tc>
          <w:tcPr>
            <w:tcW w:w="6237" w:type="dxa"/>
          </w:tcPr>
          <w:p w14:paraId="322ABE1F"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Procentul de teren agricol utilizat pentru agricultura ecologică</w:t>
            </w:r>
          </w:p>
        </w:tc>
      </w:tr>
      <w:tr w:rsidR="00670FD4" w:rsidRPr="00344FCE" w14:paraId="37090C0E" w14:textId="77777777" w:rsidTr="001925BA">
        <w:trPr>
          <w:trHeight w:val="457"/>
        </w:trPr>
        <w:tc>
          <w:tcPr>
            <w:tcW w:w="2263" w:type="dxa"/>
            <w:vMerge/>
          </w:tcPr>
          <w:p w14:paraId="39079710"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733B19F9"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3D606B81"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Procentul de teren  agricol utilizat intensiv</w:t>
            </w:r>
          </w:p>
        </w:tc>
      </w:tr>
      <w:tr w:rsidR="00670FD4" w:rsidRPr="00344FCE" w14:paraId="11EC487B" w14:textId="77777777" w:rsidTr="001925BA">
        <w:trPr>
          <w:trHeight w:val="276"/>
        </w:trPr>
        <w:tc>
          <w:tcPr>
            <w:tcW w:w="2263" w:type="dxa"/>
            <w:vMerge/>
          </w:tcPr>
          <w:p w14:paraId="712046E8"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val="restart"/>
          </w:tcPr>
          <w:p w14:paraId="7E4D199B"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Transport sustenabil</w:t>
            </w:r>
          </w:p>
        </w:tc>
        <w:tc>
          <w:tcPr>
            <w:tcW w:w="6237" w:type="dxa"/>
          </w:tcPr>
          <w:p w14:paraId="6EDC3BBA"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Procentul de vehicule ce folosesc surse alternative de energie</w:t>
            </w:r>
          </w:p>
        </w:tc>
      </w:tr>
      <w:tr w:rsidR="00670FD4" w:rsidRPr="00344FCE" w14:paraId="7837ED8D" w14:textId="77777777" w:rsidTr="001925BA">
        <w:trPr>
          <w:trHeight w:val="276"/>
        </w:trPr>
        <w:tc>
          <w:tcPr>
            <w:tcW w:w="2263" w:type="dxa"/>
            <w:vMerge/>
          </w:tcPr>
          <w:p w14:paraId="30A55E8B"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5328B564"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5BC38E53"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Procentul de ambarcațiuni ce folosesc surse alternative de energie</w:t>
            </w:r>
          </w:p>
        </w:tc>
      </w:tr>
      <w:tr w:rsidR="00670FD4" w:rsidRPr="00344FCE" w14:paraId="21D2796C" w14:textId="77777777" w:rsidTr="001925BA">
        <w:trPr>
          <w:trHeight w:val="550"/>
        </w:trPr>
        <w:tc>
          <w:tcPr>
            <w:tcW w:w="2263" w:type="dxa"/>
            <w:vMerge/>
          </w:tcPr>
          <w:p w14:paraId="14A12D8A"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val="restart"/>
          </w:tcPr>
          <w:p w14:paraId="065CCF98" w14:textId="77777777" w:rsidR="00670FD4" w:rsidRPr="00344FCE" w:rsidRDefault="00670FD4" w:rsidP="001925BA">
            <w:pPr>
              <w:spacing w:before="0" w:after="0"/>
              <w:ind w:firstLine="0"/>
              <w:contextualSpacing/>
              <w:jc w:val="left"/>
              <w:rPr>
                <w:rFonts w:cs="Times New Roman"/>
                <w:kern w:val="0"/>
                <w:lang w:val="ro-RO"/>
              </w:rPr>
            </w:pPr>
          </w:p>
          <w:p w14:paraId="3194A022"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Economie albastră</w:t>
            </w:r>
          </w:p>
        </w:tc>
        <w:tc>
          <w:tcPr>
            <w:tcW w:w="6237" w:type="dxa"/>
          </w:tcPr>
          <w:p w14:paraId="2DD00EBF"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Numărul persoanelor angajate în sectoarele Economiei Albastre</w:t>
            </w:r>
          </w:p>
        </w:tc>
      </w:tr>
      <w:tr w:rsidR="00670FD4" w:rsidRPr="00344FCE" w14:paraId="6046C2BF" w14:textId="77777777" w:rsidTr="001925BA">
        <w:trPr>
          <w:trHeight w:val="275"/>
        </w:trPr>
        <w:tc>
          <w:tcPr>
            <w:tcW w:w="2263" w:type="dxa"/>
            <w:vMerge/>
          </w:tcPr>
          <w:p w14:paraId="2288FB61"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7C20753A"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043E2CBB"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Total venituri generate de sectoarele Economiei Albastre</w:t>
            </w:r>
          </w:p>
        </w:tc>
      </w:tr>
      <w:tr w:rsidR="00670FD4" w:rsidRPr="00344FCE" w14:paraId="14E36A01" w14:textId="77777777" w:rsidTr="001925BA">
        <w:trPr>
          <w:trHeight w:val="421"/>
        </w:trPr>
        <w:tc>
          <w:tcPr>
            <w:tcW w:w="2263" w:type="dxa"/>
            <w:vMerge w:val="restart"/>
          </w:tcPr>
          <w:p w14:paraId="15A9F7CD" w14:textId="77777777" w:rsidR="00670FD4" w:rsidRPr="00344FCE" w:rsidRDefault="00670FD4" w:rsidP="001925BA">
            <w:pPr>
              <w:spacing w:before="0" w:after="0"/>
              <w:ind w:firstLine="0"/>
              <w:contextualSpacing/>
              <w:jc w:val="left"/>
              <w:rPr>
                <w:rFonts w:cs="Times New Roman"/>
                <w:kern w:val="0"/>
                <w:lang w:val="ro-RO"/>
              </w:rPr>
            </w:pPr>
          </w:p>
          <w:p w14:paraId="349421DB" w14:textId="77777777" w:rsidR="00670FD4" w:rsidRPr="00344FCE" w:rsidRDefault="00670FD4" w:rsidP="001925BA">
            <w:pPr>
              <w:spacing w:before="0" w:after="0"/>
              <w:ind w:firstLine="0"/>
              <w:contextualSpacing/>
              <w:jc w:val="left"/>
              <w:rPr>
                <w:rFonts w:cs="Times New Roman"/>
                <w:kern w:val="0"/>
                <w:lang w:val="ro-RO"/>
              </w:rPr>
            </w:pPr>
          </w:p>
          <w:p w14:paraId="31E392BF" w14:textId="77777777" w:rsidR="00670FD4" w:rsidRPr="00344FCE" w:rsidRDefault="00670FD4" w:rsidP="001925BA">
            <w:pPr>
              <w:spacing w:before="0" w:after="0"/>
              <w:ind w:firstLine="0"/>
              <w:contextualSpacing/>
              <w:jc w:val="left"/>
              <w:rPr>
                <w:rFonts w:cs="Times New Roman"/>
                <w:kern w:val="0"/>
                <w:lang w:val="ro-RO"/>
              </w:rPr>
            </w:pPr>
          </w:p>
          <w:p w14:paraId="0281681B" w14:textId="77777777" w:rsidR="00670FD4" w:rsidRPr="00344FCE" w:rsidRDefault="00670FD4" w:rsidP="001925BA">
            <w:pPr>
              <w:spacing w:before="0" w:after="0"/>
              <w:ind w:firstLine="0"/>
              <w:contextualSpacing/>
              <w:jc w:val="left"/>
              <w:rPr>
                <w:rFonts w:cs="Times New Roman"/>
                <w:kern w:val="0"/>
                <w:lang w:val="ro-RO"/>
              </w:rPr>
            </w:pPr>
          </w:p>
          <w:p w14:paraId="3983888F"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Creșterea eficienței sistemului de management al zonei costiere</w:t>
            </w:r>
          </w:p>
        </w:tc>
        <w:tc>
          <w:tcPr>
            <w:tcW w:w="4536" w:type="dxa"/>
            <w:vMerge w:val="restart"/>
          </w:tcPr>
          <w:p w14:paraId="061AAB00"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lastRenderedPageBreak/>
              <w:t>Observator al Zonei Costiere funcțional</w:t>
            </w:r>
          </w:p>
        </w:tc>
        <w:tc>
          <w:tcPr>
            <w:tcW w:w="6237" w:type="dxa"/>
          </w:tcPr>
          <w:p w14:paraId="481EC956"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 de furnizori de date</w:t>
            </w:r>
          </w:p>
          <w:p w14:paraId="601EB3C5" w14:textId="77777777" w:rsidR="00670FD4" w:rsidRPr="00344FCE" w:rsidRDefault="00670FD4" w:rsidP="001925BA">
            <w:pPr>
              <w:spacing w:before="0" w:after="0"/>
              <w:ind w:firstLine="0"/>
              <w:contextualSpacing/>
              <w:jc w:val="left"/>
              <w:rPr>
                <w:rFonts w:cs="Times New Roman"/>
                <w:kern w:val="0"/>
                <w:lang w:val="ro-RO"/>
              </w:rPr>
            </w:pPr>
          </w:p>
        </w:tc>
      </w:tr>
      <w:tr w:rsidR="00670FD4" w:rsidRPr="00344FCE" w14:paraId="2B5A0330" w14:textId="77777777" w:rsidTr="001925BA">
        <w:trPr>
          <w:trHeight w:val="415"/>
        </w:trPr>
        <w:tc>
          <w:tcPr>
            <w:tcW w:w="2263" w:type="dxa"/>
            <w:vMerge/>
          </w:tcPr>
          <w:p w14:paraId="73666F3E"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3BC69748"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4CA68570"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 de beneficiari ai datelor și informațiilor</w:t>
            </w:r>
          </w:p>
        </w:tc>
      </w:tr>
      <w:tr w:rsidR="00670FD4" w:rsidRPr="00344FCE" w14:paraId="087A60F5" w14:textId="77777777" w:rsidTr="001925BA">
        <w:tc>
          <w:tcPr>
            <w:tcW w:w="2263" w:type="dxa"/>
            <w:vMerge/>
          </w:tcPr>
          <w:p w14:paraId="373918B0" w14:textId="77777777" w:rsidR="00670FD4" w:rsidRPr="00344FCE" w:rsidRDefault="00670FD4" w:rsidP="001925BA">
            <w:pPr>
              <w:spacing w:before="0" w:after="0"/>
              <w:ind w:firstLine="0"/>
              <w:contextualSpacing/>
              <w:jc w:val="left"/>
              <w:rPr>
                <w:rFonts w:cs="Times New Roman"/>
                <w:kern w:val="0"/>
                <w:lang w:val="ro-RO"/>
              </w:rPr>
            </w:pPr>
          </w:p>
        </w:tc>
        <w:tc>
          <w:tcPr>
            <w:tcW w:w="4536" w:type="dxa"/>
          </w:tcPr>
          <w:p w14:paraId="2474E005"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Plan de comunicare al Strategiei</w:t>
            </w:r>
          </w:p>
        </w:tc>
        <w:tc>
          <w:tcPr>
            <w:tcW w:w="6237" w:type="dxa"/>
          </w:tcPr>
          <w:p w14:paraId="32C2EF9E"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-numărul de vizitatori ai website-ului dedicat;</w:t>
            </w:r>
          </w:p>
          <w:p w14:paraId="7B6F4508"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 numărul articolelor de presă care promovează evenimentul de lansare a implementării Strategiei naționale MIZC</w:t>
            </w:r>
          </w:p>
          <w:p w14:paraId="76B82C6E"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 numărul de buletine informative și comunicate de presă;</w:t>
            </w:r>
          </w:p>
          <w:p w14:paraId="128D60CA"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 număr de conferințe de presă;</w:t>
            </w:r>
          </w:p>
          <w:p w14:paraId="54C6DD5A"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 numărul de participanți la dezbateri publice / procese consultative;</w:t>
            </w:r>
          </w:p>
          <w:p w14:paraId="6C26B9D5"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 numărul de postări în social media;</w:t>
            </w:r>
          </w:p>
          <w:p w14:paraId="24B40F0D"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 numărul de spoturi publicitare (radio, tv) dedicate MIZC;</w:t>
            </w:r>
          </w:p>
          <w:p w14:paraId="2AB22424"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 numărul de evenimente dedicate publicului larg;</w:t>
            </w:r>
          </w:p>
          <w:p w14:paraId="0F213852"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 numărul de eveniment dedicate publicului specializat;</w:t>
            </w:r>
          </w:p>
        </w:tc>
      </w:tr>
      <w:tr w:rsidR="00670FD4" w:rsidRPr="00344FCE" w14:paraId="790584C6" w14:textId="77777777" w:rsidTr="001925BA">
        <w:trPr>
          <w:trHeight w:val="198"/>
        </w:trPr>
        <w:tc>
          <w:tcPr>
            <w:tcW w:w="2263" w:type="dxa"/>
            <w:vMerge/>
          </w:tcPr>
          <w:p w14:paraId="59E64F33"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val="restart"/>
          </w:tcPr>
          <w:p w14:paraId="73793A35"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Controlul activităților socio-economice</w:t>
            </w:r>
          </w:p>
        </w:tc>
        <w:tc>
          <w:tcPr>
            <w:tcW w:w="6237" w:type="dxa"/>
          </w:tcPr>
          <w:p w14:paraId="0CBAE590"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 de controale / an</w:t>
            </w:r>
          </w:p>
        </w:tc>
      </w:tr>
      <w:tr w:rsidR="00670FD4" w:rsidRPr="00344FCE" w14:paraId="10B8A070" w14:textId="77777777" w:rsidTr="001925BA">
        <w:trPr>
          <w:trHeight w:val="198"/>
        </w:trPr>
        <w:tc>
          <w:tcPr>
            <w:tcW w:w="2263" w:type="dxa"/>
            <w:vMerge/>
          </w:tcPr>
          <w:p w14:paraId="63C39A5C"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6205B421"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0FDC47BC"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Total venituri încasate în urma activităților de control</w:t>
            </w:r>
          </w:p>
        </w:tc>
      </w:tr>
      <w:tr w:rsidR="00670FD4" w:rsidRPr="00344FCE" w14:paraId="4CD94B6D" w14:textId="77777777" w:rsidTr="001925BA">
        <w:trPr>
          <w:trHeight w:val="198"/>
        </w:trPr>
        <w:tc>
          <w:tcPr>
            <w:tcW w:w="2263" w:type="dxa"/>
            <w:vMerge/>
          </w:tcPr>
          <w:p w14:paraId="15EF9174"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22ABBB6D"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3142057D"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Valoarea economică a resurselor exploatate ilegal</w:t>
            </w:r>
          </w:p>
        </w:tc>
      </w:tr>
      <w:tr w:rsidR="00670FD4" w:rsidRPr="00344FCE" w14:paraId="79075AD8" w14:textId="77777777" w:rsidTr="001925BA">
        <w:trPr>
          <w:trHeight w:val="198"/>
        </w:trPr>
        <w:tc>
          <w:tcPr>
            <w:tcW w:w="2263" w:type="dxa"/>
            <w:vMerge/>
          </w:tcPr>
          <w:p w14:paraId="472F6538" w14:textId="77777777" w:rsidR="00670FD4" w:rsidRPr="00344FCE" w:rsidRDefault="00670FD4" w:rsidP="001925BA">
            <w:pPr>
              <w:spacing w:before="0" w:after="0"/>
              <w:ind w:firstLine="0"/>
              <w:contextualSpacing/>
              <w:jc w:val="left"/>
              <w:rPr>
                <w:rFonts w:cs="Times New Roman"/>
                <w:kern w:val="0"/>
                <w:lang w:val="ro-RO"/>
              </w:rPr>
            </w:pPr>
          </w:p>
        </w:tc>
        <w:tc>
          <w:tcPr>
            <w:tcW w:w="4536" w:type="dxa"/>
            <w:vMerge/>
          </w:tcPr>
          <w:p w14:paraId="004B0045" w14:textId="77777777" w:rsidR="00670FD4" w:rsidRPr="00344FCE" w:rsidRDefault="00670FD4" w:rsidP="001925BA">
            <w:pPr>
              <w:spacing w:before="0" w:after="0"/>
              <w:ind w:firstLine="0"/>
              <w:contextualSpacing/>
              <w:jc w:val="left"/>
              <w:rPr>
                <w:rFonts w:cs="Times New Roman"/>
                <w:kern w:val="0"/>
                <w:lang w:val="ro-RO"/>
              </w:rPr>
            </w:pPr>
          </w:p>
        </w:tc>
        <w:tc>
          <w:tcPr>
            <w:tcW w:w="6237" w:type="dxa"/>
          </w:tcPr>
          <w:p w14:paraId="58561242"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 de clădiri construite și suprafața terenurilor ocupate ilegal</w:t>
            </w:r>
          </w:p>
        </w:tc>
      </w:tr>
      <w:tr w:rsidR="00670FD4" w:rsidRPr="00344FCE" w14:paraId="70FCD693" w14:textId="77777777" w:rsidTr="001925BA">
        <w:trPr>
          <w:trHeight w:val="555"/>
        </w:trPr>
        <w:tc>
          <w:tcPr>
            <w:tcW w:w="2263" w:type="dxa"/>
            <w:vMerge w:val="restart"/>
          </w:tcPr>
          <w:p w14:paraId="2A351C23" w14:textId="77777777" w:rsidR="00670FD4" w:rsidRPr="00344FCE" w:rsidRDefault="00670FD4" w:rsidP="001925BA">
            <w:pPr>
              <w:spacing w:before="0" w:after="0"/>
              <w:ind w:firstLine="0"/>
              <w:contextualSpacing/>
              <w:jc w:val="left"/>
              <w:rPr>
                <w:rFonts w:cs="Times New Roman"/>
                <w:kern w:val="0"/>
                <w:lang w:val="ro-RO"/>
              </w:rPr>
            </w:pPr>
          </w:p>
          <w:p w14:paraId="5285345E"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Consolidarea resursei umane și coeziunii sociale</w:t>
            </w:r>
          </w:p>
        </w:tc>
        <w:tc>
          <w:tcPr>
            <w:tcW w:w="4536" w:type="dxa"/>
          </w:tcPr>
          <w:p w14:paraId="5B36E931"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Gradul de informare și implicare a cetățenilor</w:t>
            </w:r>
          </w:p>
        </w:tc>
        <w:tc>
          <w:tcPr>
            <w:tcW w:w="6237" w:type="dxa"/>
          </w:tcPr>
          <w:p w14:paraId="649CDDFB"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 de voluntari implicați în monitorizarea zonei costiere</w:t>
            </w:r>
          </w:p>
        </w:tc>
      </w:tr>
      <w:tr w:rsidR="00670FD4" w:rsidRPr="00344FCE" w14:paraId="5D13218E" w14:textId="77777777" w:rsidTr="001925BA">
        <w:trPr>
          <w:trHeight w:val="563"/>
        </w:trPr>
        <w:tc>
          <w:tcPr>
            <w:tcW w:w="2263" w:type="dxa"/>
            <w:vMerge/>
          </w:tcPr>
          <w:p w14:paraId="2EC0B0ED" w14:textId="77777777" w:rsidR="00670FD4" w:rsidRPr="00344FCE" w:rsidRDefault="00670FD4" w:rsidP="001925BA">
            <w:pPr>
              <w:spacing w:before="0" w:after="0"/>
              <w:ind w:firstLine="0"/>
              <w:contextualSpacing/>
              <w:jc w:val="left"/>
              <w:rPr>
                <w:rFonts w:cs="Times New Roman"/>
                <w:kern w:val="0"/>
                <w:lang w:val="ro-RO"/>
              </w:rPr>
            </w:pPr>
          </w:p>
        </w:tc>
        <w:tc>
          <w:tcPr>
            <w:tcW w:w="4536" w:type="dxa"/>
          </w:tcPr>
          <w:p w14:paraId="315040C0"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Nivelul de instruire al actorilor implicați în managementul integrat al zonei costiere</w:t>
            </w:r>
          </w:p>
        </w:tc>
        <w:tc>
          <w:tcPr>
            <w:tcW w:w="6237" w:type="dxa"/>
          </w:tcPr>
          <w:p w14:paraId="6ED0D89E" w14:textId="77777777" w:rsidR="00670FD4" w:rsidRPr="00344FCE" w:rsidRDefault="00670FD4" w:rsidP="001925BA">
            <w:pPr>
              <w:spacing w:before="0" w:after="0"/>
              <w:ind w:firstLine="0"/>
              <w:contextualSpacing/>
              <w:jc w:val="left"/>
              <w:rPr>
                <w:rFonts w:cs="Times New Roman"/>
                <w:kern w:val="0"/>
                <w:lang w:val="ro-RO"/>
              </w:rPr>
            </w:pPr>
            <w:r w:rsidRPr="00344FCE">
              <w:rPr>
                <w:rFonts w:cs="Times New Roman"/>
                <w:kern w:val="0"/>
                <w:lang w:val="ro-RO"/>
              </w:rPr>
              <w:t>Număr de programe de asistență tehnică</w:t>
            </w:r>
          </w:p>
        </w:tc>
      </w:tr>
    </w:tbl>
    <w:p w14:paraId="41FB1DAD" w14:textId="77777777" w:rsidR="00670FD4" w:rsidRDefault="00670FD4" w:rsidP="00670FD4">
      <w:pPr>
        <w:ind w:firstLine="0"/>
        <w:rPr>
          <w:lang w:val="ro-RO"/>
        </w:rPr>
      </w:pPr>
    </w:p>
    <w:p w14:paraId="59AE4E90" w14:textId="77777777" w:rsidR="00670FD4" w:rsidRDefault="00670FD4" w:rsidP="00670FD4">
      <w:pPr>
        <w:ind w:firstLine="0"/>
        <w:rPr>
          <w:lang w:val="ro-RO"/>
        </w:rPr>
      </w:pPr>
    </w:p>
    <w:p w14:paraId="0F08C68D" w14:textId="77777777" w:rsidR="00670FD4" w:rsidRDefault="00670FD4" w:rsidP="00670FD4">
      <w:pPr>
        <w:ind w:firstLine="0"/>
        <w:rPr>
          <w:lang w:val="ro-RO"/>
        </w:rPr>
      </w:pPr>
    </w:p>
    <w:p w14:paraId="5EB5D9B3" w14:textId="77777777" w:rsidR="00670FD4" w:rsidRDefault="00670FD4" w:rsidP="00670FD4">
      <w:pPr>
        <w:ind w:firstLine="0"/>
        <w:rPr>
          <w:lang w:val="ro-RO"/>
        </w:rPr>
      </w:pPr>
    </w:p>
    <w:p w14:paraId="016D9700" w14:textId="77777777" w:rsidR="00670FD4" w:rsidRDefault="00670FD4" w:rsidP="00670FD4">
      <w:pPr>
        <w:ind w:firstLine="0"/>
        <w:rPr>
          <w:lang w:val="ro-RO"/>
        </w:rPr>
      </w:pPr>
    </w:p>
    <w:p w14:paraId="64468ED9" w14:textId="77777777" w:rsidR="00670FD4" w:rsidRDefault="00670FD4" w:rsidP="00670FD4">
      <w:pPr>
        <w:pStyle w:val="Heading2"/>
      </w:pPr>
      <w:bookmarkStart w:id="172" w:name="_Toc171084871"/>
      <w:bookmarkStart w:id="173" w:name="_Toc150501481"/>
      <w:r>
        <w:lastRenderedPageBreak/>
        <w:t>Anexa 4</w:t>
      </w:r>
      <w:bookmarkEnd w:id="172"/>
      <w:r w:rsidRPr="003B5B5D">
        <w:t xml:space="preserve"> </w:t>
      </w:r>
    </w:p>
    <w:bookmarkEnd w:id="173"/>
    <w:p w14:paraId="01E30F5A" w14:textId="77777777" w:rsidR="00670FD4" w:rsidRDefault="00670FD4" w:rsidP="00670FD4">
      <w:pPr>
        <w:pBdr>
          <w:top w:val="nil"/>
          <w:left w:val="nil"/>
          <w:bottom w:val="nil"/>
          <w:right w:val="nil"/>
          <w:between w:val="nil"/>
        </w:pBdr>
        <w:ind w:firstLine="567"/>
        <w:rPr>
          <w:rFonts w:eastAsia="Times New Roman" w:cs="Times New Roman"/>
        </w:rPr>
      </w:pPr>
      <w:r w:rsidRPr="00C90B98">
        <w:rPr>
          <w:rFonts w:eastAsia="Times New Roman" w:cs="Times New Roman"/>
        </w:rPr>
        <w:t>Anexa grupează un număr de 54 de acte normative referitoare direct sau indirect la zona costieră a Mării Negre. Actele normative sunt grupate pe 2 categorii: legislație primară și legislație complementară. În prima categorie sunt incluse 3 OUG-uri și 3 HG-uri refeitoare la protecția mediului, a zonei costiere și a plajelor. În a 2-a categorie sunt incluse acte normative – legi, OUG, OG, HG, ordine de ministru – referitoare la Rezervația Biosferei „Delta Dunării”, la activitățile economice și socio-culturale din zona costieră, la protejarea elementelor de patrimoniu natural și construit sau la activitățile de planificare spațială. Actele normative sunt ordonate pe categorii: legi, ordonanțe de urgență (OUG), ordonanțe (OG), hotărâri de guvern (HG) și ordine de ministru. Ordonarea este de tip cronologic de la cele mai recente, la cel mai vechi acte normative. Tabelul indică de asemenea instituțiile responsabile pentru aplicarea respectivelor prevederi normative precum și acte subsecvente – norme, reglementări, metodologii, planuri de management etc. – generate de respectivul act normativ. Se poate observa spectrul larg și diversitatea de actori publici, din administrațiile centrală și locale dar și din sectorul privat, implicați în activitățile legate de zona costieră a Mării Negre precum și numărul mare de acte subsecvente menționate și generate de actele normative menționate</w:t>
      </w:r>
      <w:r>
        <w:rPr>
          <w:rFonts w:eastAsia="Times New Roman" w:cs="Times New Roman"/>
        </w:rPr>
        <w:t>.</w:t>
      </w:r>
    </w:p>
    <w:p w14:paraId="7ED09994" w14:textId="77777777" w:rsidR="00670FD4" w:rsidRDefault="00670FD4" w:rsidP="00670FD4">
      <w:pPr>
        <w:pBdr>
          <w:top w:val="nil"/>
          <w:left w:val="nil"/>
          <w:bottom w:val="nil"/>
          <w:right w:val="nil"/>
          <w:between w:val="nil"/>
        </w:pBdr>
        <w:spacing w:after="200"/>
        <w:rPr>
          <w:rFonts w:eastAsia="Times New Roman" w:cs="Times New Roman"/>
          <w:b/>
          <w:sz w:val="28"/>
          <w:szCs w:val="28"/>
        </w:rPr>
      </w:pPr>
    </w:p>
    <w:tbl>
      <w:tblPr>
        <w:tblW w:w="140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3686"/>
        <w:gridCol w:w="4819"/>
        <w:gridCol w:w="4961"/>
      </w:tblGrid>
      <w:tr w:rsidR="00670FD4" w:rsidRPr="003B5B5D" w14:paraId="54EE5F2A" w14:textId="77777777" w:rsidTr="001925BA">
        <w:trPr>
          <w:tblHeader/>
          <w:jc w:val="center"/>
        </w:trPr>
        <w:tc>
          <w:tcPr>
            <w:tcW w:w="562" w:type="dxa"/>
          </w:tcPr>
          <w:p w14:paraId="23A0B137" w14:textId="77777777" w:rsidR="00670FD4" w:rsidRPr="003B5B5D" w:rsidRDefault="00670FD4" w:rsidP="001925BA">
            <w:pPr>
              <w:tabs>
                <w:tab w:val="left" w:pos="29"/>
                <w:tab w:val="left" w:pos="1447"/>
              </w:tabs>
              <w:spacing w:after="40"/>
              <w:ind w:firstLine="0"/>
              <w:rPr>
                <w:rFonts w:eastAsia="Times New Roman" w:cs="Times New Roman"/>
                <w:b/>
                <w:sz w:val="22"/>
                <w:szCs w:val="22"/>
              </w:rPr>
            </w:pPr>
            <w:r w:rsidRPr="003B5B5D">
              <w:rPr>
                <w:rFonts w:eastAsia="Times New Roman" w:cs="Times New Roman"/>
                <w:b/>
                <w:sz w:val="22"/>
                <w:szCs w:val="22"/>
              </w:rPr>
              <w:t>Nr. crt.</w:t>
            </w:r>
          </w:p>
        </w:tc>
        <w:tc>
          <w:tcPr>
            <w:tcW w:w="3686" w:type="dxa"/>
          </w:tcPr>
          <w:p w14:paraId="66BB4B7E" w14:textId="77777777" w:rsidR="00670FD4" w:rsidRPr="003B5B5D" w:rsidRDefault="00670FD4" w:rsidP="001925BA">
            <w:pPr>
              <w:tabs>
                <w:tab w:val="left" w:pos="29"/>
                <w:tab w:val="left" w:pos="1447"/>
              </w:tabs>
              <w:spacing w:after="40"/>
              <w:rPr>
                <w:rFonts w:eastAsia="Times New Roman" w:cs="Times New Roman"/>
                <w:b/>
                <w:sz w:val="22"/>
                <w:szCs w:val="22"/>
              </w:rPr>
            </w:pPr>
            <w:r w:rsidRPr="003B5B5D">
              <w:rPr>
                <w:rFonts w:eastAsia="Times New Roman" w:cs="Times New Roman"/>
                <w:b/>
                <w:sz w:val="22"/>
                <w:szCs w:val="22"/>
              </w:rPr>
              <w:t>Act normativ</w:t>
            </w:r>
          </w:p>
        </w:tc>
        <w:tc>
          <w:tcPr>
            <w:tcW w:w="4819" w:type="dxa"/>
          </w:tcPr>
          <w:p w14:paraId="3A4C09AC" w14:textId="77777777" w:rsidR="00670FD4" w:rsidRPr="003B5B5D" w:rsidRDefault="00670FD4" w:rsidP="001925BA">
            <w:pPr>
              <w:spacing w:after="40"/>
              <w:ind w:firstLine="0"/>
              <w:rPr>
                <w:rFonts w:eastAsia="Times New Roman" w:cs="Times New Roman"/>
                <w:b/>
                <w:sz w:val="22"/>
                <w:szCs w:val="22"/>
              </w:rPr>
            </w:pPr>
            <w:r w:rsidRPr="003B5B5D">
              <w:rPr>
                <w:rFonts w:eastAsia="Times New Roman" w:cs="Times New Roman"/>
                <w:b/>
                <w:sz w:val="22"/>
                <w:szCs w:val="22"/>
              </w:rPr>
              <w:t>Instituție responsabilă (conf. actului normativ)</w:t>
            </w:r>
          </w:p>
        </w:tc>
        <w:tc>
          <w:tcPr>
            <w:tcW w:w="4961" w:type="dxa"/>
          </w:tcPr>
          <w:p w14:paraId="121BF0B7" w14:textId="77777777" w:rsidR="00670FD4" w:rsidRPr="003B5B5D" w:rsidRDefault="00670FD4" w:rsidP="001925BA">
            <w:pPr>
              <w:spacing w:after="40"/>
              <w:ind w:firstLine="34"/>
              <w:rPr>
                <w:rFonts w:eastAsia="Times New Roman" w:cs="Times New Roman"/>
                <w:b/>
                <w:sz w:val="22"/>
                <w:szCs w:val="22"/>
              </w:rPr>
            </w:pPr>
            <w:r w:rsidRPr="003B5B5D">
              <w:rPr>
                <w:rFonts w:eastAsia="Times New Roman" w:cs="Times New Roman"/>
                <w:b/>
                <w:sz w:val="22"/>
                <w:szCs w:val="22"/>
              </w:rPr>
              <w:t>Reglementări și documente subsecvente (prevăzute de actul normativ)</w:t>
            </w:r>
          </w:p>
        </w:tc>
      </w:tr>
      <w:tr w:rsidR="00670FD4" w:rsidRPr="003B5B5D" w14:paraId="589A2D0A" w14:textId="77777777" w:rsidTr="001925BA">
        <w:trPr>
          <w:jc w:val="center"/>
        </w:trPr>
        <w:tc>
          <w:tcPr>
            <w:tcW w:w="14028" w:type="dxa"/>
            <w:gridSpan w:val="4"/>
          </w:tcPr>
          <w:p w14:paraId="57C5C16C" w14:textId="77777777" w:rsidR="00670FD4" w:rsidRPr="003B5B5D" w:rsidRDefault="00670FD4" w:rsidP="001925BA">
            <w:pPr>
              <w:pBdr>
                <w:top w:val="nil"/>
                <w:left w:val="nil"/>
                <w:bottom w:val="nil"/>
                <w:right w:val="nil"/>
                <w:between w:val="nil"/>
              </w:pBdr>
              <w:spacing w:after="40"/>
              <w:rPr>
                <w:rFonts w:eastAsia="Times New Roman" w:cs="Times New Roman"/>
                <w:b/>
                <w:color w:val="000000"/>
                <w:sz w:val="22"/>
                <w:szCs w:val="22"/>
              </w:rPr>
            </w:pPr>
            <w:r w:rsidRPr="003B5B5D">
              <w:rPr>
                <w:rFonts w:eastAsia="Times New Roman" w:cs="Times New Roman"/>
                <w:b/>
                <w:color w:val="000000"/>
                <w:sz w:val="22"/>
                <w:szCs w:val="22"/>
              </w:rPr>
              <w:t xml:space="preserve">Legislație primară </w:t>
            </w:r>
          </w:p>
        </w:tc>
      </w:tr>
      <w:tr w:rsidR="00670FD4" w:rsidRPr="003B5B5D" w14:paraId="03AC6161" w14:textId="77777777" w:rsidTr="001925BA">
        <w:trPr>
          <w:jc w:val="center"/>
        </w:trPr>
        <w:tc>
          <w:tcPr>
            <w:tcW w:w="562" w:type="dxa"/>
          </w:tcPr>
          <w:p w14:paraId="2DBECC8C"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0BB9F0A1"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Ordonanța de Urgență a Guvernului (OUG) nr. 202/2002 privind managementul zonei costiere aprobată cu modificările și amendamentele ulterioare prin Legea nr. 280/2003</w:t>
            </w:r>
          </w:p>
        </w:tc>
        <w:tc>
          <w:tcPr>
            <w:tcW w:w="4819" w:type="dxa"/>
          </w:tcPr>
          <w:p w14:paraId="7750F4D3"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publică centrală pentru protecţia mediului şi gospodărirea apelor</w:t>
            </w:r>
          </w:p>
          <w:p w14:paraId="77CD4686"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333333"/>
                <w:sz w:val="22"/>
                <w:szCs w:val="22"/>
                <w:highlight w:val="white"/>
              </w:rPr>
            </w:pPr>
            <w:r w:rsidRPr="003B5B5D">
              <w:rPr>
                <w:rFonts w:eastAsia="Times New Roman" w:cs="Times New Roman"/>
                <w:color w:val="333333"/>
                <w:sz w:val="22"/>
                <w:szCs w:val="22"/>
                <w:highlight w:val="white"/>
              </w:rPr>
              <w:t>Autorităţile publice teritoriale pentru protecţia mediului şi autorităţile locale pentru gospodărirea apelor</w:t>
            </w:r>
          </w:p>
          <w:p w14:paraId="191776E5"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333333"/>
                <w:sz w:val="22"/>
                <w:szCs w:val="22"/>
                <w:highlight w:val="white"/>
              </w:rPr>
            </w:pPr>
            <w:r w:rsidRPr="003B5B5D">
              <w:rPr>
                <w:rFonts w:eastAsia="Times New Roman" w:cs="Times New Roman"/>
                <w:color w:val="333333"/>
                <w:sz w:val="22"/>
                <w:szCs w:val="22"/>
                <w:highlight w:val="white"/>
              </w:rPr>
              <w:t>Ministerul Apărării Naţionale</w:t>
            </w:r>
          </w:p>
          <w:p w14:paraId="3438FE8B"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333333"/>
                <w:sz w:val="22"/>
                <w:szCs w:val="22"/>
                <w:highlight w:val="white"/>
              </w:rPr>
            </w:pPr>
            <w:r w:rsidRPr="003B5B5D">
              <w:rPr>
                <w:rFonts w:eastAsia="Times New Roman" w:cs="Times New Roman"/>
                <w:color w:val="333333"/>
                <w:sz w:val="22"/>
                <w:szCs w:val="22"/>
                <w:highlight w:val="white"/>
              </w:rPr>
              <w:t>Autoritatea publică centrală pentru lucrări publice, transporturi şi locuinţă</w:t>
            </w:r>
          </w:p>
          <w:p w14:paraId="0989DBB0"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333333"/>
                <w:sz w:val="22"/>
                <w:szCs w:val="22"/>
                <w:highlight w:val="white"/>
              </w:rPr>
            </w:pPr>
            <w:r w:rsidRPr="003B5B5D">
              <w:rPr>
                <w:rFonts w:eastAsia="Times New Roman" w:cs="Times New Roman"/>
                <w:color w:val="333333"/>
                <w:sz w:val="22"/>
                <w:szCs w:val="22"/>
                <w:highlight w:val="white"/>
              </w:rPr>
              <w:t>Autoritatea publică centrală pentru turism</w:t>
            </w:r>
          </w:p>
          <w:p w14:paraId="08BDA377"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333333"/>
                <w:sz w:val="22"/>
                <w:szCs w:val="22"/>
                <w:highlight w:val="white"/>
              </w:rPr>
            </w:pPr>
            <w:r w:rsidRPr="003B5B5D">
              <w:rPr>
                <w:rFonts w:eastAsia="Times New Roman" w:cs="Times New Roman"/>
                <w:color w:val="333333"/>
                <w:sz w:val="22"/>
                <w:szCs w:val="22"/>
                <w:highlight w:val="white"/>
              </w:rPr>
              <w:lastRenderedPageBreak/>
              <w:t>Autoritatea publică centrală pentru agricultură, alimentaţie şi păduri</w:t>
            </w:r>
          </w:p>
          <w:p w14:paraId="6E34CC5E"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333333"/>
                <w:sz w:val="22"/>
                <w:szCs w:val="22"/>
                <w:highlight w:val="white"/>
              </w:rPr>
            </w:pPr>
            <w:r w:rsidRPr="003B5B5D">
              <w:rPr>
                <w:rFonts w:eastAsia="Times New Roman" w:cs="Times New Roman"/>
                <w:color w:val="333333"/>
                <w:sz w:val="22"/>
                <w:szCs w:val="22"/>
                <w:highlight w:val="white"/>
              </w:rPr>
              <w:t>Autoritatea publică centrală care răspunde de silvilcultură</w:t>
            </w:r>
          </w:p>
          <w:p w14:paraId="7A911E91"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333333"/>
                <w:sz w:val="22"/>
                <w:szCs w:val="22"/>
                <w:highlight w:val="white"/>
              </w:rPr>
            </w:pPr>
            <w:r w:rsidRPr="003B5B5D">
              <w:rPr>
                <w:rFonts w:eastAsia="Times New Roman" w:cs="Times New Roman"/>
                <w:color w:val="333333"/>
                <w:sz w:val="22"/>
                <w:szCs w:val="22"/>
                <w:highlight w:val="white"/>
              </w:rPr>
              <w:t>Administraţiile publice locale</w:t>
            </w:r>
          </w:p>
          <w:p w14:paraId="2C4E9A96"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Comitetul naţional al zonei costiere (cca. 40-45 de instituții reprezentate)</w:t>
            </w:r>
          </w:p>
        </w:tc>
        <w:tc>
          <w:tcPr>
            <w:tcW w:w="4961" w:type="dxa"/>
          </w:tcPr>
          <w:p w14:paraId="5E8D3459"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Norme de protecţie a mediului pentru activităţile militare desfăşurate în zonele costiere.</w:t>
            </w:r>
          </w:p>
          <w:p w14:paraId="6A1E1B96"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Norme şi reguli de igienă şi sănătate privind gestiunea deşeurilor provenite ca urmare a navigaţiei de agrement.</w:t>
            </w:r>
          </w:p>
          <w:p w14:paraId="201540DB"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sz w:val="22"/>
                <w:szCs w:val="22"/>
              </w:rPr>
            </w:pPr>
            <w:r w:rsidRPr="003B5B5D">
              <w:rPr>
                <w:rFonts w:eastAsia="Times New Roman" w:cs="Times New Roman"/>
                <w:color w:val="000000"/>
                <w:sz w:val="22"/>
                <w:szCs w:val="22"/>
              </w:rPr>
              <w:t xml:space="preserve">Norme de calitate a apelor din zonele amenajate pentru îmbăiere şi normele de igienă pentru încadrarea plajelor, în scopul protecţiei sănătăţii publicului. </w:t>
            </w:r>
          </w:p>
          <w:p w14:paraId="6A65D298"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sz w:val="22"/>
                <w:szCs w:val="22"/>
              </w:rPr>
            </w:pPr>
            <w:r w:rsidRPr="003B5B5D">
              <w:rPr>
                <w:rFonts w:eastAsia="Times New Roman" w:cs="Times New Roman"/>
                <w:sz w:val="22"/>
                <w:szCs w:val="22"/>
              </w:rPr>
              <w:t>Metodologie de delimitare a domeniului public al statului din zona costieră (litoralul şi aria maximă costieră, conf. art. 6)</w:t>
            </w:r>
          </w:p>
          <w:p w14:paraId="5F4D0488"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Elaborarea planurilor de amenajare a teritoriului şi de urbanism, cu includerea prescripţiilor de gestiune a zonei costiere în regulamentele aferente.</w:t>
            </w:r>
          </w:p>
          <w:p w14:paraId="28B3C427"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Stabilirea nominală şi pe porţiuni a apelor navigabile şi a traseelor vapoarelor, astfel încât să se evite orice risc inutil şi să se protejeze ecosistemul zonei costiere.</w:t>
            </w:r>
          </w:p>
          <w:p w14:paraId="1378D17B"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Sisteme de norme privind autorizarea, clasificarea, avizarea şi controlul activităţilor de turism în zona costieră.</w:t>
            </w:r>
          </w:p>
          <w:p w14:paraId="1D090FD6"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Coduri pentru notarea zonelor de îmbăiere, în scopul informării consumatorilor de servicii turistice asupra calităţii acestora.</w:t>
            </w:r>
          </w:p>
          <w:p w14:paraId="7FB14866"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Coduri de bună conduită pentru activităţile de recreere în zonele costiere.</w:t>
            </w:r>
          </w:p>
          <w:p w14:paraId="4F337215"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Cod de conduită pentru un pescuit responsabil.</w:t>
            </w:r>
          </w:p>
        </w:tc>
      </w:tr>
      <w:tr w:rsidR="00670FD4" w:rsidRPr="003B5B5D" w14:paraId="0B3A02F4" w14:textId="77777777" w:rsidTr="001925BA">
        <w:trPr>
          <w:jc w:val="center"/>
        </w:trPr>
        <w:tc>
          <w:tcPr>
            <w:tcW w:w="562" w:type="dxa"/>
          </w:tcPr>
          <w:p w14:paraId="0720803D"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04E447E8"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OUG nr. 19/2006 privind utilizarea plajei Mării Negre şi controlul activităţilor desfăşurate pe plajă</w:t>
            </w:r>
          </w:p>
        </w:tc>
        <w:tc>
          <w:tcPr>
            <w:tcW w:w="4819" w:type="dxa"/>
          </w:tcPr>
          <w:p w14:paraId="44A7350C"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Administraţia Naţională „Apele Române" prin Administrația Bazinală de Apă Dobrogea-Litoral</w:t>
            </w:r>
          </w:p>
          <w:p w14:paraId="5DAAD5D0"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Autorităţile administraţiei publice locale pe a căror rază teritorială se află plaje cu destinaţie turistică</w:t>
            </w:r>
          </w:p>
          <w:p w14:paraId="7DD97F33"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Ministerului Dezvoltării Regionale şi Administraţiei Publice</w:t>
            </w:r>
          </w:p>
          <w:p w14:paraId="1BF1C449"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 xml:space="preserve">Autoritatea publică centrală pentru turism </w:t>
            </w:r>
          </w:p>
          <w:p w14:paraId="2503E8A2"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Administraţiei şi Internelor</w:t>
            </w:r>
          </w:p>
        </w:tc>
        <w:tc>
          <w:tcPr>
            <w:tcW w:w="4961" w:type="dxa"/>
          </w:tcPr>
          <w:p w14:paraId="2200469A"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Norme metodologice privind organizarea serviciilor publice de salvare şi a posturilor de prim ajutor pe plajă</w:t>
            </w:r>
          </w:p>
          <w:p w14:paraId="7FA13AD0"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Norme metodologice privind autorizarea, clasificarea, avizarea şi controlul activităților de turism în zona costieră</w:t>
            </w:r>
          </w:p>
          <w:p w14:paraId="675A3898"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Normelor privind utilizarea turistică a plajei litoralului Mării Negre</w:t>
            </w:r>
          </w:p>
        </w:tc>
      </w:tr>
      <w:tr w:rsidR="00670FD4" w:rsidRPr="003B5B5D" w14:paraId="21E79813" w14:textId="77777777" w:rsidTr="001925BA">
        <w:trPr>
          <w:jc w:val="center"/>
        </w:trPr>
        <w:tc>
          <w:tcPr>
            <w:tcW w:w="562" w:type="dxa"/>
          </w:tcPr>
          <w:p w14:paraId="4B8FF50D"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6CB8C637"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 xml:space="preserve">OUG nr 195/2005 privind protecția mediului, aprobată cu Legea nr. </w:t>
            </w:r>
            <w:r w:rsidRPr="003B5B5D">
              <w:rPr>
                <w:rFonts w:eastAsia="Times New Roman" w:cs="Times New Roman"/>
                <w:color w:val="000000"/>
                <w:sz w:val="22"/>
                <w:szCs w:val="22"/>
              </w:rPr>
              <w:lastRenderedPageBreak/>
              <w:t>265/2006 cu modificările și completările ulterioare</w:t>
            </w:r>
          </w:p>
        </w:tc>
        <w:tc>
          <w:tcPr>
            <w:tcW w:w="4819" w:type="dxa"/>
          </w:tcPr>
          <w:p w14:paraId="07992BA9"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lastRenderedPageBreak/>
              <w:t xml:space="preserve">Autoritatea publică centrală pentru protecţia mediului </w:t>
            </w:r>
          </w:p>
          <w:p w14:paraId="1A2CB9A7"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Agenţia Naţională pentru Protecţia Mediului</w:t>
            </w:r>
          </w:p>
          <w:p w14:paraId="40DB0B8B"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lastRenderedPageBreak/>
              <w:t>Agenţiile judeţene pentru protecţia mediului</w:t>
            </w:r>
          </w:p>
          <w:p w14:paraId="2E569F1A"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Administraţia Rezervaţiei Biosferei «Delta Dunării»</w:t>
            </w:r>
          </w:p>
          <w:p w14:paraId="4C22667C"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Garda Naţională de Mediu</w:t>
            </w:r>
          </w:p>
          <w:p w14:paraId="5EC28C2B"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Alte autorități publice centrale și locale (conf. Secțiune 2)</w:t>
            </w:r>
          </w:p>
        </w:tc>
        <w:tc>
          <w:tcPr>
            <w:tcW w:w="4961" w:type="dxa"/>
          </w:tcPr>
          <w:p w14:paraId="688847C1"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Procedura de emitere a autorizaţiei integrate de mediu şi normele metodologice de aplicare a acesteia</w:t>
            </w:r>
          </w:p>
          <w:p w14:paraId="4F3593CD"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sz w:val="22"/>
                <w:szCs w:val="22"/>
              </w:rPr>
              <w:t>P</w:t>
            </w:r>
            <w:r w:rsidRPr="003B5B5D">
              <w:rPr>
                <w:rFonts w:eastAsia="Times New Roman" w:cs="Times New Roman"/>
                <w:color w:val="000000"/>
                <w:sz w:val="22"/>
                <w:szCs w:val="22"/>
              </w:rPr>
              <w:t>rocedura de participare a publicului la luarea deciziei</w:t>
            </w:r>
          </w:p>
          <w:p w14:paraId="5573ED66"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Metodologie cu privire la prevenirea şi reducerea disconfortului olfactiv</w:t>
            </w:r>
          </w:p>
          <w:p w14:paraId="5B67384C"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Norme specifice de protecția mediului</w:t>
            </w:r>
          </w:p>
        </w:tc>
      </w:tr>
      <w:tr w:rsidR="00670FD4" w:rsidRPr="003B5B5D" w14:paraId="417915A0" w14:textId="77777777" w:rsidTr="001925BA">
        <w:trPr>
          <w:jc w:val="center"/>
        </w:trPr>
        <w:tc>
          <w:tcPr>
            <w:tcW w:w="562" w:type="dxa"/>
          </w:tcPr>
          <w:p w14:paraId="4CC1C9EC"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416C4557"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 xml:space="preserve">Hotărârea Guvernului nr. 1015 /2004 privind </w:t>
            </w:r>
            <w:r w:rsidRPr="003B5B5D">
              <w:rPr>
                <w:rFonts w:eastAsia="Times New Roman" w:cs="Times New Roman"/>
                <w:sz w:val="22"/>
                <w:szCs w:val="22"/>
              </w:rPr>
              <w:t>Regulamentul</w:t>
            </w:r>
            <w:r w:rsidRPr="003B5B5D">
              <w:rPr>
                <w:rFonts w:eastAsia="Times New Roman" w:cs="Times New Roman"/>
                <w:color w:val="000000"/>
                <w:sz w:val="22"/>
                <w:szCs w:val="22"/>
              </w:rPr>
              <w:t xml:space="preserve"> de organizare și funcționare a Comitetului Național al Zonei Costiere</w:t>
            </w:r>
            <w:r w:rsidRPr="003B5B5D">
              <w:rPr>
                <w:rFonts w:eastAsia="Times New Roman" w:cs="Times New Roman"/>
                <w:color w:val="000000"/>
                <w:sz w:val="22"/>
                <w:szCs w:val="22"/>
                <w:vertAlign w:val="superscript"/>
              </w:rPr>
              <w:footnoteReference w:id="1"/>
            </w:r>
            <w:r w:rsidRPr="003B5B5D">
              <w:rPr>
                <w:rFonts w:eastAsia="Times New Roman" w:cs="Times New Roman"/>
                <w:color w:val="000000"/>
                <w:sz w:val="22"/>
                <w:szCs w:val="22"/>
              </w:rPr>
              <w:t xml:space="preserve"> (cu modificările și </w:t>
            </w:r>
            <w:r w:rsidRPr="003B5B5D">
              <w:rPr>
                <w:rFonts w:eastAsia="Times New Roman" w:cs="Times New Roman"/>
                <w:sz w:val="22"/>
                <w:szCs w:val="22"/>
              </w:rPr>
              <w:t>completările</w:t>
            </w:r>
            <w:r w:rsidRPr="003B5B5D">
              <w:rPr>
                <w:rFonts w:eastAsia="Times New Roman" w:cs="Times New Roman"/>
                <w:color w:val="000000"/>
                <w:sz w:val="22"/>
                <w:szCs w:val="22"/>
              </w:rPr>
              <w:t xml:space="preserve"> ulterioare)</w:t>
            </w:r>
          </w:p>
        </w:tc>
        <w:tc>
          <w:tcPr>
            <w:tcW w:w="4819" w:type="dxa"/>
          </w:tcPr>
          <w:p w14:paraId="71ACF5F1"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Institutul Naţional de Cercetare-Dezvoltare Marină "Grigore Antipa" - I.N.C.D.M. Constanţa (asigură secretariatul tehnic)</w:t>
            </w:r>
          </w:p>
          <w:p w14:paraId="13640881"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Administraţiei Naţionale "Apele Române" - Administrația Bazinală de Apă Dobrogea-Litoral, Constanţa (asigură spațiul de întâlnire / lucru)</w:t>
            </w:r>
          </w:p>
        </w:tc>
        <w:tc>
          <w:tcPr>
            <w:tcW w:w="4961" w:type="dxa"/>
          </w:tcPr>
          <w:p w14:paraId="7FA6EA57"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Comitetul stabileşte modalităţile de verificare a respectării prevederilor Ordonanţei de urgenţă a Guvernului nr. 202/2002 privind gospodărirea integrată a zonei costiere, aprobată cu modificări şi completări prin Legea nr. 280/2003</w:t>
            </w:r>
          </w:p>
        </w:tc>
      </w:tr>
      <w:tr w:rsidR="00670FD4" w:rsidRPr="003B5B5D" w14:paraId="650834DC" w14:textId="77777777" w:rsidTr="001925BA">
        <w:trPr>
          <w:jc w:val="center"/>
        </w:trPr>
        <w:tc>
          <w:tcPr>
            <w:tcW w:w="562" w:type="dxa"/>
          </w:tcPr>
          <w:p w14:paraId="5D3F6514"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641594D1"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Hotărârea Guvernului nr. 749 /2004 pentru stabilirea responsabilităților, criteriilor și a metodei de delimitare a fâșiei de teren aflată în apropierea zonei costiere pentru a conserva valorile mediului, patrimoniale și peisagistice în apropiere de țărm</w:t>
            </w:r>
          </w:p>
        </w:tc>
        <w:tc>
          <w:tcPr>
            <w:tcW w:w="4819" w:type="dxa"/>
          </w:tcPr>
          <w:p w14:paraId="2AFB0CFD"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Administraţiei Rezervaţiei Biosferei "Delta Dunării"</w:t>
            </w:r>
          </w:p>
          <w:p w14:paraId="7C2E116F"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Administrațiile publice locale din zona costieră</w:t>
            </w:r>
          </w:p>
          <w:p w14:paraId="0E5FD320"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Autorități ale zonelor portuare, militare și de securitate</w:t>
            </w:r>
          </w:p>
        </w:tc>
        <w:tc>
          <w:tcPr>
            <w:tcW w:w="4961" w:type="dxa"/>
          </w:tcPr>
          <w:p w14:paraId="0D333996"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Unităţile administrativ-teritoriale au obligaţia să îşi actualizeze documentaţiile de urbanism</w:t>
            </w:r>
            <w:r w:rsidRPr="003B5B5D">
              <w:rPr>
                <w:rFonts w:eastAsia="Times New Roman" w:cs="Times New Roman"/>
                <w:color w:val="000000"/>
                <w:sz w:val="22"/>
                <w:szCs w:val="22"/>
                <w:vertAlign w:val="superscript"/>
              </w:rPr>
              <w:footnoteReference w:id="2"/>
            </w:r>
          </w:p>
          <w:p w14:paraId="0134E37F"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Zonele portuare, zonele militare şi de securitate delimitate conform normelor legale în vigoare sunt supuse unor reglementări specifice, conform legii.</w:t>
            </w:r>
          </w:p>
        </w:tc>
      </w:tr>
      <w:tr w:rsidR="00670FD4" w:rsidRPr="003B5B5D" w14:paraId="1012E9E2" w14:textId="77777777" w:rsidTr="001925BA">
        <w:trPr>
          <w:jc w:val="center"/>
        </w:trPr>
        <w:tc>
          <w:tcPr>
            <w:tcW w:w="562" w:type="dxa"/>
          </w:tcPr>
          <w:p w14:paraId="06E0BED5"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7705A753"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Hotărârea Guvernului nr. 546 /2004 privind aprobarea metodologiei de delimitare a domeniului public al statului în zona costieră.</w:t>
            </w:r>
          </w:p>
        </w:tc>
        <w:tc>
          <w:tcPr>
            <w:tcW w:w="4819" w:type="dxa"/>
          </w:tcPr>
          <w:p w14:paraId="2EF112F7"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Ministrul mediului şi gospodăririi apelor</w:t>
            </w:r>
          </w:p>
          <w:p w14:paraId="7171524A"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Administraţia Naţională "Apele Române"</w:t>
            </w:r>
          </w:p>
          <w:p w14:paraId="236EC271"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Ministrul administraţiei şi internelor</w:t>
            </w:r>
          </w:p>
          <w:p w14:paraId="6B262FB5"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lastRenderedPageBreak/>
              <w:t>Ministerului Apărării Naţionale (Direcţia hidrografică maritimă)</w:t>
            </w:r>
          </w:p>
          <w:p w14:paraId="3301179C"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Ministerului Transporturilor, Construcţiilor şi Turismului</w:t>
            </w:r>
          </w:p>
          <w:p w14:paraId="4BF38207"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 xml:space="preserve">Ministerului Administraţiei şi Internelor </w:t>
            </w:r>
          </w:p>
          <w:p w14:paraId="57D035E3"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Oficiul Naţional de Cadastru, Geodezie şi Cartografie</w:t>
            </w:r>
          </w:p>
          <w:p w14:paraId="69B01C28"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Comitetul naţional al zonei costiere</w:t>
            </w:r>
            <w:r w:rsidRPr="003B5B5D">
              <w:rPr>
                <w:rFonts w:eastAsia="Times New Roman" w:cs="Times New Roman"/>
                <w:color w:val="000000"/>
                <w:sz w:val="22"/>
                <w:szCs w:val="22"/>
                <w:vertAlign w:val="superscript"/>
              </w:rPr>
              <w:footnoteReference w:id="3"/>
            </w:r>
          </w:p>
        </w:tc>
        <w:tc>
          <w:tcPr>
            <w:tcW w:w="4961" w:type="dxa"/>
          </w:tcPr>
          <w:p w14:paraId="24350A71"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Întocmirea planurilor cadastrale digitale şi a bazelor de date aferente, conform Normelor tehnice elaborate în condiţiile legii de Oficiul Naţional de Cadastru, Geodezie şi Cartografie</w:t>
            </w:r>
          </w:p>
          <w:p w14:paraId="21DE57B6"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sz w:val="22"/>
                <w:szCs w:val="22"/>
              </w:rPr>
            </w:pPr>
          </w:p>
          <w:p w14:paraId="69D79F9B"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sz w:val="22"/>
                <w:szCs w:val="22"/>
              </w:rPr>
            </w:pPr>
            <w:r w:rsidRPr="003B5B5D">
              <w:rPr>
                <w:rFonts w:eastAsia="Times New Roman" w:cs="Times New Roman"/>
                <w:i/>
                <w:sz w:val="22"/>
                <w:szCs w:val="22"/>
              </w:rPr>
              <w:t>Notă: actul normativ stabilește pe baza criteriilor de utilizare şi gestionare, o serie de zone funcţionale ale zonei costiere (conf. prevederilor OUG 202 / 2002)</w:t>
            </w:r>
          </w:p>
        </w:tc>
      </w:tr>
      <w:tr w:rsidR="00670FD4" w:rsidRPr="003B5B5D" w14:paraId="5193F060" w14:textId="77777777" w:rsidTr="001925BA">
        <w:trPr>
          <w:jc w:val="center"/>
        </w:trPr>
        <w:tc>
          <w:tcPr>
            <w:tcW w:w="14028" w:type="dxa"/>
            <w:gridSpan w:val="4"/>
            <w:shd w:val="clear" w:color="auto" w:fill="F2F2F2"/>
          </w:tcPr>
          <w:p w14:paraId="40A33E25"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b/>
                <w:color w:val="000000"/>
                <w:sz w:val="22"/>
                <w:szCs w:val="22"/>
              </w:rPr>
            </w:pPr>
            <w:r w:rsidRPr="003B5B5D">
              <w:rPr>
                <w:rFonts w:eastAsia="Times New Roman" w:cs="Times New Roman"/>
                <w:b/>
                <w:color w:val="000000"/>
                <w:sz w:val="22"/>
                <w:szCs w:val="22"/>
              </w:rPr>
              <w:lastRenderedPageBreak/>
              <w:t>Legislație complementară</w:t>
            </w:r>
          </w:p>
        </w:tc>
      </w:tr>
      <w:tr w:rsidR="00670FD4" w:rsidRPr="003B5B5D" w14:paraId="525417FD" w14:textId="77777777" w:rsidTr="001925BA">
        <w:trPr>
          <w:jc w:val="center"/>
        </w:trPr>
        <w:tc>
          <w:tcPr>
            <w:tcW w:w="562" w:type="dxa"/>
          </w:tcPr>
          <w:p w14:paraId="33797209"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551890F8"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nr. 74 din 25 aprilie 2019 privind gestionarea siturilor potențial contaminate și a celor contaminate</w:t>
            </w:r>
          </w:p>
        </w:tc>
        <w:tc>
          <w:tcPr>
            <w:tcW w:w="4819" w:type="dxa"/>
          </w:tcPr>
          <w:p w14:paraId="2A7E61CC"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publică centrală pentru protecţia mediului, prin unităţile din subordine</w:t>
            </w:r>
          </w:p>
          <w:p w14:paraId="4D7A9192"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Agenţia Naţională pentru Protecţia Mediului</w:t>
            </w:r>
          </w:p>
          <w:p w14:paraId="722F6C4C"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Garda Națională de Mediu</w:t>
            </w:r>
          </w:p>
          <w:p w14:paraId="205A8CC8"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333333"/>
                <w:sz w:val="22"/>
                <w:szCs w:val="22"/>
                <w:highlight w:val="white"/>
              </w:rPr>
              <w:t>Autorităţile administraţiei publice locale</w:t>
            </w:r>
          </w:p>
        </w:tc>
        <w:tc>
          <w:tcPr>
            <w:tcW w:w="4961" w:type="dxa"/>
          </w:tcPr>
          <w:p w14:paraId="4CD7A128"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 xml:space="preserve">Metodologia de investigare a siturilor potenţial contaminate şi a celor contaminate </w:t>
            </w:r>
          </w:p>
          <w:p w14:paraId="074E66D5"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Metodologia de remediere a siturilor contaminate</w:t>
            </w:r>
          </w:p>
          <w:p w14:paraId="65CBB10C"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p>
        </w:tc>
      </w:tr>
      <w:tr w:rsidR="00670FD4" w:rsidRPr="003B5B5D" w14:paraId="30480E7C" w14:textId="77777777" w:rsidTr="001925BA">
        <w:trPr>
          <w:jc w:val="center"/>
        </w:trPr>
        <w:tc>
          <w:tcPr>
            <w:tcW w:w="562" w:type="dxa"/>
          </w:tcPr>
          <w:p w14:paraId="7F291DB2"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67653F3B"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292 / 2018 privind evaluarea impactului anumitor proiecte publice și private asupra mediului</w:t>
            </w:r>
          </w:p>
        </w:tc>
        <w:tc>
          <w:tcPr>
            <w:tcW w:w="4819" w:type="dxa"/>
          </w:tcPr>
          <w:p w14:paraId="3237A728"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publică centrală pentru protecţia mediului</w:t>
            </w:r>
          </w:p>
          <w:p w14:paraId="1C147284"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Administraţia Rezervaţiei Biosferei "Delta Dunării"</w:t>
            </w:r>
          </w:p>
          <w:p w14:paraId="5779E248"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Agenţia Naţională pentru Protecţia Mediului,</w:t>
            </w:r>
          </w:p>
          <w:p w14:paraId="79EAC410"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Autorităţile publice teritoriale pentru protecţia mediului organizate la nivel judeţean şi la nivelul municipiului Bucureşti</w:t>
            </w:r>
          </w:p>
          <w:p w14:paraId="3E7086D5"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lastRenderedPageBreak/>
              <w:t>Administraţia Naţională "Apele Române" şi unităţile aflate în subordinea acesteia</w:t>
            </w:r>
          </w:p>
          <w:p w14:paraId="7DF17E4E"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 xml:space="preserve">Ministerului Afacerilor Externe </w:t>
            </w:r>
          </w:p>
        </w:tc>
        <w:tc>
          <w:tcPr>
            <w:tcW w:w="4961" w:type="dxa"/>
          </w:tcPr>
          <w:p w14:paraId="348769E0"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Condiţii de elaborare a raportului de mediu, a raportului privind impactul asupra mediului, a bilanţului de mediu, a raportului privind situaţia de referinţă, a raportului de securitate şi a studiului de evaluare adecvată</w:t>
            </w:r>
          </w:p>
          <w:p w14:paraId="49F593CF"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Ghidului metodologic privind evaluarea adecvată a efectelor potenţiale ale planurilor sau proiectelor asupra ariilor naturale protejate de interes comunitar</w:t>
            </w:r>
          </w:p>
          <w:p w14:paraId="6D345971"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Procedura de emitere a avizului de gospodărire a apelor care include evaluarea impactului asupra corpurilor de apă</w:t>
            </w:r>
          </w:p>
          <w:p w14:paraId="0C583DD0"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Ghiduri pentru diferite domenii şi categorii de proiecte (pentru parcurgerea procedurii şi examinarea raportului privind impactul asupra mediului şi a studiului de evaluare adecvată)</w:t>
            </w:r>
          </w:p>
        </w:tc>
      </w:tr>
      <w:tr w:rsidR="00670FD4" w:rsidRPr="003B5B5D" w14:paraId="2807B4E3" w14:textId="77777777" w:rsidTr="001925BA">
        <w:trPr>
          <w:jc w:val="center"/>
        </w:trPr>
        <w:tc>
          <w:tcPr>
            <w:tcW w:w="562" w:type="dxa"/>
          </w:tcPr>
          <w:p w14:paraId="57606E2E"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296FD153"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nr. 59 din 11 aprilie 2016 privind controlul asupra pericolelor de accident major în care sunt implicate substanțe periculoase</w:t>
            </w:r>
          </w:p>
        </w:tc>
        <w:tc>
          <w:tcPr>
            <w:tcW w:w="4819" w:type="dxa"/>
          </w:tcPr>
          <w:p w14:paraId="41BE253C"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Mediului, Apelor şi Pădurilor</w:t>
            </w:r>
          </w:p>
          <w:p w14:paraId="36A73E99"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Agenţia Naţională pentru Protecţia Mediului</w:t>
            </w:r>
          </w:p>
          <w:p w14:paraId="49193837"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Garda Naţională de Mediu</w:t>
            </w:r>
          </w:p>
          <w:p w14:paraId="678E7E81"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Afacerilor Interne, prin Departamentul pentru Situaţii de Urgenţă (DSU)</w:t>
            </w:r>
          </w:p>
          <w:p w14:paraId="6098039D"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Agenţiile judeţene pentru protecţia mediului</w:t>
            </w:r>
          </w:p>
          <w:p w14:paraId="42CF7554"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 xml:space="preserve">Alte structuri județene (comisariate) </w:t>
            </w:r>
          </w:p>
          <w:p w14:paraId="2BD4E272"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Autorități ale administrației publice locale</w:t>
            </w:r>
          </w:p>
        </w:tc>
        <w:tc>
          <w:tcPr>
            <w:tcW w:w="4961" w:type="dxa"/>
          </w:tcPr>
          <w:p w14:paraId="20FFFB78"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Procedurile şi normele metodologice privind:</w:t>
            </w:r>
          </w:p>
          <w:p w14:paraId="175EEC15" w14:textId="77777777" w:rsidR="00670FD4" w:rsidRPr="003B5B5D" w:rsidRDefault="00670FD4" w:rsidP="001925BA">
            <w:pPr>
              <w:numPr>
                <w:ilvl w:val="0"/>
                <w:numId w:val="20"/>
              </w:num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 xml:space="preserve">evaluarea raportului de securitate privind activităţile care prezintă pericole de producere a accidentelor majore în care sunt implicate substanţe periculoase, </w:t>
            </w:r>
          </w:p>
          <w:p w14:paraId="2F93B207" w14:textId="77777777" w:rsidR="00670FD4" w:rsidRPr="003B5B5D" w:rsidRDefault="00670FD4" w:rsidP="001925BA">
            <w:pPr>
              <w:numPr>
                <w:ilvl w:val="0"/>
                <w:numId w:val="20"/>
              </w:num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 xml:space="preserve">elaborarea planurilor de urgenţă în caz de accidente în care sunt implicate substanţe periculoase, </w:t>
            </w:r>
          </w:p>
          <w:p w14:paraId="50218C8F" w14:textId="77777777" w:rsidR="00670FD4" w:rsidRPr="003B5B5D" w:rsidRDefault="00670FD4" w:rsidP="001925BA">
            <w:pPr>
              <w:numPr>
                <w:ilvl w:val="0"/>
                <w:numId w:val="20"/>
              </w:num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procedura de inspecţie pentru amplasamentele care prezintă pericole de producere a accidentelor majore în care sunt implicate substanţe periculoase</w:t>
            </w:r>
          </w:p>
          <w:p w14:paraId="321A37DF" w14:textId="77777777" w:rsidR="00670FD4" w:rsidRPr="003B5B5D" w:rsidRDefault="00670FD4" w:rsidP="001925BA">
            <w:pPr>
              <w:numPr>
                <w:ilvl w:val="0"/>
                <w:numId w:val="20"/>
              </w:num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procedurile de notificare a activităţilor care prezintă pericole de producere a accidentelor majore în care sunt implicate substanţe periculoase şi, respectiv, a accidentelor majore produse</w:t>
            </w:r>
          </w:p>
          <w:p w14:paraId="32DE2B65" w14:textId="77777777" w:rsidR="00670FD4" w:rsidRPr="003B5B5D" w:rsidRDefault="00670FD4" w:rsidP="001925BA">
            <w:pPr>
              <w:numPr>
                <w:ilvl w:val="0"/>
                <w:numId w:val="20"/>
              </w:num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organizarea şi funcţionarea secretariatelor de risc privind controlul activităţilor care prezintă pericole de accidente majore în care sunt implicate substanţe periculoase</w:t>
            </w:r>
          </w:p>
          <w:p w14:paraId="1033A32D" w14:textId="77777777" w:rsidR="00670FD4" w:rsidRPr="003B5B5D" w:rsidRDefault="00670FD4" w:rsidP="001925BA">
            <w:pPr>
              <w:numPr>
                <w:ilvl w:val="0"/>
                <w:numId w:val="20"/>
              </w:num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privind procedura de investigare a accidentelor majore în care sunt implicate substanţe periculoase</w:t>
            </w:r>
          </w:p>
        </w:tc>
      </w:tr>
      <w:tr w:rsidR="00670FD4" w:rsidRPr="003B5B5D" w14:paraId="6905E455" w14:textId="77777777" w:rsidTr="001925BA">
        <w:trPr>
          <w:jc w:val="center"/>
        </w:trPr>
        <w:tc>
          <w:tcPr>
            <w:tcW w:w="562" w:type="dxa"/>
          </w:tcPr>
          <w:p w14:paraId="4AB34381"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5A3179F0"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nr. 278 /2013 privind emisiile industriale, cu modificările şi completările ulterioare</w:t>
            </w:r>
          </w:p>
        </w:tc>
        <w:tc>
          <w:tcPr>
            <w:tcW w:w="4819" w:type="dxa"/>
          </w:tcPr>
          <w:p w14:paraId="371FD05E"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publică centrală pentru protecţia mediului</w:t>
            </w:r>
          </w:p>
          <w:p w14:paraId="5A897A5E"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Agenţia Naţională pentru Protecţia Mediului</w:t>
            </w:r>
          </w:p>
          <w:p w14:paraId="67284848"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Garda Naţională de Mediu şi structurile sale teritoriale</w:t>
            </w:r>
          </w:p>
        </w:tc>
        <w:tc>
          <w:tcPr>
            <w:tcW w:w="4961" w:type="dxa"/>
          </w:tcPr>
          <w:p w14:paraId="0F69CDB9"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Procedura de emitere a autorizaţiei integrate de mediu/emitere a autorizaţiei de mediu.</w:t>
            </w:r>
          </w:p>
        </w:tc>
      </w:tr>
      <w:tr w:rsidR="00670FD4" w:rsidRPr="003B5B5D" w14:paraId="521ED505" w14:textId="77777777" w:rsidTr="001925BA">
        <w:trPr>
          <w:jc w:val="center"/>
        </w:trPr>
        <w:tc>
          <w:tcPr>
            <w:tcW w:w="562" w:type="dxa"/>
          </w:tcPr>
          <w:p w14:paraId="22157E93"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2DA5A43F"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nr. 104/2011 privind calitatea aerului înconjurător</w:t>
            </w:r>
          </w:p>
        </w:tc>
        <w:tc>
          <w:tcPr>
            <w:tcW w:w="4819" w:type="dxa"/>
          </w:tcPr>
          <w:p w14:paraId="469ACC5E"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publică centrală pentru protecţia mediului şi autorităţile publice care funcţionează în subordinea, sub autoritatea şi în coordonarea sa Alte autorități publice centrale</w:t>
            </w:r>
          </w:p>
          <w:p w14:paraId="3B9F16ED"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Autorități publice locale</w:t>
            </w:r>
          </w:p>
          <w:p w14:paraId="613F67B3"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Institutul Naţional de Statistică şi direcţiile teritoriale</w:t>
            </w:r>
          </w:p>
          <w:p w14:paraId="587A238E"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Centrul de Evaluare a Calităţii Aerului (CECA)</w:t>
            </w:r>
          </w:p>
          <w:p w14:paraId="60B2DD25"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Laboratorul Naţional de Referinţă pentru Calitatea Aerului (LNRCA)</w:t>
            </w:r>
          </w:p>
        </w:tc>
        <w:tc>
          <w:tcPr>
            <w:tcW w:w="4961" w:type="dxa"/>
          </w:tcPr>
          <w:p w14:paraId="48DAB71F"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Organizarea Sistemul Naţional de Evaluare şi Gestionare Integrată a Calităţii Aerului (SNEGICA)</w:t>
            </w:r>
          </w:p>
          <w:p w14:paraId="09B00292"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Metodologia de elaborare a planurilor de calitate a aerului, a planurilor de acţiune pe termen scurt şi a planurilor de menţinere a calităţii aerului</w:t>
            </w:r>
          </w:p>
          <w:p w14:paraId="405F5A81"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 xml:space="preserve">Norme și </w:t>
            </w:r>
            <w:r w:rsidRPr="003B5B5D">
              <w:rPr>
                <w:rFonts w:eastAsia="Times New Roman" w:cs="Times New Roman"/>
                <w:sz w:val="22"/>
                <w:szCs w:val="22"/>
              </w:rPr>
              <w:t>reglementări</w:t>
            </w:r>
            <w:r w:rsidRPr="003B5B5D">
              <w:rPr>
                <w:rFonts w:eastAsia="Times New Roman" w:cs="Times New Roman"/>
                <w:color w:val="000000"/>
                <w:sz w:val="22"/>
                <w:szCs w:val="22"/>
              </w:rPr>
              <w:t xml:space="preserve"> în domeniile sănătății populației, transporturilor, agriculturii, norme referitoare la calitatea combustibililor la manipularea acestora</w:t>
            </w:r>
          </w:p>
          <w:p w14:paraId="251FDAEF"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Normativ privind stabilirea indicilor de calitate a aerului înconjurător în vederea facilitării informării publicului</w:t>
            </w:r>
          </w:p>
        </w:tc>
      </w:tr>
      <w:tr w:rsidR="00670FD4" w:rsidRPr="003B5B5D" w14:paraId="6472CF8F" w14:textId="77777777" w:rsidTr="001925BA">
        <w:trPr>
          <w:jc w:val="center"/>
        </w:trPr>
        <w:tc>
          <w:tcPr>
            <w:tcW w:w="562" w:type="dxa"/>
          </w:tcPr>
          <w:p w14:paraId="03DF04A0"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1DC11F81"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nr. 422 /2001 privind protejarea monumentelor istorice</w:t>
            </w:r>
          </w:p>
        </w:tc>
        <w:tc>
          <w:tcPr>
            <w:tcW w:w="4819" w:type="dxa"/>
          </w:tcPr>
          <w:p w14:paraId="14E2663E"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Culturii şi Cultelor și serviciile publice deconcentrate ale acestuia</w:t>
            </w:r>
          </w:p>
          <w:p w14:paraId="4C790BD9"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Comisia Naţională a Monumentelor, Ansamblurilor şi Siturilor Istorice</w:t>
            </w:r>
          </w:p>
          <w:p w14:paraId="5AC86DEE"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Institutul Naţional al Patrimoniului</w:t>
            </w:r>
          </w:p>
          <w:p w14:paraId="562E2517"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Inspectoratul de Stat în Construcţii</w:t>
            </w:r>
          </w:p>
          <w:p w14:paraId="4351D732"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lastRenderedPageBreak/>
              <w:t>Autorităţile administraţiei publice locale</w:t>
            </w:r>
          </w:p>
        </w:tc>
        <w:tc>
          <w:tcPr>
            <w:tcW w:w="4961" w:type="dxa"/>
          </w:tcPr>
          <w:p w14:paraId="35B96BF6"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Lista cuprinzând monumentele, ansamblurile şi siturile istorice</w:t>
            </w:r>
          </w:p>
          <w:p w14:paraId="256F8B32"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Strategia naţională privind protejarea monumentelor istorice (elaborată de INP)</w:t>
            </w:r>
          </w:p>
          <w:p w14:paraId="433BB3F0"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 xml:space="preserve">Reglementări tehnico-economice, de norme şi metodologii privind elaborarea de documentaţii specifice, executării de lucrări, realizării de achiziţii, </w:t>
            </w:r>
            <w:r w:rsidRPr="003B5B5D">
              <w:rPr>
                <w:rFonts w:eastAsia="Times New Roman" w:cs="Times New Roman"/>
                <w:color w:val="000000"/>
                <w:sz w:val="22"/>
                <w:szCs w:val="22"/>
              </w:rPr>
              <w:lastRenderedPageBreak/>
              <w:t>contractării şi decontării de lucrări privind monumentele istorice (din timbrul MI)</w:t>
            </w:r>
          </w:p>
        </w:tc>
      </w:tr>
      <w:tr w:rsidR="00670FD4" w:rsidRPr="003B5B5D" w14:paraId="460FBF38" w14:textId="77777777" w:rsidTr="001925BA">
        <w:trPr>
          <w:jc w:val="center"/>
        </w:trPr>
        <w:tc>
          <w:tcPr>
            <w:tcW w:w="562" w:type="dxa"/>
          </w:tcPr>
          <w:p w14:paraId="239184D5"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20A197BA"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nr. 351/2001 privind aprobarea Planului de amenajare a teritoriului naţional - Secţiunea a IV-a Reţeaua de localităţi</w:t>
            </w:r>
          </w:p>
        </w:tc>
        <w:tc>
          <w:tcPr>
            <w:tcW w:w="4819" w:type="dxa"/>
          </w:tcPr>
          <w:p w14:paraId="724684D2"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333333"/>
                <w:sz w:val="22"/>
                <w:szCs w:val="22"/>
              </w:rPr>
            </w:pPr>
            <w:r w:rsidRPr="003B5B5D">
              <w:rPr>
                <w:rFonts w:eastAsia="Times New Roman" w:cs="Times New Roman"/>
                <w:color w:val="333333"/>
                <w:sz w:val="22"/>
                <w:szCs w:val="22"/>
              </w:rPr>
              <w:t xml:space="preserve">Autorităţile administraţiei publice centrale </w:t>
            </w:r>
          </w:p>
          <w:p w14:paraId="16626CB8"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Autorităţile administraţiei publice locale</w:t>
            </w:r>
          </w:p>
        </w:tc>
        <w:tc>
          <w:tcPr>
            <w:tcW w:w="4961" w:type="dxa"/>
          </w:tcPr>
          <w:p w14:paraId="58F18F35"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i/>
                <w:color w:val="000000"/>
                <w:sz w:val="22"/>
                <w:szCs w:val="22"/>
              </w:rPr>
            </w:pPr>
            <w:r w:rsidRPr="003B5B5D">
              <w:rPr>
                <w:rFonts w:eastAsia="Times New Roman" w:cs="Times New Roman"/>
                <w:i/>
                <w:color w:val="000000"/>
                <w:sz w:val="22"/>
                <w:szCs w:val="22"/>
              </w:rPr>
              <w:t>Art. 10 - În planurile urbanistice elaborate şi aprobate potrivit legii se va prevedea înfiinţarea de centuri sau zone verzi în jurul Capitalei României şi al municipiilor de rangul I şi II.</w:t>
            </w:r>
          </w:p>
        </w:tc>
      </w:tr>
      <w:tr w:rsidR="00670FD4" w:rsidRPr="003B5B5D" w14:paraId="1A0EBAA8" w14:textId="77777777" w:rsidTr="001925BA">
        <w:trPr>
          <w:jc w:val="center"/>
        </w:trPr>
        <w:tc>
          <w:tcPr>
            <w:tcW w:w="562" w:type="dxa"/>
          </w:tcPr>
          <w:p w14:paraId="65278E73"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3990BA14"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nr. 350 /2001 privind amenajarea teritoriului și urbanismul, cu modificările și completările ulterioare</w:t>
            </w:r>
          </w:p>
        </w:tc>
        <w:tc>
          <w:tcPr>
            <w:tcW w:w="4819" w:type="dxa"/>
          </w:tcPr>
          <w:p w14:paraId="003F651D"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Dezvoltării, Lucrărilor Publice și Administrației</w:t>
            </w:r>
          </w:p>
          <w:p w14:paraId="1B16C6D4"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Autorităţile administraţiei publice locale</w:t>
            </w:r>
          </w:p>
          <w:p w14:paraId="53D67CD2"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Comisia Naţională de Dezvoltare Teritorială</w:t>
            </w:r>
          </w:p>
          <w:p w14:paraId="667F694A"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Registrul Urbaniştilor din România</w:t>
            </w:r>
          </w:p>
        </w:tc>
        <w:tc>
          <w:tcPr>
            <w:tcW w:w="4961" w:type="dxa"/>
          </w:tcPr>
          <w:p w14:paraId="40F73664"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 xml:space="preserve">Secțiuni ale Planului de Amenajare a Teritoriului Național (PATN) </w:t>
            </w:r>
          </w:p>
          <w:p w14:paraId="66EE737E"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Documentații de amenajarea teritoriului</w:t>
            </w:r>
          </w:p>
          <w:p w14:paraId="64D18874"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Documentații de urbanism (inclusiv regulamente locale de urbanism)</w:t>
            </w:r>
          </w:p>
          <w:p w14:paraId="556CC89E"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Normă metodologică privind exigenţele minime de conţinut ale documentaţiilor de amenajare a teritoriului şi de urbanism pentru zonele de riscuri naturale (2003)</w:t>
            </w:r>
          </w:p>
          <w:p w14:paraId="4959469D"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Metodologiei de informare şi consultare a publicului cu privire la elaborarea sau revizuirea planurilor de amenajare a teritoriului şi de urbanism (OMDRT nr. 2701 din 30/12/2010)</w:t>
            </w:r>
          </w:p>
          <w:p w14:paraId="00F6E07D"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Normele metodologice de aplicare a Legii nr. 350/2001 privind amenajarea teritoriului şi urbanismul şi de elaborare şi actualizare a documentaţiilor de urbanism (2016)</w:t>
            </w:r>
          </w:p>
        </w:tc>
      </w:tr>
      <w:tr w:rsidR="00670FD4" w:rsidRPr="003B5B5D" w14:paraId="0A814DF5" w14:textId="77777777" w:rsidTr="001925BA">
        <w:trPr>
          <w:jc w:val="center"/>
        </w:trPr>
        <w:tc>
          <w:tcPr>
            <w:tcW w:w="562" w:type="dxa"/>
          </w:tcPr>
          <w:p w14:paraId="421B8F0E"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364BF121"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 xml:space="preserve">Legea nr. 22/2001 pentru ratificarea Convenţiei privind evaluarea impactului asupra mediului în context </w:t>
            </w:r>
            <w:r w:rsidRPr="003B5B5D">
              <w:rPr>
                <w:rFonts w:eastAsia="Times New Roman" w:cs="Times New Roman"/>
                <w:color w:val="000000"/>
                <w:sz w:val="22"/>
                <w:szCs w:val="22"/>
              </w:rPr>
              <w:lastRenderedPageBreak/>
              <w:t>transfrontieră, adoptată la Espoo la 25 februarie 1991</w:t>
            </w:r>
          </w:p>
        </w:tc>
        <w:tc>
          <w:tcPr>
            <w:tcW w:w="4819" w:type="dxa"/>
          </w:tcPr>
          <w:p w14:paraId="1A6E437A"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p>
        </w:tc>
        <w:tc>
          <w:tcPr>
            <w:tcW w:w="4961" w:type="dxa"/>
          </w:tcPr>
          <w:p w14:paraId="131F538C"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Proceduri de evaluare a impactului asupra mediului, care să permită participarea publicului în ceea ce priveşte activităţile propuse, menţionate în anexa nr. I, care pot cauza un impact transfrontieră negativ semnificativ asupra mediului</w:t>
            </w:r>
          </w:p>
          <w:p w14:paraId="33D4EC7D"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sz w:val="22"/>
                <w:szCs w:val="22"/>
              </w:rPr>
              <w:lastRenderedPageBreak/>
              <w:t>Proceduri</w:t>
            </w:r>
            <w:r w:rsidRPr="003B5B5D">
              <w:rPr>
                <w:rFonts w:eastAsia="Times New Roman" w:cs="Times New Roman"/>
                <w:color w:val="000000"/>
                <w:sz w:val="22"/>
                <w:szCs w:val="22"/>
              </w:rPr>
              <w:t xml:space="preserve"> pentru pregătirea documentaţiei de evaluare a impactului asupra mediului</w:t>
            </w:r>
          </w:p>
        </w:tc>
      </w:tr>
      <w:tr w:rsidR="00670FD4" w:rsidRPr="003B5B5D" w14:paraId="756054CB" w14:textId="77777777" w:rsidTr="001925BA">
        <w:trPr>
          <w:jc w:val="center"/>
        </w:trPr>
        <w:tc>
          <w:tcPr>
            <w:tcW w:w="562" w:type="dxa"/>
          </w:tcPr>
          <w:p w14:paraId="1D985B9D"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78FF64EE"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nr. 13/1998 pentru aderarea României la Convenţia privind conservarea speciilor migratoare de animale sălbatice, adoptată la Bonn la 23 iunie 1979</w:t>
            </w:r>
          </w:p>
        </w:tc>
        <w:tc>
          <w:tcPr>
            <w:tcW w:w="4819" w:type="dxa"/>
          </w:tcPr>
          <w:p w14:paraId="78D008ED"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Agenţii sau organisme guvernamentale naţionale</w:t>
            </w:r>
          </w:p>
          <w:p w14:paraId="5FF35FB6"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Agenţii sau organisme naţionale neguvernamentale</w:t>
            </w:r>
          </w:p>
        </w:tc>
        <w:tc>
          <w:tcPr>
            <w:tcW w:w="4961" w:type="dxa"/>
          </w:tcPr>
          <w:p w14:paraId="16ABAD73"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Planuri de conservare şi gestionare</w:t>
            </w:r>
          </w:p>
          <w:p w14:paraId="5329D092"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 xml:space="preserve">Prevenirea, reducerea </w:t>
            </w:r>
            <w:sdt>
              <w:sdtPr>
                <w:rPr>
                  <w:rFonts w:cs="Times New Roman"/>
                  <w:sz w:val="22"/>
                  <w:szCs w:val="22"/>
                </w:rPr>
                <w:tag w:val="goog_rdk_64"/>
                <w:id w:val="403801717"/>
              </w:sdtPr>
              <w:sdtContent>
                <w:r w:rsidRPr="003B5B5D">
                  <w:rPr>
                    <w:rFonts w:eastAsia="Times New Roman" w:cs="Times New Roman"/>
                    <w:color w:val="000000"/>
                    <w:sz w:val="22"/>
                    <w:szCs w:val="22"/>
                  </w:rPr>
                  <w:t>sau</w:t>
                </w:r>
              </w:sdtContent>
            </w:sdt>
            <w:r w:rsidRPr="003B5B5D">
              <w:rPr>
                <w:rFonts w:eastAsia="Times New Roman" w:cs="Times New Roman"/>
                <w:color w:val="000000"/>
                <w:sz w:val="22"/>
                <w:szCs w:val="22"/>
              </w:rPr>
              <w:t xml:space="preserve"> controlul evacuării în habitatul speciei migratoare a unor substanţe nocive pentru aceasta</w:t>
            </w:r>
          </w:p>
          <w:p w14:paraId="063348EF"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Măsuri bazate pe principii ecologice pentru controlul şi gestionarea capturării speciilor migratoare</w:t>
            </w:r>
          </w:p>
          <w:p w14:paraId="7881AEC5"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Proceduri pentru coordonarea acţiunii de anihilare a capturărilor ilegale</w:t>
            </w:r>
          </w:p>
          <w:p w14:paraId="221AB361"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Proceduri de urgenţă prin care acţiunea de conservare ar putea fi întărită considerabil şi rapid, atunci când starea de conservare a speciei migratoare este serios afectată</w:t>
            </w:r>
          </w:p>
        </w:tc>
      </w:tr>
      <w:tr w:rsidR="00670FD4" w:rsidRPr="003B5B5D" w14:paraId="7AE20EF8" w14:textId="77777777" w:rsidTr="001925BA">
        <w:trPr>
          <w:jc w:val="center"/>
        </w:trPr>
        <w:tc>
          <w:tcPr>
            <w:tcW w:w="562" w:type="dxa"/>
          </w:tcPr>
          <w:p w14:paraId="0BA1F7AB"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5FA721C7"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Apelor nr. 107 /1996 cu modificările și completările ulterioare</w:t>
            </w:r>
          </w:p>
        </w:tc>
        <w:tc>
          <w:tcPr>
            <w:tcW w:w="4819" w:type="dxa"/>
          </w:tcPr>
          <w:p w14:paraId="29C7B426"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Mediului, Apelor și Pădurilor</w:t>
            </w:r>
          </w:p>
          <w:p w14:paraId="6D56DC03"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Administraţia Naţională «Apele Române» și administraţii bazinale de apă</w:t>
            </w:r>
          </w:p>
          <w:p w14:paraId="3843407F"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Consiliului interministerial al apelor</w:t>
            </w:r>
          </w:p>
        </w:tc>
        <w:tc>
          <w:tcPr>
            <w:tcW w:w="4961" w:type="dxa"/>
          </w:tcPr>
          <w:p w14:paraId="070E2713"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Planuri de management ale bazinelor/spațiilor hidrografice</w:t>
            </w:r>
          </w:p>
          <w:p w14:paraId="44FDBCB3"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Planuri de management al riscului la inundaţii</w:t>
            </w:r>
          </w:p>
          <w:p w14:paraId="553CECBA"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Procedura şi competenţele de emitere a avizului de gospodărire a apelor</w:t>
            </w:r>
          </w:p>
          <w:p w14:paraId="1D528346"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Procedura de instituire a regimului de supraveghere specială</w:t>
            </w:r>
          </w:p>
          <w:p w14:paraId="0182D6E5"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Competenţele de avizare şi aprobare a regulamentelor de exploatare şi a programelor de exploatare a lacurilor de acumulare</w:t>
            </w:r>
          </w:p>
          <w:p w14:paraId="137AC717"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Norme metodologice pentru elaborarea regulamentelor de exploatare bazinală;</w:t>
            </w:r>
          </w:p>
          <w:p w14:paraId="68348429"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Regulamentul-cadru pentru exploatarea barajelor, lacurilor de acumulare şi prizelor de alimentare cu apă</w:t>
            </w:r>
          </w:p>
          <w:p w14:paraId="41BF1730"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Metodologia-cadru de elaborare a planurilor de prevenire şi combatere a poluărilor accidentale la folosinţele de apă potenţial poluatoare;</w:t>
            </w:r>
          </w:p>
          <w:p w14:paraId="5AE95903"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Procedura privind participarea utilizatorilor de apă, a riveranilor şi a publicului în activitatea de consultare;</w:t>
            </w:r>
          </w:p>
          <w:p w14:paraId="4508BA5B"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Proceduri şi norme metodologice pentru delimitarea albiilor minore ale cursurilor de apă cadastrale interioare ale României, a fluviului Dunărea cu braţele, insulele şi ostroavele sale, a zonei aferente Administraţiei Rezervaţiei Biosferei «Delta Dunării» cu insulele şi ostroavele aferente, precum şi a lacurilor care aparţin domeniului public al statului, respectiv a zonelor de protecţie aferente acestora</w:t>
            </w:r>
          </w:p>
        </w:tc>
      </w:tr>
      <w:tr w:rsidR="00670FD4" w:rsidRPr="003B5B5D" w14:paraId="7BD0B9FD" w14:textId="77777777" w:rsidTr="001925BA">
        <w:trPr>
          <w:jc w:val="center"/>
        </w:trPr>
        <w:tc>
          <w:tcPr>
            <w:tcW w:w="562" w:type="dxa"/>
          </w:tcPr>
          <w:p w14:paraId="4D653F19"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4032776D"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nr. 69/1994 pentru aderarea României la Convenţia privind comerţul internaţional cu specii sălbatice de faună şi floră pe cale de dispariţie, adoptată la Washington la 3 martie 1973</w:t>
            </w:r>
          </w:p>
        </w:tc>
        <w:tc>
          <w:tcPr>
            <w:tcW w:w="4819" w:type="dxa"/>
          </w:tcPr>
          <w:p w14:paraId="6B1C662A"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Apelor, Pădurilor şi Protecţiei Mediului</w:t>
            </w:r>
          </w:p>
          <w:p w14:paraId="3B8843BB"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 xml:space="preserve">Academia Română </w:t>
            </w:r>
          </w:p>
          <w:p w14:paraId="759B3B1E"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Institutul de Cercetări şi Amenajări Silvice</w:t>
            </w:r>
          </w:p>
        </w:tc>
        <w:tc>
          <w:tcPr>
            <w:tcW w:w="4961" w:type="dxa"/>
          </w:tcPr>
          <w:p w14:paraId="5F37D419"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Reglementarea comerţului cu indivizi ai speciilor</w:t>
            </w:r>
            <w:r w:rsidRPr="003B5B5D">
              <w:rPr>
                <w:rFonts w:cs="Times New Roman"/>
                <w:sz w:val="22"/>
                <w:szCs w:val="22"/>
              </w:rPr>
              <w:t xml:space="preserve"> </w:t>
            </w:r>
            <w:r w:rsidRPr="003B5B5D">
              <w:rPr>
                <w:rFonts w:eastAsia="Times New Roman" w:cs="Times New Roman"/>
                <w:color w:val="000000"/>
                <w:sz w:val="22"/>
                <w:szCs w:val="22"/>
              </w:rPr>
              <w:t xml:space="preserve">ameninţate de dispariţie sau care </w:t>
            </w:r>
            <w:r w:rsidRPr="003B5B5D">
              <w:rPr>
                <w:rFonts w:eastAsia="Times New Roman" w:cs="Times New Roman"/>
                <w:color w:val="333333"/>
                <w:sz w:val="22"/>
                <w:szCs w:val="22"/>
                <w:highlight w:val="white"/>
              </w:rPr>
              <w:t>ar putea deveni în cazul în care comerţul cu indivizi ai acestor specii nu ar fi supus unei reglementări stricte sau pe care o parte le declară supuse, în limitele competenţei sale, unei reglementări având ca scop împiedicarea sau restrângerea lor şi necesitând cooperarea celorlalte părţi pentru controlul comerţului.</w:t>
            </w:r>
          </w:p>
        </w:tc>
      </w:tr>
      <w:tr w:rsidR="00670FD4" w:rsidRPr="003B5B5D" w14:paraId="79087CBD" w14:textId="77777777" w:rsidTr="001925BA">
        <w:trPr>
          <w:jc w:val="center"/>
        </w:trPr>
        <w:tc>
          <w:tcPr>
            <w:tcW w:w="562" w:type="dxa"/>
          </w:tcPr>
          <w:p w14:paraId="117C293B"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63467BE5"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nr. 58 din 13 iulie 1994 pentru ratificarea Convenţiei privind diversitatea biologică, semnată la Rio de Janeiro la 5 iunie 1992</w:t>
            </w:r>
          </w:p>
        </w:tc>
        <w:tc>
          <w:tcPr>
            <w:tcW w:w="4819" w:type="dxa"/>
          </w:tcPr>
          <w:p w14:paraId="220BFAA0"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Autorităţi guvernamentale</w:t>
            </w:r>
          </w:p>
        </w:tc>
        <w:tc>
          <w:tcPr>
            <w:tcW w:w="4961" w:type="dxa"/>
          </w:tcPr>
          <w:p w14:paraId="409A9E52"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Strategii, planuri şi programe naţionale pentru a asigura conservarea şi utilizarea durabilă a diversităţii biologice</w:t>
            </w:r>
          </w:p>
          <w:p w14:paraId="06B89399"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Stabilire sistem de zone protejate unde sunt necesare măsuri speciale pentru conservarea diversităţii biologice</w:t>
            </w:r>
          </w:p>
          <w:p w14:paraId="720305F5"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Reglementare, administrare sau control al riscurilor legate de utilizarea şi eliberarea de organisme vii şi modificate, rezultate din biotehnologie</w:t>
            </w:r>
          </w:p>
        </w:tc>
      </w:tr>
      <w:tr w:rsidR="00670FD4" w:rsidRPr="003B5B5D" w14:paraId="33F929BB" w14:textId="77777777" w:rsidTr="001925BA">
        <w:trPr>
          <w:jc w:val="center"/>
        </w:trPr>
        <w:tc>
          <w:tcPr>
            <w:tcW w:w="562" w:type="dxa"/>
          </w:tcPr>
          <w:p w14:paraId="55A65EDD"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6A921608"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nr. 82/1993 privind constituirea Rezervației Biosferei “Delta Dunării” cu modificările și completările ulterioare</w:t>
            </w:r>
            <w:r w:rsidRPr="003B5B5D">
              <w:rPr>
                <w:rFonts w:eastAsia="Times New Roman" w:cs="Times New Roman"/>
                <w:color w:val="000000"/>
                <w:sz w:val="22"/>
                <w:szCs w:val="22"/>
                <w:vertAlign w:val="superscript"/>
              </w:rPr>
              <w:footnoteReference w:id="4"/>
            </w:r>
            <w:r w:rsidRPr="003B5B5D">
              <w:rPr>
                <w:rFonts w:eastAsia="Times New Roman" w:cs="Times New Roman"/>
                <w:color w:val="000000"/>
                <w:sz w:val="22"/>
                <w:szCs w:val="22"/>
                <w:vertAlign w:val="superscript"/>
              </w:rPr>
              <w:t xml:space="preserve">; </w:t>
            </w:r>
            <w:r w:rsidRPr="003B5B5D">
              <w:rPr>
                <w:rFonts w:eastAsia="Times New Roman" w:cs="Times New Roman"/>
                <w:color w:val="000000"/>
                <w:sz w:val="22"/>
                <w:szCs w:val="22"/>
                <w:vertAlign w:val="superscript"/>
              </w:rPr>
              <w:footnoteReference w:id="5"/>
            </w:r>
          </w:p>
        </w:tc>
        <w:tc>
          <w:tcPr>
            <w:tcW w:w="4819" w:type="dxa"/>
          </w:tcPr>
          <w:p w14:paraId="01641145"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Ministerului Mediului,</w:t>
            </w:r>
          </w:p>
          <w:p w14:paraId="76F727CE"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Guvernatorul și Administraţia Rezervaţiei</w:t>
            </w:r>
          </w:p>
          <w:p w14:paraId="02BEFC55"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Consiliul consultativ de administrare</w:t>
            </w:r>
          </w:p>
          <w:p w14:paraId="73E2F682"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Consiliul ştiinţific al rezervaţiei</w:t>
            </w:r>
          </w:p>
        </w:tc>
        <w:tc>
          <w:tcPr>
            <w:tcW w:w="4961" w:type="dxa"/>
          </w:tcPr>
          <w:p w14:paraId="6517CAD1"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Planul de management al rezervaţiei</w:t>
            </w:r>
            <w:r w:rsidRPr="003B5B5D">
              <w:rPr>
                <w:rFonts w:eastAsia="Times New Roman" w:cs="Times New Roman"/>
                <w:color w:val="000000"/>
                <w:sz w:val="22"/>
                <w:szCs w:val="22"/>
                <w:vertAlign w:val="superscript"/>
              </w:rPr>
              <w:footnoteReference w:id="6"/>
            </w:r>
          </w:p>
          <w:p w14:paraId="5CCCB2EE"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Delimitarea zonelor funcţionale cu regim diferenţiat de protecţie ecologică</w:t>
            </w:r>
            <w:r w:rsidRPr="003B5B5D">
              <w:rPr>
                <w:rFonts w:eastAsia="Times New Roman" w:cs="Times New Roman"/>
                <w:color w:val="000000"/>
                <w:sz w:val="22"/>
                <w:szCs w:val="22"/>
                <w:vertAlign w:val="superscript"/>
              </w:rPr>
              <w:footnoteReference w:id="7"/>
            </w:r>
            <w:r w:rsidRPr="003B5B5D">
              <w:rPr>
                <w:rFonts w:eastAsia="Times New Roman" w:cs="Times New Roman"/>
                <w:color w:val="000000"/>
                <w:sz w:val="22"/>
                <w:szCs w:val="22"/>
                <w:vertAlign w:val="superscript"/>
              </w:rPr>
              <w:t>;</w:t>
            </w:r>
            <w:r w:rsidRPr="003B5B5D">
              <w:rPr>
                <w:rFonts w:eastAsia="Times New Roman" w:cs="Times New Roman"/>
                <w:color w:val="000000"/>
                <w:sz w:val="22"/>
                <w:szCs w:val="22"/>
                <w:vertAlign w:val="superscript"/>
              </w:rPr>
              <w:footnoteReference w:id="8"/>
            </w:r>
          </w:p>
        </w:tc>
      </w:tr>
      <w:tr w:rsidR="00670FD4" w:rsidRPr="003B5B5D" w14:paraId="1EE100B6" w14:textId="77777777" w:rsidTr="001925BA">
        <w:trPr>
          <w:jc w:val="center"/>
        </w:trPr>
        <w:tc>
          <w:tcPr>
            <w:tcW w:w="562" w:type="dxa"/>
          </w:tcPr>
          <w:p w14:paraId="78C2B988"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61548500"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13 /1993 pentru aderarea României la Convenția privind conservarea vieții sălbatice și a habitatelor naturale din Europa, adoptată la Berna la 19 septembrie 1979</w:t>
            </w:r>
          </w:p>
        </w:tc>
        <w:tc>
          <w:tcPr>
            <w:tcW w:w="4819" w:type="dxa"/>
          </w:tcPr>
          <w:p w14:paraId="027F2EBD"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 xml:space="preserve">Comitetul permanent al statelor membre ale Consiliului Europei </w:t>
            </w:r>
          </w:p>
          <w:p w14:paraId="6430C50D"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Guvern</w:t>
            </w:r>
          </w:p>
        </w:tc>
        <w:tc>
          <w:tcPr>
            <w:tcW w:w="4961" w:type="dxa"/>
          </w:tcPr>
          <w:p w14:paraId="3E046D00"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Măsuri legislative şi administrative adecvate şi necesare pentru asigurarea conservării speciilor de floră sălbatică</w:t>
            </w:r>
          </w:p>
          <w:p w14:paraId="4AD66B59"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Măsuri legislative şi administrative adecvate şi necesare pentru a asigura conservarea speciilor de faună sălbatică</w:t>
            </w:r>
          </w:p>
        </w:tc>
      </w:tr>
      <w:tr w:rsidR="00670FD4" w:rsidRPr="003B5B5D" w14:paraId="614681BA" w14:textId="77777777" w:rsidTr="001925BA">
        <w:trPr>
          <w:jc w:val="center"/>
        </w:trPr>
        <w:tc>
          <w:tcPr>
            <w:tcW w:w="562" w:type="dxa"/>
          </w:tcPr>
          <w:p w14:paraId="38E5159E"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477B1D86"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 xml:space="preserve">Legea nr. 6/1993 pentru aderarea României la Convenţia internaţională din 1973 pentru prevenirea poluării de </w:t>
            </w:r>
            <w:r w:rsidRPr="003B5B5D">
              <w:rPr>
                <w:rFonts w:eastAsia="Times New Roman" w:cs="Times New Roman"/>
                <w:color w:val="000000"/>
                <w:sz w:val="22"/>
                <w:szCs w:val="22"/>
              </w:rPr>
              <w:lastRenderedPageBreak/>
              <w:t>către nave, modificată prin Protocolul încheiat la Londra la data de 17 februarie 1978 (cu modificările și completările ulterioare)</w:t>
            </w:r>
          </w:p>
        </w:tc>
        <w:tc>
          <w:tcPr>
            <w:tcW w:w="4819" w:type="dxa"/>
          </w:tcPr>
          <w:p w14:paraId="59287053"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lastRenderedPageBreak/>
              <w:t>Organizaţia Maritimă Consultativă Interguvernamentală</w:t>
            </w:r>
          </w:p>
          <w:p w14:paraId="7F6A0766"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Guvern</w:t>
            </w:r>
          </w:p>
          <w:p w14:paraId="21AADFCC"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lastRenderedPageBreak/>
              <w:t>Ministerul Transporturilor</w:t>
            </w:r>
          </w:p>
        </w:tc>
        <w:tc>
          <w:tcPr>
            <w:tcW w:w="4961" w:type="dxa"/>
          </w:tcPr>
          <w:p w14:paraId="335865CF"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Reguli de folosinţă generală pentru protejarea mărilor şi a mediului costier împotriva poluării</w:t>
            </w:r>
          </w:p>
        </w:tc>
      </w:tr>
      <w:tr w:rsidR="00670FD4" w:rsidRPr="003B5B5D" w14:paraId="0D1C1FEB" w14:textId="77777777" w:rsidTr="001925BA">
        <w:trPr>
          <w:jc w:val="center"/>
        </w:trPr>
        <w:tc>
          <w:tcPr>
            <w:tcW w:w="562" w:type="dxa"/>
          </w:tcPr>
          <w:p w14:paraId="68EB9A01"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3180059C"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nr. 50 /1991 privind autorizarea executării lucrărilor de construcții</w:t>
            </w:r>
          </w:p>
        </w:tc>
        <w:tc>
          <w:tcPr>
            <w:tcW w:w="4819" w:type="dxa"/>
          </w:tcPr>
          <w:p w14:paraId="17640512"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Dezvoltării Regionale şi Administraţiei Publice</w:t>
            </w:r>
          </w:p>
          <w:p w14:paraId="73233D62"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Ministerului Transporturilor și Infrastructurii</w:t>
            </w:r>
          </w:p>
          <w:p w14:paraId="29F6BB22"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Ministerului Culturii şi Cultelor</w:t>
            </w:r>
          </w:p>
          <w:p w14:paraId="7975DBCB"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Sănătății</w:t>
            </w:r>
          </w:p>
          <w:p w14:paraId="397DEFC9"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Inspectoratul de Stat în Construcţii</w:t>
            </w:r>
          </w:p>
          <w:p w14:paraId="2F64C15F"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Autorităţile administraţiei publice locale</w:t>
            </w:r>
          </w:p>
        </w:tc>
        <w:tc>
          <w:tcPr>
            <w:tcW w:w="4961" w:type="dxa"/>
          </w:tcPr>
          <w:p w14:paraId="475B1AB3"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Norme metodologice de aplicare a Legii nr. 50/1991</w:t>
            </w:r>
          </w:p>
        </w:tc>
      </w:tr>
      <w:tr w:rsidR="00670FD4" w:rsidRPr="003B5B5D" w14:paraId="32A0AC9E" w14:textId="77777777" w:rsidTr="001925BA">
        <w:trPr>
          <w:jc w:val="center"/>
        </w:trPr>
        <w:tc>
          <w:tcPr>
            <w:tcW w:w="562" w:type="dxa"/>
          </w:tcPr>
          <w:p w14:paraId="0B013A83"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492E79A6"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nr. 5/1991 pentru aderarea României la Convenţia asupra zonelor umede, de importanţă internaţională, în special ca habitat al păsărilor acvatice</w:t>
            </w:r>
          </w:p>
        </w:tc>
        <w:tc>
          <w:tcPr>
            <w:tcW w:w="4819" w:type="dxa"/>
          </w:tcPr>
          <w:p w14:paraId="16FDA8C7"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p>
        </w:tc>
        <w:tc>
          <w:tcPr>
            <w:tcW w:w="4961" w:type="dxa"/>
          </w:tcPr>
          <w:p w14:paraId="1C409B1C"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 xml:space="preserve">Desemnarea de zone umede </w:t>
            </w:r>
            <w:r w:rsidRPr="003B5B5D">
              <w:rPr>
                <w:rFonts w:eastAsia="Times New Roman" w:cs="Times New Roman"/>
                <w:sz w:val="22"/>
                <w:szCs w:val="22"/>
              </w:rPr>
              <w:t>aparținând</w:t>
            </w:r>
            <w:r w:rsidRPr="003B5B5D">
              <w:rPr>
                <w:rFonts w:eastAsia="Times New Roman" w:cs="Times New Roman"/>
                <w:color w:val="000000"/>
                <w:sz w:val="22"/>
                <w:szCs w:val="22"/>
              </w:rPr>
              <w:t xml:space="preserve"> teritoriului său care să fie incluse în lista zonelor umede de importanţă internaţională</w:t>
            </w:r>
          </w:p>
          <w:p w14:paraId="758B3937"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 xml:space="preserve">Crearea de </w:t>
            </w:r>
            <w:r w:rsidRPr="003B5B5D">
              <w:rPr>
                <w:rFonts w:eastAsia="Times New Roman" w:cs="Times New Roman"/>
                <w:sz w:val="22"/>
                <w:szCs w:val="22"/>
              </w:rPr>
              <w:t>rezervatii</w:t>
            </w:r>
            <w:r w:rsidRPr="003B5B5D">
              <w:rPr>
                <w:rFonts w:eastAsia="Times New Roman" w:cs="Times New Roman"/>
                <w:color w:val="000000"/>
                <w:sz w:val="22"/>
                <w:szCs w:val="22"/>
              </w:rPr>
              <w:t xml:space="preserve"> naturale în zonele umede</w:t>
            </w:r>
          </w:p>
          <w:p w14:paraId="791EEE16"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Măsuri administrative, care să asigure creşterea efectivelor la populaţiile de păsări acvatice în zonele umede care le aparţin</w:t>
            </w:r>
          </w:p>
        </w:tc>
      </w:tr>
      <w:tr w:rsidR="00670FD4" w:rsidRPr="003B5B5D" w14:paraId="5CEE3D04" w14:textId="77777777" w:rsidTr="001925BA">
        <w:trPr>
          <w:jc w:val="center"/>
        </w:trPr>
        <w:tc>
          <w:tcPr>
            <w:tcW w:w="562" w:type="dxa"/>
          </w:tcPr>
          <w:p w14:paraId="590AEF28"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1385AF7F"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-Decret nr. 187 din 30.03.1990 al CPUN pentru acceptarea Convenţiei privind protecţia patrimoniului mondial, cultural şi natural, adoptată de Conferinţa generală a Organizaţiei Naţiunilor Unite pentru Educaţie, Ştiinţă şi Cultură (UNESCO) la 16 noiembrie 1972</w:t>
            </w:r>
          </w:p>
        </w:tc>
        <w:tc>
          <w:tcPr>
            <w:tcW w:w="4819" w:type="dxa"/>
          </w:tcPr>
          <w:p w14:paraId="0AAA4613"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Comitetul patrimoniului mondial</w:t>
            </w:r>
          </w:p>
          <w:p w14:paraId="414EFD73"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Centrului internaţional de studii pentru conservarea şi restaurarea bunurilor culturale (centrul din Roma)</w:t>
            </w:r>
          </w:p>
          <w:p w14:paraId="0E5E079C"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Consiliului internaţional al monumentelor şi siturilor (ICOMOS)</w:t>
            </w:r>
          </w:p>
          <w:p w14:paraId="4856B58D"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Uniunea internaţională pentru conservarea naturii şi resurselor sale (UICN),</w:t>
            </w:r>
          </w:p>
        </w:tc>
        <w:tc>
          <w:tcPr>
            <w:tcW w:w="4961" w:type="dxa"/>
          </w:tcPr>
          <w:p w14:paraId="417FBFCF"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p>
        </w:tc>
      </w:tr>
      <w:tr w:rsidR="00670FD4" w:rsidRPr="003B5B5D" w14:paraId="51A7748A" w14:textId="77777777" w:rsidTr="001925BA">
        <w:trPr>
          <w:jc w:val="center"/>
        </w:trPr>
        <w:tc>
          <w:tcPr>
            <w:tcW w:w="562" w:type="dxa"/>
          </w:tcPr>
          <w:p w14:paraId="3AA7B3F8"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4EB0120D"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OUG nr. 92 din 19 august 2021 privind regimul deşeurilor aprobată cu modificări prin Legea nr.17/2023</w:t>
            </w:r>
          </w:p>
        </w:tc>
        <w:tc>
          <w:tcPr>
            <w:tcW w:w="4819" w:type="dxa"/>
          </w:tcPr>
          <w:p w14:paraId="53B15836"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publică centrală pentru protecţia mediului</w:t>
            </w:r>
          </w:p>
          <w:p w14:paraId="5591E123"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Autorităţile publice centrale cu atribuţii în domeniul economiei, finanţelor, cercetării</w:t>
            </w:r>
          </w:p>
          <w:p w14:paraId="5876ED88"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Operatorii economici autorizaţi să efectueze operaţiuni de colectare de deşeuri</w:t>
            </w:r>
          </w:p>
          <w:p w14:paraId="658350DF"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Garda Naţională de Mediu şi structurile sale teritoriale</w:t>
            </w:r>
          </w:p>
          <w:p w14:paraId="79C26C60"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Autorităţile administraţiei publice locale</w:t>
            </w:r>
          </w:p>
          <w:p w14:paraId="32C49843"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Autorități publice centrale din domeniile sănătății, educației, dezvoltării, economiei, transporturilor, agriculturii și dezvoltării rurale, finanțelor</w:t>
            </w:r>
          </w:p>
        </w:tc>
        <w:tc>
          <w:tcPr>
            <w:tcW w:w="4961" w:type="dxa"/>
          </w:tcPr>
          <w:p w14:paraId="3B11FFB5"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Acțiuni legislative</w:t>
            </w:r>
          </w:p>
          <w:p w14:paraId="3C8B9387"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Programe de educare şi informare</w:t>
            </w:r>
          </w:p>
        </w:tc>
      </w:tr>
      <w:tr w:rsidR="00670FD4" w:rsidRPr="003B5B5D" w14:paraId="104E322F" w14:textId="77777777" w:rsidTr="001925BA">
        <w:trPr>
          <w:jc w:val="center"/>
        </w:trPr>
        <w:tc>
          <w:tcPr>
            <w:tcW w:w="562" w:type="dxa"/>
          </w:tcPr>
          <w:p w14:paraId="202EAB73"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39742209"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OUG nr. 49 din 31.08.2016 pentru modificarea Legii nr. 5/2000 privind aprobarea Planului de amenajare a teritoriului naţional - Secţiunea a III-a - zone protejate.</w:t>
            </w:r>
          </w:p>
        </w:tc>
        <w:tc>
          <w:tcPr>
            <w:tcW w:w="4819" w:type="dxa"/>
          </w:tcPr>
          <w:p w14:paraId="374A8325"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publică centrală pentru protecţia mediului</w:t>
            </w:r>
          </w:p>
        </w:tc>
        <w:tc>
          <w:tcPr>
            <w:tcW w:w="4961" w:type="dxa"/>
          </w:tcPr>
          <w:p w14:paraId="4095EE0B"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Lista consolidată a ariilor naturale protejate din România</w:t>
            </w:r>
          </w:p>
          <w:p w14:paraId="52DA0066"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Se reglementează regimul ariilor naturale protejate prin lege specială</w:t>
            </w:r>
          </w:p>
        </w:tc>
      </w:tr>
      <w:tr w:rsidR="00670FD4" w:rsidRPr="003B5B5D" w14:paraId="6575BFEC" w14:textId="77777777" w:rsidTr="001925BA">
        <w:trPr>
          <w:jc w:val="center"/>
        </w:trPr>
        <w:tc>
          <w:tcPr>
            <w:tcW w:w="562" w:type="dxa"/>
          </w:tcPr>
          <w:p w14:paraId="22E7E27C"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34E8655F"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OUG nr. 142 /2008 privind Planul de amenajare a teritoriului național – Secțiunea a VIII-a zone cu resurse turistice</w:t>
            </w:r>
          </w:p>
        </w:tc>
        <w:tc>
          <w:tcPr>
            <w:tcW w:w="4819" w:type="dxa"/>
          </w:tcPr>
          <w:p w14:paraId="5285BB70"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Consiliile locale ale unităţilor administrativ-teritoriale care sunt staţiuni turistice</w:t>
            </w:r>
          </w:p>
        </w:tc>
        <w:tc>
          <w:tcPr>
            <w:tcW w:w="4961" w:type="dxa"/>
          </w:tcPr>
          <w:p w14:paraId="6F748DED"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Metodologia pentru analiza potenţialului turistic al teritoriului</w:t>
            </w:r>
          </w:p>
        </w:tc>
      </w:tr>
      <w:tr w:rsidR="00670FD4" w:rsidRPr="003B5B5D" w14:paraId="44134B14" w14:textId="77777777" w:rsidTr="001925BA">
        <w:trPr>
          <w:jc w:val="center"/>
        </w:trPr>
        <w:tc>
          <w:tcPr>
            <w:tcW w:w="562" w:type="dxa"/>
          </w:tcPr>
          <w:p w14:paraId="7150A044"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3D21413F"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OUG nr. 23 din 5 martie 2008 privind pescuitul şi acvacultura</w:t>
            </w:r>
          </w:p>
        </w:tc>
        <w:tc>
          <w:tcPr>
            <w:tcW w:w="4819" w:type="dxa"/>
          </w:tcPr>
          <w:p w14:paraId="3FD0E122"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Ministerului Agriculturii, Pădurilor şi Dezvoltării Rurale prin Agenţia Naţională pentru Pescuit şi Acvacultură</w:t>
            </w:r>
          </w:p>
          <w:p w14:paraId="4B59A79F"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Organizaţiile de producători din sectorul pescăresc</w:t>
            </w:r>
          </w:p>
          <w:p w14:paraId="49806989"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Navală Română</w:t>
            </w:r>
          </w:p>
        </w:tc>
        <w:tc>
          <w:tcPr>
            <w:tcW w:w="4961" w:type="dxa"/>
          </w:tcPr>
          <w:p w14:paraId="5E5D8063"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Reglementări privind funcţionarea pieţei produselor de pescuit şi acvacultură</w:t>
            </w:r>
          </w:p>
        </w:tc>
      </w:tr>
      <w:tr w:rsidR="00670FD4" w:rsidRPr="003B5B5D" w14:paraId="68114B95" w14:textId="77777777" w:rsidTr="001925BA">
        <w:trPr>
          <w:jc w:val="center"/>
        </w:trPr>
        <w:tc>
          <w:tcPr>
            <w:tcW w:w="562" w:type="dxa"/>
          </w:tcPr>
          <w:p w14:paraId="3334146F"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7000BBD1"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OUG nr. 68 din 28 iunie 2007 privind răspunderea de mediu cu referire la prevenirea şi repararea prejudiciului asupra mediului</w:t>
            </w:r>
          </w:p>
        </w:tc>
        <w:tc>
          <w:tcPr>
            <w:tcW w:w="4819" w:type="dxa"/>
          </w:tcPr>
          <w:p w14:paraId="6732246E"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Agenţia Naţională pentru Protecţia Mediului</w:t>
            </w:r>
          </w:p>
          <w:p w14:paraId="09AC7232"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Afacerilor Externe</w:t>
            </w:r>
          </w:p>
        </w:tc>
        <w:tc>
          <w:tcPr>
            <w:tcW w:w="4961" w:type="dxa"/>
          </w:tcPr>
          <w:p w14:paraId="37A5A0A9"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Acte normative subsecvente prin care sunt definite formele de garanţie financiară şi măsurile pentru dezvoltarea ofertei de instrumente financiare privind răspunderea în domeniul mediului</w:t>
            </w:r>
          </w:p>
        </w:tc>
      </w:tr>
      <w:tr w:rsidR="00670FD4" w:rsidRPr="003B5B5D" w14:paraId="01052D2B" w14:textId="77777777" w:rsidTr="001925BA">
        <w:trPr>
          <w:jc w:val="center"/>
        </w:trPr>
        <w:tc>
          <w:tcPr>
            <w:tcW w:w="562" w:type="dxa"/>
          </w:tcPr>
          <w:p w14:paraId="7A8D8B50"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23266364"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OUG nr. 57 /2007 privind regimul ariilor naturale protejate, conservarea habitatelor naturale, a florei și faunei sălbatice, aprobată cu modificări și completări prin Legea 49 / 2011, cu modificările și completările ulterioare</w:t>
            </w:r>
          </w:p>
        </w:tc>
        <w:tc>
          <w:tcPr>
            <w:tcW w:w="4819" w:type="dxa"/>
          </w:tcPr>
          <w:p w14:paraId="12BFB964"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publică centrală pentru protecţia mediului şi pădurilor</w:t>
            </w:r>
          </w:p>
          <w:p w14:paraId="6037DE6F"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Agenţia Naţională pentru Arii Naturale Protejate</w:t>
            </w:r>
          </w:p>
          <w:p w14:paraId="5A5D2F80"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Structuri de administrare special constituite</w:t>
            </w:r>
          </w:p>
          <w:p w14:paraId="43F41FE9"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333333"/>
                <w:sz w:val="22"/>
                <w:szCs w:val="22"/>
                <w:highlight w:val="white"/>
              </w:rPr>
            </w:pPr>
            <w:r w:rsidRPr="003B5B5D">
              <w:rPr>
                <w:rFonts w:eastAsia="Times New Roman" w:cs="Times New Roman"/>
                <w:color w:val="333333"/>
                <w:sz w:val="22"/>
                <w:szCs w:val="22"/>
                <w:highlight w:val="white"/>
              </w:rPr>
              <w:t>Academia Română</w:t>
            </w:r>
          </w:p>
          <w:p w14:paraId="07790264"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333333"/>
                <w:sz w:val="22"/>
                <w:szCs w:val="22"/>
                <w:highlight w:val="white"/>
              </w:rPr>
            </w:pPr>
            <w:r w:rsidRPr="003B5B5D">
              <w:rPr>
                <w:rFonts w:eastAsia="Times New Roman" w:cs="Times New Roman"/>
                <w:color w:val="333333"/>
                <w:sz w:val="22"/>
                <w:szCs w:val="22"/>
                <w:highlight w:val="white"/>
              </w:rPr>
              <w:t>Institutul de Cercetări şi Amenajări Silvice;</w:t>
            </w:r>
          </w:p>
          <w:p w14:paraId="485D7A83"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333333"/>
                <w:sz w:val="22"/>
                <w:szCs w:val="22"/>
                <w:highlight w:val="white"/>
              </w:rPr>
            </w:pPr>
            <w:r w:rsidRPr="003B5B5D">
              <w:rPr>
                <w:rFonts w:eastAsia="Times New Roman" w:cs="Times New Roman"/>
                <w:color w:val="333333"/>
                <w:sz w:val="22"/>
                <w:szCs w:val="22"/>
                <w:highlight w:val="white"/>
              </w:rPr>
              <w:t>Institutul Naţional de Cercetare-Dezvoltare "Delta Dunării"</w:t>
            </w:r>
          </w:p>
          <w:p w14:paraId="4531D8AB"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sz w:val="22"/>
                <w:szCs w:val="22"/>
              </w:rPr>
            </w:pPr>
            <w:r w:rsidRPr="003B5B5D">
              <w:rPr>
                <w:rFonts w:eastAsia="Times New Roman" w:cs="Times New Roman"/>
                <w:sz w:val="22"/>
                <w:szCs w:val="22"/>
              </w:rPr>
              <w:t>Autorităţi ale administraţiei publice locale</w:t>
            </w:r>
          </w:p>
        </w:tc>
        <w:tc>
          <w:tcPr>
            <w:tcW w:w="4961" w:type="dxa"/>
          </w:tcPr>
          <w:p w14:paraId="2451F33C"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Planuri de management şi regulamente ale ariilor naturale protejate</w:t>
            </w:r>
          </w:p>
          <w:p w14:paraId="76ED19D6"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Liste de specii și habitate, criterii de selecție și identificare, alte reglementări specifice.</w:t>
            </w:r>
          </w:p>
        </w:tc>
      </w:tr>
      <w:tr w:rsidR="00670FD4" w:rsidRPr="003B5B5D" w14:paraId="56620B51" w14:textId="77777777" w:rsidTr="001925BA">
        <w:trPr>
          <w:jc w:val="center"/>
        </w:trPr>
        <w:tc>
          <w:tcPr>
            <w:tcW w:w="562" w:type="dxa"/>
          </w:tcPr>
          <w:p w14:paraId="3EA27901"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7A08DF8C"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OG nr. 18/2016 privind amenajarea spaţiului maritim</w:t>
            </w:r>
          </w:p>
        </w:tc>
        <w:tc>
          <w:tcPr>
            <w:tcW w:w="4819" w:type="dxa"/>
          </w:tcPr>
          <w:p w14:paraId="4174EE67"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Comitetul de amenajare a spaţiului maritim (organism interministerial care funcţionează în coordonarea prim-ministrului)</w:t>
            </w:r>
          </w:p>
        </w:tc>
        <w:tc>
          <w:tcPr>
            <w:tcW w:w="4961" w:type="dxa"/>
          </w:tcPr>
          <w:p w14:paraId="3DEAB8AA"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Metodologia de elaborare a planurilor de amenajare a spaţiului maritim</w:t>
            </w:r>
          </w:p>
          <w:p w14:paraId="70BB2407"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Regulamentul de organizare şi funcţionare, precum şi componenţa nominală a Comitetului de amenajare a spaţiului maritim</w:t>
            </w:r>
          </w:p>
        </w:tc>
      </w:tr>
      <w:tr w:rsidR="00670FD4" w:rsidRPr="003B5B5D" w14:paraId="499B892A" w14:textId="77777777" w:rsidTr="001925BA">
        <w:trPr>
          <w:jc w:val="center"/>
        </w:trPr>
        <w:tc>
          <w:tcPr>
            <w:tcW w:w="562" w:type="dxa"/>
          </w:tcPr>
          <w:p w14:paraId="0A58F620"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11E6D8FC"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OG nr. 43 /2000, privind protecţia patrimoniului arheologic şi declararea unor situri arheologice ca zone de interes naţional cu modificările și completările ulterioare</w:t>
            </w:r>
          </w:p>
        </w:tc>
        <w:tc>
          <w:tcPr>
            <w:tcW w:w="4819" w:type="dxa"/>
          </w:tcPr>
          <w:p w14:paraId="601EE73A"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Culturii şi Cultelor</w:t>
            </w:r>
          </w:p>
          <w:p w14:paraId="1C99984E"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Comisia Naţională de Arheologie</w:t>
            </w:r>
          </w:p>
          <w:p w14:paraId="4B74A1F5"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Academia Română, prin institutele sale de specialitate</w:t>
            </w:r>
          </w:p>
          <w:p w14:paraId="547601A1"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Facultăţi şi institute de cercetare de specialitate</w:t>
            </w:r>
          </w:p>
          <w:p w14:paraId="4E295E38"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Muzee şi asociaţii profesionale în domeniu</w:t>
            </w:r>
          </w:p>
        </w:tc>
        <w:tc>
          <w:tcPr>
            <w:tcW w:w="4961" w:type="dxa"/>
          </w:tcPr>
          <w:p w14:paraId="2410774B"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sz w:val="22"/>
                <w:szCs w:val="22"/>
              </w:rPr>
              <w:t>Normelor</w:t>
            </w:r>
            <w:r w:rsidRPr="003B5B5D">
              <w:rPr>
                <w:rFonts w:eastAsia="Times New Roman" w:cs="Times New Roman"/>
                <w:color w:val="000000"/>
                <w:sz w:val="22"/>
                <w:szCs w:val="22"/>
              </w:rPr>
              <w:t xml:space="preserve"> şi metodologiilor din domeniul cercetării arheologice</w:t>
            </w:r>
          </w:p>
          <w:p w14:paraId="26BD2FC5"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Metodologia de atestare a instituţiilor care au dreptul de a efectua cercetări arheologice</w:t>
            </w:r>
          </w:p>
          <w:p w14:paraId="42DE62E5"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Regulamentul săpăturilor arheologice</w:t>
            </w:r>
          </w:p>
          <w:p w14:paraId="6884CC39"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Metodologia de clasare a siturilor arheologice</w:t>
            </w:r>
          </w:p>
        </w:tc>
      </w:tr>
      <w:tr w:rsidR="00670FD4" w:rsidRPr="003B5B5D" w14:paraId="2A2013B6" w14:textId="77777777" w:rsidTr="001925BA">
        <w:trPr>
          <w:jc w:val="center"/>
        </w:trPr>
        <w:tc>
          <w:tcPr>
            <w:tcW w:w="562" w:type="dxa"/>
          </w:tcPr>
          <w:p w14:paraId="6EE9DDA8"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1CE96839"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OG nr. 27/1996 privind acordarea de facilităţi persoanelor care domiciliază sau lucrează în unele localităţi din Munţii Apuseni şi în Rezervaţia Biosferei Delta Dunării</w:t>
            </w:r>
          </w:p>
        </w:tc>
        <w:tc>
          <w:tcPr>
            <w:tcW w:w="4819" w:type="dxa"/>
          </w:tcPr>
          <w:p w14:paraId="415025A7"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Lucrărilor Publice şi Amenajării Teritoriului</w:t>
            </w:r>
          </w:p>
          <w:p w14:paraId="3AC1546E"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Muncii şi Protecţiei Sociale</w:t>
            </w:r>
          </w:p>
          <w:p w14:paraId="25D0D4DB"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 xml:space="preserve">Ministerul Finanţelor </w:t>
            </w:r>
          </w:p>
          <w:p w14:paraId="5782A7AE"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Apelor, Pădurilor şi Protecţiei Mediului</w:t>
            </w:r>
          </w:p>
          <w:p w14:paraId="4A679B0C"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Consiliile judeţene interesate</w:t>
            </w:r>
          </w:p>
        </w:tc>
        <w:tc>
          <w:tcPr>
            <w:tcW w:w="4961" w:type="dxa"/>
          </w:tcPr>
          <w:p w14:paraId="03B3F73A"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Norme metodologice cu privire la acordarea, utilizarea şi controlul cheltuielilor rezultate din aplicarea prevederilor ordonanţei</w:t>
            </w:r>
            <w:r w:rsidRPr="003B5B5D">
              <w:rPr>
                <w:rFonts w:eastAsia="Times New Roman" w:cs="Times New Roman"/>
                <w:color w:val="000000"/>
                <w:sz w:val="22"/>
                <w:szCs w:val="22"/>
                <w:vertAlign w:val="superscript"/>
              </w:rPr>
              <w:footnoteReference w:id="9"/>
            </w:r>
          </w:p>
        </w:tc>
      </w:tr>
      <w:tr w:rsidR="00670FD4" w:rsidRPr="003B5B5D" w14:paraId="6010732E" w14:textId="77777777" w:rsidTr="001925BA">
        <w:trPr>
          <w:jc w:val="center"/>
        </w:trPr>
        <w:tc>
          <w:tcPr>
            <w:tcW w:w="562" w:type="dxa"/>
          </w:tcPr>
          <w:p w14:paraId="2BA0E3F7"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56565312"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H.G. nr. 1575 /2022 privind aprobarea Strategiei naționale de dezvoltare urbană integrată pentru orașe reziliente, verzi, incluzive și competitive 2022-2023 (Politică urbană a României).</w:t>
            </w:r>
          </w:p>
        </w:tc>
        <w:tc>
          <w:tcPr>
            <w:tcW w:w="4819" w:type="dxa"/>
          </w:tcPr>
          <w:p w14:paraId="48BDB94C"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Dezvoltării, Lucrărilor Publice și Administrației</w:t>
            </w:r>
          </w:p>
          <w:p w14:paraId="317A77B2"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Autorități ale administrației publice centrale</w:t>
            </w:r>
          </w:p>
          <w:p w14:paraId="424EAE66"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sz w:val="22"/>
                <w:szCs w:val="22"/>
              </w:rPr>
            </w:pPr>
            <w:r w:rsidRPr="003B5B5D">
              <w:rPr>
                <w:rFonts w:eastAsia="Times New Roman" w:cs="Times New Roman"/>
                <w:sz w:val="22"/>
                <w:szCs w:val="22"/>
              </w:rPr>
              <w:t>Autorităţile administraţiei publice locale</w:t>
            </w:r>
          </w:p>
          <w:p w14:paraId="5F854483"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Institutul Național de Statistică</w:t>
            </w:r>
          </w:p>
          <w:p w14:paraId="16A23E0B"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Secretariatul General al Guvernului - Departamentul de Dezvoltare Durabilă</w:t>
            </w:r>
          </w:p>
          <w:p w14:paraId="6932E769"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Agenţiile de Dezvoltare Regională</w:t>
            </w:r>
          </w:p>
          <w:p w14:paraId="60E4A8EB"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Universităţi, autorităţi profesionale, organizaţii de cercetare etc.</w:t>
            </w:r>
          </w:p>
        </w:tc>
        <w:tc>
          <w:tcPr>
            <w:tcW w:w="4961" w:type="dxa"/>
          </w:tcPr>
          <w:p w14:paraId="3F31304A"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Ghid de implementare a prevederilor Politicii Urbane 2022-2035;</w:t>
            </w:r>
          </w:p>
          <w:p w14:paraId="5D165675"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Metodologie privind dezvoltarea și gestionarea serviciilor publice la nivel metropolitan / de zonă urbană funcțională;</w:t>
            </w:r>
          </w:p>
          <w:p w14:paraId="3CFF9C99"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Metodologie de identificare și delimitare a zonelor urbane funcționale și a zonelor metropolitane;</w:t>
            </w:r>
          </w:p>
          <w:p w14:paraId="3527681C"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Metodologie privind planificarea strategică, prioritizarea, implementarea și monitorizarea proiectelor de investiții publice în zonele urbane;</w:t>
            </w:r>
          </w:p>
          <w:p w14:paraId="43D1BB6F"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Ghid de implementare la nivel național a acțiunilor Agendei Urbane pentru UE.</w:t>
            </w:r>
          </w:p>
        </w:tc>
      </w:tr>
      <w:tr w:rsidR="00670FD4" w:rsidRPr="003B5B5D" w14:paraId="4A47D21F" w14:textId="77777777" w:rsidTr="001925BA">
        <w:trPr>
          <w:jc w:val="center"/>
        </w:trPr>
        <w:tc>
          <w:tcPr>
            <w:tcW w:w="562" w:type="dxa"/>
          </w:tcPr>
          <w:p w14:paraId="721F8E17"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3F9AF527"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 xml:space="preserve">HG nr. 685 /2022 privind instituirea regimului de arie naturală protejată și declararea ariilor speciale de conservare ca parte integrantă a rețelei </w:t>
            </w:r>
            <w:r w:rsidRPr="003B5B5D">
              <w:rPr>
                <w:rFonts w:eastAsia="Times New Roman" w:cs="Times New Roman"/>
                <w:color w:val="000000"/>
                <w:sz w:val="22"/>
                <w:szCs w:val="22"/>
              </w:rPr>
              <w:lastRenderedPageBreak/>
              <w:t>ecologice europene Natura 2000 în România</w:t>
            </w:r>
          </w:p>
        </w:tc>
        <w:tc>
          <w:tcPr>
            <w:tcW w:w="4819" w:type="dxa"/>
          </w:tcPr>
          <w:p w14:paraId="36BBA91E"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sz w:val="22"/>
                <w:szCs w:val="22"/>
              </w:rPr>
            </w:pPr>
            <w:r w:rsidRPr="003B5B5D">
              <w:rPr>
                <w:rFonts w:eastAsia="Times New Roman" w:cs="Times New Roman"/>
                <w:sz w:val="22"/>
                <w:szCs w:val="22"/>
              </w:rPr>
              <w:lastRenderedPageBreak/>
              <w:t>Ministrul mediului, apelor şi pădurilor</w:t>
            </w:r>
          </w:p>
          <w:p w14:paraId="5853B678"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sz w:val="22"/>
                <w:szCs w:val="22"/>
              </w:rPr>
            </w:pPr>
            <w:r w:rsidRPr="003B5B5D">
              <w:rPr>
                <w:rFonts w:eastAsia="Times New Roman" w:cs="Times New Roman"/>
                <w:sz w:val="22"/>
                <w:szCs w:val="22"/>
              </w:rPr>
              <w:t>Ministrul dezvoltării, lucrărilor publice şi administraţiei</w:t>
            </w:r>
          </w:p>
          <w:p w14:paraId="1E8BF9E1"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sz w:val="22"/>
                <w:szCs w:val="22"/>
              </w:rPr>
            </w:pPr>
            <w:r w:rsidRPr="003B5B5D">
              <w:rPr>
                <w:rFonts w:eastAsia="Times New Roman" w:cs="Times New Roman"/>
                <w:sz w:val="22"/>
                <w:szCs w:val="22"/>
              </w:rPr>
              <w:t>Ministrul agriculturii şi dezvoltării rurale,</w:t>
            </w:r>
          </w:p>
          <w:p w14:paraId="7AFDEFDF"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sz w:val="22"/>
                <w:szCs w:val="22"/>
              </w:rPr>
            </w:pPr>
            <w:r w:rsidRPr="003B5B5D">
              <w:rPr>
                <w:rFonts w:eastAsia="Times New Roman" w:cs="Times New Roman"/>
                <w:sz w:val="22"/>
                <w:szCs w:val="22"/>
              </w:rPr>
              <w:lastRenderedPageBreak/>
              <w:t>Ministrul economiei</w:t>
            </w:r>
          </w:p>
          <w:p w14:paraId="7AE8349F"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sz w:val="22"/>
                <w:szCs w:val="22"/>
              </w:rPr>
            </w:pPr>
            <w:r w:rsidRPr="003B5B5D">
              <w:rPr>
                <w:rFonts w:eastAsia="Times New Roman" w:cs="Times New Roman"/>
                <w:sz w:val="22"/>
                <w:szCs w:val="22"/>
              </w:rPr>
              <w:t>Ministrul antreprenoriatului şi turismului</w:t>
            </w:r>
          </w:p>
          <w:p w14:paraId="3937A648"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sz w:val="22"/>
                <w:szCs w:val="22"/>
              </w:rPr>
            </w:pPr>
            <w:r w:rsidRPr="003B5B5D">
              <w:rPr>
                <w:rFonts w:eastAsia="Times New Roman" w:cs="Times New Roman"/>
                <w:sz w:val="22"/>
                <w:szCs w:val="22"/>
              </w:rPr>
              <w:t>Ministrul culturii,</w:t>
            </w:r>
          </w:p>
        </w:tc>
        <w:tc>
          <w:tcPr>
            <w:tcW w:w="4961" w:type="dxa"/>
          </w:tcPr>
          <w:p w14:paraId="26F2EF00"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Lista ariilor speciale de conservare</w:t>
            </w:r>
          </w:p>
          <w:p w14:paraId="50C79A7B"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Situri de importanță comunitară (SCI) care devin arii speciale de conservare (SAC)</w:t>
            </w:r>
          </w:p>
          <w:p w14:paraId="147E4577"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Formulare standard Natura 2000 ale ariilor speciale de conservare</w:t>
            </w:r>
          </w:p>
          <w:p w14:paraId="4B3BA578"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Planuri de management</w:t>
            </w:r>
          </w:p>
        </w:tc>
      </w:tr>
      <w:tr w:rsidR="00670FD4" w:rsidRPr="003B5B5D" w14:paraId="7BF1BB09" w14:textId="77777777" w:rsidTr="001925BA">
        <w:trPr>
          <w:jc w:val="center"/>
        </w:trPr>
        <w:tc>
          <w:tcPr>
            <w:tcW w:w="562" w:type="dxa"/>
          </w:tcPr>
          <w:p w14:paraId="4054CDD2"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1068D3F9"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HG nr. 538 din 8 iulie 2015 pentru aprobarea Regulilor privind accesul şi circulaţia navelor şi ambarcaţiunilor pe canalele şi lacurile interioare din perimetrul Rezervaţiei Biosferei „Delta Dunării”.</w:t>
            </w:r>
          </w:p>
        </w:tc>
        <w:tc>
          <w:tcPr>
            <w:tcW w:w="4819" w:type="dxa"/>
          </w:tcPr>
          <w:p w14:paraId="2098B367"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Administraţia Rezervaţiei Biosferei „Delta Dunării"</w:t>
            </w:r>
          </w:p>
          <w:p w14:paraId="1D2735E2"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 xml:space="preserve">Instituţii din domeniul apărării naţionale, ordinii publice şi siguranţei naţionale </w:t>
            </w:r>
          </w:p>
          <w:p w14:paraId="044AF32D"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Garda Națională de Mediu</w:t>
            </w:r>
          </w:p>
          <w:p w14:paraId="4A5FB12E"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Dezvoltării Regionale şi Administraţiei Publice</w:t>
            </w:r>
          </w:p>
          <w:p w14:paraId="541D1584"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Navală Română</w:t>
            </w:r>
          </w:p>
        </w:tc>
        <w:tc>
          <w:tcPr>
            <w:tcW w:w="4961" w:type="dxa"/>
          </w:tcPr>
          <w:p w14:paraId="7ACF40B1"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Stabilirea sistemelor de monitorizare pentru orice navă/ambarcaţiune motorizată, pentru a i se permite accesul şi navigaţia în perimetrul RBDD</w:t>
            </w:r>
          </w:p>
        </w:tc>
      </w:tr>
      <w:tr w:rsidR="00670FD4" w:rsidRPr="003B5B5D" w14:paraId="3839556D" w14:textId="77777777" w:rsidTr="001925BA">
        <w:trPr>
          <w:jc w:val="center"/>
        </w:trPr>
        <w:tc>
          <w:tcPr>
            <w:tcW w:w="562" w:type="dxa"/>
          </w:tcPr>
          <w:p w14:paraId="03A1487A"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5D661BB4"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H.G. nr. 1516 din 19 noiembrie 2008 privind aprobarea Regulamentului-cadru de urbanism pentru Rezervația Biosferei Delta Dunării</w:t>
            </w:r>
          </w:p>
        </w:tc>
        <w:tc>
          <w:tcPr>
            <w:tcW w:w="4819" w:type="dxa"/>
          </w:tcPr>
          <w:p w14:paraId="3141A8C0"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Unităţile administrativ-teritoriale din perimetrul RBDD</w:t>
            </w:r>
          </w:p>
          <w:p w14:paraId="3EF397DB"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Consiliul județean Tulcea</w:t>
            </w:r>
          </w:p>
          <w:p w14:paraId="221578B0"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Inspectoratul de Stat în Construcții</w:t>
            </w:r>
          </w:p>
        </w:tc>
        <w:tc>
          <w:tcPr>
            <w:tcW w:w="4961" w:type="dxa"/>
          </w:tcPr>
          <w:p w14:paraId="2CC3C065"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Regulamente locale de urbanism pentru localitățile rurale din perimetrul Rezervației Biosferei Delta Dunării</w:t>
            </w:r>
          </w:p>
          <w:p w14:paraId="6CB8AEF7"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Planul de amenajare a teritoriului zonal Delta Dunării</w:t>
            </w:r>
          </w:p>
          <w:p w14:paraId="041D367D"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Planuri urbanistice generale (PUG)</w:t>
            </w:r>
          </w:p>
          <w:p w14:paraId="6FC01D84"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Planuri urbanistice zonale (PUZ)</w:t>
            </w:r>
          </w:p>
        </w:tc>
      </w:tr>
      <w:tr w:rsidR="00670FD4" w:rsidRPr="003B5B5D" w14:paraId="45801016" w14:textId="77777777" w:rsidTr="001925BA">
        <w:trPr>
          <w:jc w:val="center"/>
        </w:trPr>
        <w:tc>
          <w:tcPr>
            <w:tcW w:w="562" w:type="dxa"/>
          </w:tcPr>
          <w:p w14:paraId="0A8F15D6"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2E45610D"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H.G. nr. 738 /2008 privind stabilirea măsurilor necesare în vederea finanțării, elaborării și actualizării documentațiilor de amenajare a teritoriului și urbanism pentru zonele cu monumente istorice care fac parte din Lista patrimoniului mondial</w:t>
            </w:r>
          </w:p>
        </w:tc>
        <w:tc>
          <w:tcPr>
            <w:tcW w:w="4819" w:type="dxa"/>
          </w:tcPr>
          <w:p w14:paraId="36A8ECF1"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Dezvoltării, Lucrărilor Publice şi Locuinţelor</w:t>
            </w:r>
          </w:p>
          <w:p w14:paraId="09969C64"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Culturii şi Cultelor</w:t>
            </w:r>
          </w:p>
          <w:p w14:paraId="71FA5CB3"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Comisia Naţională a Monumentelor Istorice sau Comisia Naţională de Arheologie</w:t>
            </w:r>
          </w:p>
          <w:p w14:paraId="2CC33DF5"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Comisia pentru Amenajarea Teritoriului, Urbanism şi Arhitectură</w:t>
            </w:r>
          </w:p>
        </w:tc>
        <w:tc>
          <w:tcPr>
            <w:tcW w:w="4961" w:type="dxa"/>
          </w:tcPr>
          <w:p w14:paraId="592CAE74"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Programul de elaborare şi actualizare a documentaţiilor de amenajare a teritoriului şi urbanism pentru zonele cu monumente istorice care fac parte din Lista patrimoniului mondial (LPM)</w:t>
            </w:r>
          </w:p>
          <w:p w14:paraId="222D78CD"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Documentaţii de amenajare a teritoriului şi urbanism</w:t>
            </w:r>
          </w:p>
        </w:tc>
      </w:tr>
      <w:tr w:rsidR="00670FD4" w:rsidRPr="003B5B5D" w14:paraId="617303B3" w14:textId="77777777" w:rsidTr="001925BA">
        <w:trPr>
          <w:jc w:val="center"/>
        </w:trPr>
        <w:tc>
          <w:tcPr>
            <w:tcW w:w="562" w:type="dxa"/>
          </w:tcPr>
          <w:p w14:paraId="5CF5FDFF"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641E0FF4"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H.G. nr. 1284 /2007 privind declararea ariilor de protecţie specială avifaunistică ca parte integrantă a reţelei ecologice europene Natura 2000 în România</w:t>
            </w:r>
          </w:p>
        </w:tc>
        <w:tc>
          <w:tcPr>
            <w:tcW w:w="4819" w:type="dxa"/>
          </w:tcPr>
          <w:p w14:paraId="7056E831"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publică centrală pentru protecția mediului</w:t>
            </w:r>
          </w:p>
        </w:tc>
        <w:tc>
          <w:tcPr>
            <w:tcW w:w="4961" w:type="dxa"/>
          </w:tcPr>
          <w:p w14:paraId="511696DC"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Lista ariilor de protecție specială avifaunistică</w:t>
            </w:r>
          </w:p>
          <w:p w14:paraId="6AA667E3"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Hărți ariilor de protecție specială avifaunistică</w:t>
            </w:r>
          </w:p>
          <w:p w14:paraId="0CEC53DF"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Formularele standard Natura 2000 completate pentru ariile de protecție specială avifaunistică</w:t>
            </w:r>
          </w:p>
          <w:p w14:paraId="615A54C5"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Lista speciilor de păsări de interes comunitar</w:t>
            </w:r>
          </w:p>
        </w:tc>
      </w:tr>
      <w:tr w:rsidR="00670FD4" w:rsidRPr="003B5B5D" w14:paraId="7F3C0EA5" w14:textId="77777777" w:rsidTr="001925BA">
        <w:trPr>
          <w:jc w:val="center"/>
        </w:trPr>
        <w:tc>
          <w:tcPr>
            <w:tcW w:w="562" w:type="dxa"/>
          </w:tcPr>
          <w:p w14:paraId="1461C6B7"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06112869"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H.G. nr. 1076 din 8 iulie 2004 privind stabilirea procedurii de realizare a evaluării de mediu pentru planuri și programe</w:t>
            </w:r>
          </w:p>
        </w:tc>
        <w:tc>
          <w:tcPr>
            <w:tcW w:w="4819" w:type="dxa"/>
          </w:tcPr>
          <w:p w14:paraId="5B47F406"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publică centrală pentru protecţia mediului</w:t>
            </w:r>
          </w:p>
          <w:p w14:paraId="726966A3"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Agenţia Naţională pentru Protecţia Mediului</w:t>
            </w:r>
          </w:p>
          <w:p w14:paraId="509380F6"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Agenţii judeţene pentru protecţia mediului</w:t>
            </w:r>
          </w:p>
          <w:p w14:paraId="45C7400C"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Administraţia Rezervaţiei Biosferei "Delta Dunării"</w:t>
            </w:r>
          </w:p>
          <w:p w14:paraId="07F0EEAB"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Afacerilor Externe</w:t>
            </w:r>
          </w:p>
        </w:tc>
        <w:tc>
          <w:tcPr>
            <w:tcW w:w="4961" w:type="dxa"/>
          </w:tcPr>
          <w:p w14:paraId="4100D596"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Procedura de realizare a evaluării de mediu</w:t>
            </w:r>
          </w:p>
          <w:p w14:paraId="580EAF90"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highlight w:val="white"/>
              </w:rPr>
            </w:pPr>
            <w:r w:rsidRPr="003B5B5D">
              <w:rPr>
                <w:rFonts w:eastAsia="Times New Roman" w:cs="Times New Roman"/>
                <w:color w:val="000000"/>
                <w:sz w:val="22"/>
                <w:szCs w:val="22"/>
                <w:highlight w:val="white"/>
              </w:rPr>
              <w:t>procedura de adoptare a planurilor şi programelor</w:t>
            </w:r>
          </w:p>
          <w:p w14:paraId="4671F982"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Emiterea avizului de mediu</w:t>
            </w:r>
          </w:p>
          <w:p w14:paraId="1D7DD409"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Conținutul-cadru al Raportul de mediu (Anexa nr. 2)</w:t>
            </w:r>
          </w:p>
        </w:tc>
      </w:tr>
      <w:tr w:rsidR="00670FD4" w:rsidRPr="003B5B5D" w14:paraId="75A53018" w14:textId="77777777" w:rsidTr="001925BA">
        <w:trPr>
          <w:jc w:val="center"/>
        </w:trPr>
        <w:tc>
          <w:tcPr>
            <w:tcW w:w="562" w:type="dxa"/>
          </w:tcPr>
          <w:p w14:paraId="3E0AC4AE"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3E28210D"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H.G. nr. 898 /2004 privind aprobarea unor orientări pentru exploatarea apelor subterane și a zonelor de interfață dintre apele dulci și apele marine</w:t>
            </w:r>
          </w:p>
        </w:tc>
        <w:tc>
          <w:tcPr>
            <w:tcW w:w="4819" w:type="dxa"/>
          </w:tcPr>
          <w:p w14:paraId="2488C166"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mediului şi gospodăririi apelor</w:t>
            </w:r>
          </w:p>
          <w:p w14:paraId="2D701915"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de stat, ministrul administraţiei şi internelor</w:t>
            </w:r>
          </w:p>
          <w:p w14:paraId="407F08DB"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delegat pentru administraţia publică Ministrul transporturilor, construcţiilor şi turismului</w:t>
            </w:r>
          </w:p>
          <w:p w14:paraId="6483854F"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Administraţia Naţională "Apele Române" - Administrația Bazinală de Apă Dobrogea-Litoral</w:t>
            </w:r>
          </w:p>
          <w:p w14:paraId="249E1A0B"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FF0000"/>
                <w:sz w:val="22"/>
                <w:szCs w:val="22"/>
              </w:rPr>
            </w:pPr>
            <w:r w:rsidRPr="003B5B5D">
              <w:rPr>
                <w:rFonts w:eastAsia="Times New Roman" w:cs="Times New Roman"/>
                <w:color w:val="000000"/>
                <w:sz w:val="22"/>
                <w:szCs w:val="22"/>
              </w:rPr>
              <w:t>Institutul Naţional de Hidrologie şi Gospodărire a Apelor Laboratorul de Hidrogeologie şi Izotopi de Mediu</w:t>
            </w:r>
          </w:p>
        </w:tc>
        <w:tc>
          <w:tcPr>
            <w:tcW w:w="4961" w:type="dxa"/>
          </w:tcPr>
          <w:p w14:paraId="6059D283"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Instrucţiuni privind exploatarea apelor subterane şi a zonelor de interfaţă dintre apele dulci şi cele sărate</w:t>
            </w:r>
          </w:p>
          <w:p w14:paraId="70EDE678"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Studii hidrogeologice necesare fundamentării, proiectării şi execuţiei forajelor de captare din zonele costiere</w:t>
            </w:r>
          </w:p>
          <w:p w14:paraId="71AF8599"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FF0000"/>
                <w:sz w:val="22"/>
                <w:szCs w:val="22"/>
              </w:rPr>
            </w:pPr>
            <w:r w:rsidRPr="003B5B5D">
              <w:rPr>
                <w:rFonts w:eastAsia="Times New Roman" w:cs="Times New Roman"/>
                <w:color w:val="000000"/>
                <w:sz w:val="22"/>
                <w:szCs w:val="22"/>
              </w:rPr>
              <w:t>Avizul de gospodărire a apelor</w:t>
            </w:r>
          </w:p>
        </w:tc>
      </w:tr>
      <w:tr w:rsidR="00670FD4" w:rsidRPr="003B5B5D" w14:paraId="00A8B5B2" w14:textId="77777777" w:rsidTr="001925BA">
        <w:trPr>
          <w:jc w:val="center"/>
        </w:trPr>
        <w:tc>
          <w:tcPr>
            <w:tcW w:w="562" w:type="dxa"/>
          </w:tcPr>
          <w:p w14:paraId="5D33101D"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0AFE0B12"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 xml:space="preserve">HG nr. 230 din 4 martie 2003 privind delimitarea rezervaţiilor biosferei, parcurilor naţionale şi parcurilor </w:t>
            </w:r>
            <w:r w:rsidRPr="003B5B5D">
              <w:rPr>
                <w:rFonts w:eastAsia="Times New Roman" w:cs="Times New Roman"/>
                <w:color w:val="000000"/>
                <w:sz w:val="22"/>
                <w:szCs w:val="22"/>
              </w:rPr>
              <w:lastRenderedPageBreak/>
              <w:t>naturale şi constituirea administraţiilor acestora</w:t>
            </w:r>
          </w:p>
        </w:tc>
        <w:tc>
          <w:tcPr>
            <w:tcW w:w="4819" w:type="dxa"/>
          </w:tcPr>
          <w:p w14:paraId="4EFB5F8B"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lastRenderedPageBreak/>
              <w:t>Autoritatea publică centrală pentru protecţia mediului</w:t>
            </w:r>
          </w:p>
          <w:p w14:paraId="1C8D4591"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publică centrală pentru silvicultură</w:t>
            </w:r>
          </w:p>
          <w:p w14:paraId="72B29EFE"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lastRenderedPageBreak/>
              <w:t>Autoritatea publică centrală pentru agricultură</w:t>
            </w:r>
          </w:p>
          <w:p w14:paraId="498A75E0"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publică centrală pentru turism</w:t>
            </w:r>
          </w:p>
          <w:p w14:paraId="5FD8F91A"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Academia Română</w:t>
            </w:r>
          </w:p>
          <w:p w14:paraId="21D93569"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Autorităţile administraţiei publice locale</w:t>
            </w:r>
          </w:p>
        </w:tc>
        <w:tc>
          <w:tcPr>
            <w:tcW w:w="4961" w:type="dxa"/>
          </w:tcPr>
          <w:p w14:paraId="24E2C441"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Realizarea cadastrului de specialitate al ariilor naturale protejate, secţiunea rezervaţii ale biosferei, parcuri naţionale şi parcuri naturale</w:t>
            </w:r>
          </w:p>
          <w:p w14:paraId="2A8FB38D"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Zonarea interioară a parcurilor naţionale şi a parcurilor naturale din punct de vedere al necesităţii de conservare a diversităţii biologice</w:t>
            </w:r>
          </w:p>
          <w:p w14:paraId="65E7FC11"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Norme de amenajare a pădurilor, a fondului cinegetic şi salmonicol, în conformitate cu categoriile de management şi cu obiectivele de conservare a biodiversităţii</w:t>
            </w:r>
          </w:p>
          <w:p w14:paraId="0FBDFBD5"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Norme de gospodărire a pajiştilor, în conformitate cu categoriile de management şi cu obiectivele de conservare a biodiversităţii</w:t>
            </w:r>
          </w:p>
          <w:p w14:paraId="0672E430"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Crearea structurilor de administrare pentru toate rezervaţiile biosferei, parcurile naţionale şi parcurile naturale</w:t>
            </w:r>
          </w:p>
        </w:tc>
      </w:tr>
      <w:tr w:rsidR="00670FD4" w:rsidRPr="003B5B5D" w14:paraId="30A49681" w14:textId="77777777" w:rsidTr="001925BA">
        <w:trPr>
          <w:jc w:val="center"/>
        </w:trPr>
        <w:tc>
          <w:tcPr>
            <w:tcW w:w="562" w:type="dxa"/>
          </w:tcPr>
          <w:p w14:paraId="634F203D"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6D94B54D"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Ordinul Ministrului Mediului nr. 140/2019 privind aprobarea Metodologiei pentru elaborarea, monitorizarea, evaluarea şi revizuirea planurilor judeţene de gestionare a deşeurilor şi a planului de gestionare a deşeurilor pentru municipiul Bucureşti</w:t>
            </w:r>
          </w:p>
        </w:tc>
        <w:tc>
          <w:tcPr>
            <w:tcW w:w="4819" w:type="dxa"/>
          </w:tcPr>
          <w:p w14:paraId="7CFC3AEA"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Agenția Națională pentru Protecția Mediului</w:t>
            </w:r>
          </w:p>
          <w:p w14:paraId="736D0B3B"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Agenția pentru Protecția Mediului</w:t>
            </w:r>
          </w:p>
          <w:p w14:paraId="3954C9C0"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Institutul Național de Statistică</w:t>
            </w:r>
          </w:p>
          <w:p w14:paraId="04CC9336"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Garda Națională de Mediu</w:t>
            </w:r>
          </w:p>
          <w:p w14:paraId="37382488"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sz w:val="22"/>
                <w:szCs w:val="22"/>
              </w:rPr>
            </w:pPr>
            <w:r w:rsidRPr="003B5B5D">
              <w:rPr>
                <w:rFonts w:eastAsia="Times New Roman" w:cs="Times New Roman"/>
                <w:sz w:val="22"/>
                <w:szCs w:val="22"/>
              </w:rPr>
              <w:t>Autoritățile administrației publice locale</w:t>
            </w:r>
          </w:p>
        </w:tc>
        <w:tc>
          <w:tcPr>
            <w:tcW w:w="4961" w:type="dxa"/>
          </w:tcPr>
          <w:p w14:paraId="7FDE4BCC"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Metodologie pentru elaborarea, monitorizarea, evaluarea și revizuirea planurilor județene de gestionare a deșeurilor și a planului de gestionare a deșeurilor pentru municipiul București</w:t>
            </w:r>
          </w:p>
          <w:p w14:paraId="0E0EBB83"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Planuri județene de gestionare a deșeurilor</w:t>
            </w:r>
          </w:p>
          <w:p w14:paraId="663C415E"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Planul de gestionare a deșeurilor pentru municipiul București</w:t>
            </w:r>
          </w:p>
        </w:tc>
      </w:tr>
      <w:tr w:rsidR="00670FD4" w:rsidRPr="003B5B5D" w14:paraId="092EB093" w14:textId="77777777" w:rsidTr="001925BA">
        <w:trPr>
          <w:jc w:val="center"/>
        </w:trPr>
        <w:tc>
          <w:tcPr>
            <w:tcW w:w="562" w:type="dxa"/>
          </w:tcPr>
          <w:p w14:paraId="352EA729"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59CF90A2"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Ordinul MADR, nr. 1369/2018 privind caracteristicile tehnice, condiţiile de folosire a uneltelor admise la pescuitul comercial şi metodele de pescuit comercial în apele marine şi continentale, modificat de Ordinul 59 / 2021 și completat de Ordinul 38 / 2022</w:t>
            </w:r>
          </w:p>
        </w:tc>
        <w:tc>
          <w:tcPr>
            <w:tcW w:w="4819" w:type="dxa"/>
          </w:tcPr>
          <w:p w14:paraId="0AEC6E4C"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agriculturii și dezvoltării rurale</w:t>
            </w:r>
          </w:p>
          <w:p w14:paraId="2B500C1D"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FF0000"/>
                <w:sz w:val="22"/>
                <w:szCs w:val="22"/>
              </w:rPr>
            </w:pPr>
            <w:r w:rsidRPr="003B5B5D">
              <w:rPr>
                <w:rFonts w:eastAsia="Times New Roman" w:cs="Times New Roman"/>
                <w:color w:val="000000"/>
                <w:sz w:val="22"/>
                <w:szCs w:val="22"/>
              </w:rPr>
              <w:t>Agenția Națională pentru Pescuit și Acvacultură</w:t>
            </w:r>
          </w:p>
        </w:tc>
        <w:tc>
          <w:tcPr>
            <w:tcW w:w="4961" w:type="dxa"/>
          </w:tcPr>
          <w:p w14:paraId="38ED7859"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sz w:val="22"/>
                <w:szCs w:val="22"/>
              </w:rPr>
            </w:pPr>
            <w:r w:rsidRPr="003B5B5D">
              <w:rPr>
                <w:rFonts w:eastAsia="Times New Roman" w:cs="Times New Roman"/>
                <w:sz w:val="22"/>
                <w:szCs w:val="22"/>
              </w:rPr>
              <w:t>Caracteristici tehnice, condiții de folosire a uneltelor admise la pescuitul comercial și metode de pescuit comercial în apele marine și continentale</w:t>
            </w:r>
          </w:p>
        </w:tc>
      </w:tr>
      <w:tr w:rsidR="00670FD4" w:rsidRPr="003B5B5D" w14:paraId="7983E3A7" w14:textId="77777777" w:rsidTr="001925BA">
        <w:trPr>
          <w:jc w:val="center"/>
        </w:trPr>
        <w:tc>
          <w:tcPr>
            <w:tcW w:w="562" w:type="dxa"/>
          </w:tcPr>
          <w:p w14:paraId="5F389A64"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1987E7DD"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Ordinul MADR nr. 126/807/2017 pentru aprobarea normelor privind accesul la resursele acvatice vii din domeniul public al statului în vederea practicării pescuitului comercial în habitatele piscicole naturale din ariile naturale protejate.</w:t>
            </w:r>
          </w:p>
        </w:tc>
        <w:tc>
          <w:tcPr>
            <w:tcW w:w="4819" w:type="dxa"/>
          </w:tcPr>
          <w:p w14:paraId="0DD6D497"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Agriculturii şi Dezvoltării Rurale (MADR)</w:t>
            </w:r>
          </w:p>
          <w:p w14:paraId="05A66D64"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Mediului</w:t>
            </w:r>
          </w:p>
          <w:p w14:paraId="5CBF4235"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Agenţia Naţională pentru Pescuit şi Acvacultură (ANPA)</w:t>
            </w:r>
          </w:p>
          <w:p w14:paraId="305BE3E4"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Filialele regionale ANPA /Direcţia pentru politici şi inspecţii maritime</w:t>
            </w:r>
          </w:p>
          <w:p w14:paraId="5042663D"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Administraţia Rezervaţiei Biosferei Delta Dunării</w:t>
            </w:r>
          </w:p>
          <w:p w14:paraId="1E5905C8"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Administratorul resursei acvatice vii</w:t>
            </w:r>
          </w:p>
          <w:p w14:paraId="583F9868"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Comisia de specialitate a Academiei Române</w:t>
            </w:r>
          </w:p>
        </w:tc>
        <w:tc>
          <w:tcPr>
            <w:tcW w:w="4961" w:type="dxa"/>
          </w:tcPr>
          <w:p w14:paraId="1AC6A3F4"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Ordin anual privind stabilirea perioadelor şi zonelor de prohibiţie a pescuitului, precum şi a zonelor de protecţie a resurselor acvatice vii</w:t>
            </w:r>
          </w:p>
          <w:p w14:paraId="518C76C5"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Planuri de management şi/sau regulamentele ariilor naturale protejate</w:t>
            </w:r>
          </w:p>
          <w:p w14:paraId="14B54713"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Licenţe, permise şi a autorizaţii de pescuit</w:t>
            </w:r>
          </w:p>
          <w:p w14:paraId="09745FC6"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Permis de pescuit comercial</w:t>
            </w:r>
          </w:p>
          <w:p w14:paraId="508AE76D"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Autorizaţie pentru recoltare/capturare şi/sau achiziţie şi/sau comercializare de specii de floră şi faună sălbatice;</w:t>
            </w:r>
          </w:p>
          <w:p w14:paraId="7BDD18C9"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Autorizaţie de pescuit comercial </w:t>
            </w:r>
          </w:p>
          <w:p w14:paraId="6C0CCF34"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Licenţă de pescuit a navei /ambarcaţiunii, permisului de pescuit comercial, autorizaţiei pentru recoltare, capturare şi/sau achiziţie şi/sau comercializare de specii de floră şi faună sălbatice şi a autorizaţiei de funcţionare eliberate</w:t>
            </w:r>
          </w:p>
          <w:p w14:paraId="4275E538"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Fişierul navelor/ambarcaţiunilor de pescuit</w:t>
            </w:r>
          </w:p>
          <w:p w14:paraId="3FE75B67"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Lista ambarcaţiunilor active posesoare de licenţă de pescuit</w:t>
            </w:r>
          </w:p>
          <w:p w14:paraId="29AA51E4"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Studiile de evaluare a resurselor acvatice vii</w:t>
            </w:r>
          </w:p>
          <w:p w14:paraId="061458A5"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Centralizatorul declaraţiilor de descărcare a speciilor de la Marea Neagră</w:t>
            </w:r>
          </w:p>
          <w:p w14:paraId="559969FD"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Programul de colectare şi gestionare a datelor la nivel naţional şi comunitar</w:t>
            </w:r>
          </w:p>
        </w:tc>
      </w:tr>
      <w:tr w:rsidR="00670FD4" w:rsidRPr="003B5B5D" w14:paraId="1454E2DC" w14:textId="77777777" w:rsidTr="001925BA">
        <w:trPr>
          <w:jc w:val="center"/>
        </w:trPr>
        <w:tc>
          <w:tcPr>
            <w:tcW w:w="562" w:type="dxa"/>
          </w:tcPr>
          <w:p w14:paraId="53C16837"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3DC7EB36"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 xml:space="preserve">Ordinul Ministrului Mediului, Apelor şi </w:t>
            </w:r>
            <w:r w:rsidRPr="003B5B5D">
              <w:rPr>
                <w:rFonts w:eastAsia="Times New Roman" w:cs="Times New Roman"/>
                <w:sz w:val="22"/>
                <w:szCs w:val="22"/>
              </w:rPr>
              <w:t>Pădurilor Nr</w:t>
            </w:r>
            <w:r w:rsidRPr="003B5B5D">
              <w:rPr>
                <w:rFonts w:eastAsia="Times New Roman" w:cs="Times New Roman"/>
                <w:color w:val="000000"/>
                <w:sz w:val="22"/>
                <w:szCs w:val="22"/>
              </w:rPr>
              <w:t xml:space="preserve">, nr. 46 din 12 ianuarie </w:t>
            </w:r>
            <w:r w:rsidRPr="003B5B5D">
              <w:rPr>
                <w:rFonts w:eastAsia="Times New Roman" w:cs="Times New Roman"/>
                <w:color w:val="000000"/>
                <w:sz w:val="22"/>
                <w:szCs w:val="22"/>
              </w:rPr>
              <w:lastRenderedPageBreak/>
              <w:t>2016 privind instituirea regimului de arie naturală protejată şi declararea siturilor de importanţă comunitară ca parte integrantă a reţelei ecologice europene Natura 2000 în România</w:t>
            </w:r>
          </w:p>
        </w:tc>
        <w:tc>
          <w:tcPr>
            <w:tcW w:w="4819" w:type="dxa"/>
          </w:tcPr>
          <w:p w14:paraId="3997394E"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lastRenderedPageBreak/>
              <w:t>Autoritatea publică centrală pentru protecţia mediului</w:t>
            </w:r>
          </w:p>
        </w:tc>
        <w:tc>
          <w:tcPr>
            <w:tcW w:w="4961" w:type="dxa"/>
          </w:tcPr>
          <w:p w14:paraId="797E3222"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Lista consolidată a siturilor de importanţă comunitară</w:t>
            </w:r>
          </w:p>
          <w:p w14:paraId="79564985"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Setul de date „ariile naturale protejate din România"</w:t>
            </w:r>
          </w:p>
          <w:p w14:paraId="7E4F673A"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Geoportalul INSPIRE al Comisiei Europene (http://inspire-geoportal.ec.europa.eu/discovery/)</w:t>
            </w:r>
          </w:p>
          <w:p w14:paraId="47381C46"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Ghid cu informaţii referitoare la modul de descoperire al setului de date şi modul de utilizare al serviciilor de vizualizare şi de descărcare, prin intermediul site-ului www.biodiversity.ro, în secţiunea „Date GIS"</w:t>
            </w:r>
          </w:p>
          <w:p w14:paraId="4EA17B2D"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Instrument web-GIS pentru vizualizarea setului de date „ariile naturale protejate din România" în raport cu alte straturi de fundal (http://ariiprotejate.biodiversity.ro/)</w:t>
            </w:r>
          </w:p>
          <w:p w14:paraId="23FF4DB5"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Formulare standard Natura 2000 completate pentru siturile de importanţă comunitară</w:t>
            </w:r>
          </w:p>
        </w:tc>
      </w:tr>
      <w:tr w:rsidR="00670FD4" w:rsidRPr="003B5B5D" w14:paraId="3B2F8BEA" w14:textId="77777777" w:rsidTr="001925BA">
        <w:trPr>
          <w:jc w:val="center"/>
        </w:trPr>
        <w:tc>
          <w:tcPr>
            <w:tcW w:w="562" w:type="dxa"/>
          </w:tcPr>
          <w:p w14:paraId="178FDE0D"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0546612F"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Ordinul Ministrului Transporturilor şi Infrastructurii nr. 536/2012 privind aprobarea Listei cuprinzând punctele şi locurile de operare şi limitele acestora, a căror infrastructură portuară aparţine domeniului public al unităţilor administrativ-teritoriale, precum şi limitele radelor portuare şi ale zonelor de ancoraj</w:t>
            </w:r>
          </w:p>
        </w:tc>
        <w:tc>
          <w:tcPr>
            <w:tcW w:w="4819" w:type="dxa"/>
          </w:tcPr>
          <w:p w14:paraId="780AEDFC"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sz w:val="22"/>
                <w:szCs w:val="22"/>
              </w:rPr>
            </w:pPr>
            <w:r w:rsidRPr="003B5B5D">
              <w:rPr>
                <w:rFonts w:eastAsia="Times New Roman" w:cs="Times New Roman"/>
                <w:sz w:val="22"/>
                <w:szCs w:val="22"/>
              </w:rPr>
              <w:t>Ministerului Transporturilor şi Infrastructurii</w:t>
            </w:r>
          </w:p>
          <w:p w14:paraId="5658D94D"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sz w:val="22"/>
                <w:szCs w:val="22"/>
              </w:rPr>
            </w:pPr>
            <w:r w:rsidRPr="003B5B5D">
              <w:rPr>
                <w:rFonts w:eastAsia="Times New Roman" w:cs="Times New Roman"/>
                <w:sz w:val="22"/>
                <w:szCs w:val="22"/>
              </w:rPr>
              <w:t>Operatori portuari (menționați în Anexă)</w:t>
            </w:r>
          </w:p>
        </w:tc>
        <w:tc>
          <w:tcPr>
            <w:tcW w:w="4961" w:type="dxa"/>
          </w:tcPr>
          <w:p w14:paraId="29954973"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Lista cuprinzând punctele şi locurile de operare şi limitele acestora</w:t>
            </w:r>
          </w:p>
          <w:p w14:paraId="5F2F7886"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Limitele radelor portuare şi ale zonelor de ancoraj</w:t>
            </w:r>
          </w:p>
        </w:tc>
      </w:tr>
      <w:tr w:rsidR="00670FD4" w:rsidRPr="003B5B5D" w14:paraId="56590B4B" w14:textId="77777777" w:rsidTr="001925BA">
        <w:trPr>
          <w:jc w:val="center"/>
        </w:trPr>
        <w:tc>
          <w:tcPr>
            <w:tcW w:w="562" w:type="dxa"/>
          </w:tcPr>
          <w:p w14:paraId="2A1764AE"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5E7E246D"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 xml:space="preserve">Ordinul Ministrului Mediului nr. 979/2009 privind introducerea de specii alohtone, intervențiile asupra speciilor invazive, precum și reintroducerea speciilor indigene prevăzute în anexele nr. 4A și 4B la OUG nr. 57/2007, privind regimul ariilor naturale </w:t>
            </w:r>
            <w:r w:rsidRPr="003B5B5D">
              <w:rPr>
                <w:rFonts w:eastAsia="Times New Roman" w:cs="Times New Roman"/>
                <w:color w:val="000000"/>
                <w:sz w:val="22"/>
                <w:szCs w:val="22"/>
              </w:rPr>
              <w:lastRenderedPageBreak/>
              <w:t>protejate, conservarea habitatelor naturale, a florei și faunei sălbatice, pe teritoriul național</w:t>
            </w:r>
          </w:p>
        </w:tc>
        <w:tc>
          <w:tcPr>
            <w:tcW w:w="4819" w:type="dxa"/>
          </w:tcPr>
          <w:p w14:paraId="284852CC"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lastRenderedPageBreak/>
              <w:t>Autoritatea competentă pentru protecția mediului Academia Română</w:t>
            </w:r>
          </w:p>
        </w:tc>
        <w:tc>
          <w:tcPr>
            <w:tcW w:w="4961" w:type="dxa"/>
          </w:tcPr>
          <w:p w14:paraId="799D36D8"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Certificat de proveniență genetică a speciei</w:t>
            </w:r>
          </w:p>
          <w:p w14:paraId="1F4DFB66"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Autorizație de mediu</w:t>
            </w:r>
          </w:p>
          <w:p w14:paraId="0DB24682"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Lista de specii invazive de la nivelul Comunității Europene</w:t>
            </w:r>
          </w:p>
          <w:p w14:paraId="0B47A386"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Lista de specii invazive la nivel național</w:t>
            </w:r>
          </w:p>
        </w:tc>
      </w:tr>
      <w:tr w:rsidR="00670FD4" w:rsidRPr="003B5B5D" w14:paraId="61E5E13A" w14:textId="77777777" w:rsidTr="001925BA">
        <w:trPr>
          <w:jc w:val="center"/>
        </w:trPr>
        <w:tc>
          <w:tcPr>
            <w:tcW w:w="562" w:type="dxa"/>
          </w:tcPr>
          <w:p w14:paraId="31131E41"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457C6D91"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Ordinul Ministrul mediului şi dezvoltării durabile nr. 410/2008 pentru aprobarea Procedurii de autorizare a activităţilor de recoltare, capturare şi/sau achiziţie şi/sau comercializare, pe teritoriul naţional sau la export, a florilor de mină, a fosilelor de plante şi fosilelor de animale vertebrate şi nevertebrate, precum şi a plantelor şi animalelor din flora şi, respectiv, fauna sălbatice şi a importului acestora</w:t>
            </w:r>
          </w:p>
        </w:tc>
        <w:tc>
          <w:tcPr>
            <w:tcW w:w="4819" w:type="dxa"/>
          </w:tcPr>
          <w:p w14:paraId="5184383B"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Ministerului Mediului şi Dezvoltării Durabile</w:t>
            </w:r>
          </w:p>
          <w:p w14:paraId="586E0021"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Agenţiile teritoriale pentru protecţia mediului</w:t>
            </w:r>
          </w:p>
          <w:p w14:paraId="0F07E3E2"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Administraţia Rezervaţiei Biosferei "Delta Dunării"</w:t>
            </w:r>
          </w:p>
        </w:tc>
        <w:tc>
          <w:tcPr>
            <w:tcW w:w="4961" w:type="dxa"/>
          </w:tcPr>
          <w:p w14:paraId="3CBE0C2D"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Tarife care se încasează de către autoritatea publică centrală pentru protecţia mediului</w:t>
            </w:r>
          </w:p>
        </w:tc>
      </w:tr>
      <w:tr w:rsidR="00670FD4" w:rsidRPr="003B5B5D" w14:paraId="5687E4CD" w14:textId="77777777" w:rsidTr="001925BA">
        <w:trPr>
          <w:jc w:val="center"/>
        </w:trPr>
        <w:tc>
          <w:tcPr>
            <w:tcW w:w="562" w:type="dxa"/>
          </w:tcPr>
          <w:p w14:paraId="4AFE67D4"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1CE2103A"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Ordinul Ministrului Mediului și Dezvoltării Durabile nr. 1.964 din 13 decembrie 2007 privind instituirea regimului de arie naturală protejată a siturilor de importanţă comunitară, ca parte integrantă a reţelei ecologice europene Natura 2000 în România, cu modificările și completările ulterioare</w:t>
            </w:r>
          </w:p>
        </w:tc>
        <w:tc>
          <w:tcPr>
            <w:tcW w:w="4819" w:type="dxa"/>
          </w:tcPr>
          <w:p w14:paraId="27953D3D"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Ministrul mediului şi dezvoltării durabile</w:t>
            </w:r>
          </w:p>
          <w:p w14:paraId="235B2188"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publică centrală pentru agricultură şi silvicultură</w:t>
            </w:r>
          </w:p>
          <w:p w14:paraId="7A22261C"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Agențiile teritoriale pentru protecția mediului</w:t>
            </w:r>
          </w:p>
          <w:p w14:paraId="0B1CF9DC"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Academia Română</w:t>
            </w:r>
          </w:p>
        </w:tc>
        <w:tc>
          <w:tcPr>
            <w:tcW w:w="4961" w:type="dxa"/>
          </w:tcPr>
          <w:p w14:paraId="71AA1FCC"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Procedura de realizare a evaluării de mediu pentru planuri şi programe</w:t>
            </w:r>
          </w:p>
          <w:p w14:paraId="2692BBC3"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Procedura-cadru de evaluare a impactului asupra mediului</w:t>
            </w:r>
          </w:p>
          <w:p w14:paraId="6639FBFB"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Manualului de interpretare a habitatelor, versiunea EUR-27</w:t>
            </w:r>
          </w:p>
          <w:p w14:paraId="5984CBB6"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Formularele standard Natura 2000</w:t>
            </w:r>
          </w:p>
        </w:tc>
      </w:tr>
      <w:tr w:rsidR="00670FD4" w:rsidRPr="003B5B5D" w14:paraId="5BED2F6D" w14:textId="77777777" w:rsidTr="001925BA">
        <w:trPr>
          <w:jc w:val="center"/>
        </w:trPr>
        <w:tc>
          <w:tcPr>
            <w:tcW w:w="562" w:type="dxa"/>
          </w:tcPr>
          <w:p w14:paraId="36616497"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515CBFB5"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Ordinul Ministrului Mediului și Dezvoltării Durabile nr. 1798 din 19 noiembrie 2007 pentru aprobarea Procedurii de emitere a autorizaţiei de mediu</w:t>
            </w:r>
          </w:p>
        </w:tc>
        <w:tc>
          <w:tcPr>
            <w:tcW w:w="4819" w:type="dxa"/>
          </w:tcPr>
          <w:p w14:paraId="6E336E33"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publică centrală pentru protecția mediului</w:t>
            </w:r>
          </w:p>
          <w:p w14:paraId="46178680"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Agenția Națională pentru Protecția Mediului (ANPM)</w:t>
            </w:r>
          </w:p>
          <w:p w14:paraId="0F8FAC9A"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publică teritorială pentru protecția mediului (ATPM)</w:t>
            </w:r>
          </w:p>
          <w:p w14:paraId="15DD4A18"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lastRenderedPageBreak/>
              <w:t>Administrația Rezervației Biosferei «Delta Dunării»</w:t>
            </w:r>
          </w:p>
          <w:p w14:paraId="65702C65"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Comisia Națională pentru Controlul Activităților Nucleare.</w:t>
            </w:r>
          </w:p>
        </w:tc>
        <w:tc>
          <w:tcPr>
            <w:tcW w:w="4961" w:type="dxa"/>
          </w:tcPr>
          <w:p w14:paraId="1B6408F1"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Procedura de emitere a autorizației de mediu</w:t>
            </w:r>
          </w:p>
          <w:p w14:paraId="67B7CEC1"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Procedura de autorizare privind activitățile nucleare</w:t>
            </w:r>
          </w:p>
          <w:p w14:paraId="1183ADB7"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Procedura de dezbatere publică</w:t>
            </w:r>
          </w:p>
          <w:p w14:paraId="03ABF2AB"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Conținutul-cadru ale autorizației de mediu</w:t>
            </w:r>
          </w:p>
          <w:p w14:paraId="76892B89"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sz w:val="22"/>
                <w:szCs w:val="22"/>
              </w:rPr>
            </w:pPr>
            <w:r w:rsidRPr="003B5B5D">
              <w:rPr>
                <w:rFonts w:eastAsia="Times New Roman" w:cs="Times New Roman"/>
                <w:sz w:val="22"/>
                <w:szCs w:val="22"/>
              </w:rPr>
              <w:t>Procedura de autorizare privind activităţile nucleare</w:t>
            </w:r>
          </w:p>
          <w:p w14:paraId="0758276D"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sz w:val="22"/>
                <w:szCs w:val="22"/>
              </w:rPr>
            </w:pPr>
            <w:r w:rsidRPr="003B5B5D">
              <w:rPr>
                <w:rFonts w:eastAsia="Times New Roman" w:cs="Times New Roman"/>
                <w:sz w:val="22"/>
                <w:szCs w:val="22"/>
              </w:rPr>
              <w:lastRenderedPageBreak/>
              <w:t>Procedura specifică de autorizare a grădinilor zoologice, a acvariilor publice şi a centrelor de reabilitare şi/sau îngrijire</w:t>
            </w:r>
          </w:p>
        </w:tc>
      </w:tr>
      <w:tr w:rsidR="00670FD4" w:rsidRPr="003B5B5D" w14:paraId="6690351C" w14:textId="77777777" w:rsidTr="001925BA">
        <w:trPr>
          <w:jc w:val="center"/>
        </w:trPr>
        <w:tc>
          <w:tcPr>
            <w:tcW w:w="562" w:type="dxa"/>
          </w:tcPr>
          <w:p w14:paraId="35415698"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26A3D193"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Ordinul nr. 38/1044/671/2004 al Ministrului Mediului și Apelor, Ministrului Transporturilor, Construcțiilor și Turismului și Ministrului Sănătății prin care se aprobă Codul de Conduită pentru activități recreative în zona costieră</w:t>
            </w:r>
          </w:p>
        </w:tc>
        <w:tc>
          <w:tcPr>
            <w:tcW w:w="4819" w:type="dxa"/>
          </w:tcPr>
          <w:p w14:paraId="75ABAB66"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sz w:val="22"/>
                <w:szCs w:val="22"/>
              </w:rPr>
            </w:pPr>
            <w:r w:rsidRPr="003B5B5D">
              <w:rPr>
                <w:rFonts w:eastAsia="Times New Roman" w:cs="Times New Roman"/>
                <w:sz w:val="22"/>
                <w:szCs w:val="22"/>
              </w:rPr>
              <w:t xml:space="preserve">Ministerul Mediului și Gospodăririi Apelor </w:t>
            </w:r>
          </w:p>
          <w:p w14:paraId="55DB4E55"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sz w:val="22"/>
                <w:szCs w:val="22"/>
              </w:rPr>
            </w:pPr>
            <w:r w:rsidRPr="003B5B5D">
              <w:rPr>
                <w:rFonts w:eastAsia="Times New Roman" w:cs="Times New Roman"/>
                <w:sz w:val="22"/>
                <w:szCs w:val="22"/>
              </w:rPr>
              <w:t>Ministerul Transporturilor, Construcțiilor și Turismului</w:t>
            </w:r>
          </w:p>
          <w:p w14:paraId="5958EA78"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sz w:val="22"/>
                <w:szCs w:val="22"/>
              </w:rPr>
            </w:pPr>
            <w:r w:rsidRPr="003B5B5D">
              <w:rPr>
                <w:rFonts w:eastAsia="Times New Roman" w:cs="Times New Roman"/>
                <w:sz w:val="22"/>
                <w:szCs w:val="22"/>
              </w:rPr>
              <w:t>Ministerul Sănătății</w:t>
            </w:r>
          </w:p>
          <w:p w14:paraId="4327E465"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color w:val="FF0000"/>
                <w:sz w:val="22"/>
                <w:szCs w:val="22"/>
              </w:rPr>
            </w:pPr>
            <w:r w:rsidRPr="003B5B5D">
              <w:rPr>
                <w:rFonts w:eastAsia="Times New Roman" w:cs="Times New Roman"/>
                <w:sz w:val="22"/>
                <w:szCs w:val="22"/>
              </w:rPr>
              <w:t>Agenţii economici din turism</w:t>
            </w:r>
          </w:p>
        </w:tc>
        <w:tc>
          <w:tcPr>
            <w:tcW w:w="4961" w:type="dxa"/>
          </w:tcPr>
          <w:p w14:paraId="6C71D89F"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i/>
                <w:color w:val="FF0000"/>
                <w:sz w:val="22"/>
                <w:szCs w:val="22"/>
              </w:rPr>
            </w:pPr>
            <w:r w:rsidRPr="003B5B5D">
              <w:rPr>
                <w:rFonts w:eastAsia="Times New Roman" w:cs="Times New Roman"/>
                <w:i/>
                <w:sz w:val="22"/>
                <w:szCs w:val="22"/>
              </w:rPr>
              <w:t>Art. 14. - La elaborarea planului general de urbanism, a planurilor urbanistice zonale şi a planurilor urbanistice de detaliu din zona costieră trebuie să se stabilească faptul ca noile construcţii, inclusiv cele cu destinaţie turistică, să se realizeze în concordanţă cu arhitectura şi tradiţiile locale.</w:t>
            </w:r>
          </w:p>
        </w:tc>
      </w:tr>
      <w:tr w:rsidR="00670FD4" w:rsidRPr="003B5B5D" w14:paraId="2609BA12" w14:textId="77777777" w:rsidTr="001925BA">
        <w:trPr>
          <w:jc w:val="center"/>
        </w:trPr>
        <w:tc>
          <w:tcPr>
            <w:tcW w:w="562" w:type="dxa"/>
          </w:tcPr>
          <w:p w14:paraId="45525BFF"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03A023E7" w14:textId="77777777" w:rsidR="00670FD4" w:rsidRPr="003B5B5D"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Ordinul Ministrului Apelor și Protecției Mediului nr. 864 din 26 septembrie 2002 pentru aprobarea Procedurii de evaluare a impactului asupra mediului în context transfrontier şi de participare a publicului la luarea deciziei în cazul proiectelor cu impact transfrontieră</w:t>
            </w:r>
          </w:p>
        </w:tc>
        <w:tc>
          <w:tcPr>
            <w:tcW w:w="4819" w:type="dxa"/>
          </w:tcPr>
          <w:p w14:paraId="318DF55D"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sz w:val="22"/>
                <w:szCs w:val="22"/>
                <w:highlight w:val="white"/>
              </w:rPr>
            </w:pPr>
            <w:r w:rsidRPr="003B5B5D">
              <w:rPr>
                <w:rFonts w:eastAsia="Times New Roman" w:cs="Times New Roman"/>
                <w:sz w:val="22"/>
                <w:szCs w:val="22"/>
                <w:highlight w:val="white"/>
              </w:rPr>
              <w:t>Ministerul Apelor şi Protecției Mediului, prin direcțiile de autorizare şi atestare şi strategii, politici, reglementări</w:t>
            </w:r>
          </w:p>
          <w:p w14:paraId="2E0ABD37"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sz w:val="22"/>
                <w:szCs w:val="22"/>
              </w:rPr>
            </w:pPr>
            <w:r w:rsidRPr="003B5B5D">
              <w:rPr>
                <w:rFonts w:eastAsia="Times New Roman" w:cs="Times New Roman"/>
                <w:sz w:val="22"/>
                <w:szCs w:val="22"/>
              </w:rPr>
              <w:t>Autorităţile publice locale pentru protecţia mediului</w:t>
            </w:r>
          </w:p>
        </w:tc>
        <w:tc>
          <w:tcPr>
            <w:tcW w:w="4961" w:type="dxa"/>
          </w:tcPr>
          <w:p w14:paraId="6D09A4F2"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sz w:val="22"/>
                <w:szCs w:val="22"/>
              </w:rPr>
            </w:pPr>
            <w:r w:rsidRPr="003B5B5D">
              <w:rPr>
                <w:rFonts w:eastAsia="Times New Roman" w:cs="Times New Roman"/>
                <w:sz w:val="22"/>
                <w:szCs w:val="22"/>
              </w:rPr>
              <w:t>Procedura de evaluare a impactului asupra mediului în context transfrontier</w:t>
            </w:r>
          </w:p>
        </w:tc>
      </w:tr>
      <w:tr w:rsidR="00670FD4" w:rsidRPr="003B5B5D" w14:paraId="76A5F208" w14:textId="77777777" w:rsidTr="001925BA">
        <w:trPr>
          <w:jc w:val="center"/>
        </w:trPr>
        <w:tc>
          <w:tcPr>
            <w:tcW w:w="562" w:type="dxa"/>
          </w:tcPr>
          <w:p w14:paraId="5E341C94" w14:textId="77777777" w:rsidR="00670FD4" w:rsidRPr="003B5B5D" w:rsidRDefault="00670FD4" w:rsidP="001925BA">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10394404" w14:textId="77777777" w:rsidR="00670FD4" w:rsidRPr="00140485" w:rsidRDefault="00670FD4" w:rsidP="001925BA">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lang w:val="ro-RO"/>
              </w:rPr>
            </w:pPr>
            <w:r>
              <w:rPr>
                <w:rFonts w:eastAsia="Times New Roman" w:cs="Times New Roman"/>
                <w:color w:val="000000"/>
                <w:sz w:val="22"/>
                <w:szCs w:val="22"/>
              </w:rPr>
              <w:t>Ordonanța de Urgență a Guvernului nr. 97/2023 pentru aprobarea Planului de Amenajare a Spațiului Maritim</w:t>
            </w:r>
          </w:p>
        </w:tc>
        <w:tc>
          <w:tcPr>
            <w:tcW w:w="4819" w:type="dxa"/>
          </w:tcPr>
          <w:p w14:paraId="7FF316A8" w14:textId="77777777" w:rsidR="00670FD4" w:rsidRPr="003B5B5D" w:rsidRDefault="00670FD4" w:rsidP="001925BA">
            <w:pPr>
              <w:pBdr>
                <w:top w:val="nil"/>
                <w:left w:val="nil"/>
                <w:bottom w:val="nil"/>
                <w:right w:val="nil"/>
                <w:between w:val="nil"/>
              </w:pBdr>
              <w:spacing w:before="0" w:line="240" w:lineRule="auto"/>
              <w:ind w:firstLine="33"/>
              <w:rPr>
                <w:rFonts w:eastAsia="Times New Roman" w:cs="Times New Roman"/>
                <w:sz w:val="22"/>
                <w:szCs w:val="22"/>
                <w:highlight w:val="white"/>
              </w:rPr>
            </w:pPr>
            <w:r w:rsidRPr="004B27B1">
              <w:rPr>
                <w:rFonts w:eastAsia="Times New Roman" w:cs="Times New Roman"/>
                <w:sz w:val="22"/>
                <w:szCs w:val="22"/>
              </w:rPr>
              <w:t>Comitetul de amenajare a spaţiului maritim (organism interministerial care funcţionează în coordonarea prim-ministrului)</w:t>
            </w:r>
          </w:p>
        </w:tc>
        <w:tc>
          <w:tcPr>
            <w:tcW w:w="4961" w:type="dxa"/>
          </w:tcPr>
          <w:p w14:paraId="2BB916A1" w14:textId="77777777" w:rsidR="00670FD4" w:rsidRPr="003B5B5D" w:rsidRDefault="00670FD4" w:rsidP="001925BA">
            <w:pPr>
              <w:pBdr>
                <w:top w:val="nil"/>
                <w:left w:val="nil"/>
                <w:bottom w:val="nil"/>
                <w:right w:val="nil"/>
                <w:between w:val="nil"/>
              </w:pBdr>
              <w:spacing w:before="0" w:line="240" w:lineRule="auto"/>
              <w:ind w:firstLine="34"/>
              <w:rPr>
                <w:rFonts w:eastAsia="Times New Roman" w:cs="Times New Roman"/>
                <w:sz w:val="22"/>
                <w:szCs w:val="22"/>
              </w:rPr>
            </w:pPr>
            <w:r>
              <w:rPr>
                <w:rFonts w:eastAsia="Times New Roman" w:cs="Times New Roman"/>
                <w:sz w:val="22"/>
                <w:szCs w:val="22"/>
              </w:rPr>
              <w:t xml:space="preserve">Aprobarea </w:t>
            </w:r>
            <w:r w:rsidRPr="004B27B1">
              <w:rPr>
                <w:rFonts w:eastAsia="Times New Roman" w:cs="Times New Roman"/>
                <w:sz w:val="22"/>
                <w:szCs w:val="22"/>
              </w:rPr>
              <w:t>Planul de amenajare a spaţiului maritim</w:t>
            </w:r>
          </w:p>
        </w:tc>
      </w:tr>
    </w:tbl>
    <w:p w14:paraId="57430B0D" w14:textId="77777777" w:rsidR="00670FD4" w:rsidRDefault="00670FD4" w:rsidP="00670FD4">
      <w:pPr>
        <w:pBdr>
          <w:top w:val="nil"/>
          <w:left w:val="nil"/>
          <w:bottom w:val="nil"/>
          <w:right w:val="nil"/>
          <w:between w:val="nil"/>
        </w:pBdr>
        <w:spacing w:after="200"/>
        <w:ind w:firstLine="0"/>
        <w:rPr>
          <w:rFonts w:eastAsia="Times New Roman" w:cs="Times New Roman"/>
          <w:b/>
          <w:sz w:val="28"/>
          <w:szCs w:val="28"/>
        </w:rPr>
        <w:sectPr w:rsidR="00670FD4" w:rsidSect="00670FD4">
          <w:headerReference w:type="even" r:id="rId76"/>
          <w:headerReference w:type="default" r:id="rId77"/>
          <w:headerReference w:type="first" r:id="rId78"/>
          <w:pgSz w:w="16838" w:h="11906" w:orient="landscape"/>
          <w:pgMar w:top="1440" w:right="1440" w:bottom="1440" w:left="1440" w:header="0" w:footer="0" w:gutter="0"/>
          <w:cols w:space="708"/>
        </w:sectPr>
      </w:pPr>
    </w:p>
    <w:p w14:paraId="420BCC29" w14:textId="77777777" w:rsidR="00670FD4" w:rsidRDefault="00670FD4" w:rsidP="00670FD4">
      <w:pPr>
        <w:pStyle w:val="Heading2"/>
      </w:pPr>
      <w:bookmarkStart w:id="174" w:name="_Toc171084872"/>
      <w:r>
        <w:rPr>
          <w:noProof/>
        </w:rPr>
        <w:lastRenderedPageBreak/>
        <w:drawing>
          <wp:anchor distT="0" distB="0" distL="0" distR="0" simplePos="0" relativeHeight="251663360" behindDoc="1" locked="0" layoutInCell="1" hidden="0" allowOverlap="1" wp14:anchorId="75EC279E" wp14:editId="7FB8D53A">
            <wp:simplePos x="0" y="0"/>
            <wp:positionH relativeFrom="column">
              <wp:posOffset>0</wp:posOffset>
            </wp:positionH>
            <wp:positionV relativeFrom="paragraph">
              <wp:posOffset>396240</wp:posOffset>
            </wp:positionV>
            <wp:extent cx="5707380" cy="8321040"/>
            <wp:effectExtent l="0" t="0" r="7620" b="3810"/>
            <wp:wrapNone/>
            <wp:docPr id="2141401931"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79"/>
                    <a:srcRect l="7909" t="780" r="1411" b="1292"/>
                    <a:stretch>
                      <a:fillRect/>
                    </a:stretch>
                  </pic:blipFill>
                  <pic:spPr>
                    <a:xfrm>
                      <a:off x="0" y="0"/>
                      <a:ext cx="5712667" cy="8328748"/>
                    </a:xfrm>
                    <a:prstGeom prst="rect">
                      <a:avLst/>
                    </a:prstGeom>
                    <a:ln/>
                  </pic:spPr>
                </pic:pic>
              </a:graphicData>
            </a:graphic>
            <wp14:sizeRelH relativeFrom="margin">
              <wp14:pctWidth>0</wp14:pctWidth>
            </wp14:sizeRelH>
            <wp14:sizeRelV relativeFrom="margin">
              <wp14:pctHeight>0</wp14:pctHeight>
            </wp14:sizeRelV>
          </wp:anchor>
        </w:drawing>
      </w:r>
      <w:r>
        <w:t>Anexa 5</w:t>
      </w:r>
      <w:bookmarkEnd w:id="174"/>
    </w:p>
    <w:p w14:paraId="59A423F3" w14:textId="77777777" w:rsidR="00670FD4" w:rsidRPr="00935E16" w:rsidRDefault="00670FD4" w:rsidP="00670FD4">
      <w:pPr>
        <w:rPr>
          <w:lang w:val="ro-RO" w:eastAsia="en-GB"/>
        </w:rPr>
      </w:pPr>
    </w:p>
    <w:p w14:paraId="09040011" w14:textId="77777777" w:rsidR="00670FD4" w:rsidRPr="00935E16" w:rsidRDefault="00670FD4" w:rsidP="00670FD4">
      <w:pPr>
        <w:rPr>
          <w:lang w:val="ro-RO" w:eastAsia="en-GB"/>
        </w:rPr>
      </w:pPr>
    </w:p>
    <w:p w14:paraId="79833708" w14:textId="77777777" w:rsidR="00670FD4" w:rsidRPr="00935E16" w:rsidRDefault="00670FD4" w:rsidP="00670FD4">
      <w:pPr>
        <w:rPr>
          <w:lang w:val="ro-RO" w:eastAsia="en-GB"/>
        </w:rPr>
      </w:pPr>
    </w:p>
    <w:p w14:paraId="39E32A37" w14:textId="77777777" w:rsidR="00670FD4" w:rsidRPr="00935E16" w:rsidRDefault="00670FD4" w:rsidP="00670FD4">
      <w:pPr>
        <w:rPr>
          <w:lang w:val="ro-RO" w:eastAsia="en-GB"/>
        </w:rPr>
      </w:pPr>
    </w:p>
    <w:p w14:paraId="5AD740A4" w14:textId="77777777" w:rsidR="00670FD4" w:rsidRPr="00935E16" w:rsidRDefault="00670FD4" w:rsidP="00670FD4">
      <w:pPr>
        <w:rPr>
          <w:lang w:val="ro-RO" w:eastAsia="en-GB"/>
        </w:rPr>
      </w:pPr>
    </w:p>
    <w:p w14:paraId="0ED7CA6B" w14:textId="77777777" w:rsidR="00670FD4" w:rsidRPr="00935E16" w:rsidRDefault="00670FD4" w:rsidP="00670FD4">
      <w:pPr>
        <w:rPr>
          <w:lang w:val="ro-RO" w:eastAsia="en-GB"/>
        </w:rPr>
      </w:pPr>
    </w:p>
    <w:p w14:paraId="077D217F" w14:textId="77777777" w:rsidR="00670FD4" w:rsidRPr="00935E16" w:rsidRDefault="00670FD4" w:rsidP="00670FD4">
      <w:pPr>
        <w:rPr>
          <w:lang w:val="ro-RO" w:eastAsia="en-GB"/>
        </w:rPr>
      </w:pPr>
    </w:p>
    <w:p w14:paraId="667AC892" w14:textId="77777777" w:rsidR="00670FD4" w:rsidRPr="00935E16" w:rsidRDefault="00670FD4" w:rsidP="00670FD4">
      <w:pPr>
        <w:rPr>
          <w:lang w:val="ro-RO" w:eastAsia="en-GB"/>
        </w:rPr>
      </w:pPr>
    </w:p>
    <w:p w14:paraId="0F6D752A" w14:textId="77777777" w:rsidR="00670FD4" w:rsidRPr="00935E16" w:rsidRDefault="00670FD4" w:rsidP="00670FD4">
      <w:pPr>
        <w:rPr>
          <w:lang w:val="ro-RO" w:eastAsia="en-GB"/>
        </w:rPr>
      </w:pPr>
    </w:p>
    <w:p w14:paraId="753483DA" w14:textId="77777777" w:rsidR="00670FD4" w:rsidRPr="00935E16" w:rsidRDefault="00670FD4" w:rsidP="00670FD4">
      <w:pPr>
        <w:rPr>
          <w:lang w:val="ro-RO" w:eastAsia="en-GB"/>
        </w:rPr>
      </w:pPr>
    </w:p>
    <w:p w14:paraId="7AB339DA" w14:textId="77777777" w:rsidR="00670FD4" w:rsidRPr="00935E16" w:rsidRDefault="00670FD4" w:rsidP="00670FD4">
      <w:pPr>
        <w:rPr>
          <w:lang w:val="ro-RO" w:eastAsia="en-GB"/>
        </w:rPr>
      </w:pPr>
    </w:p>
    <w:p w14:paraId="48BF638B" w14:textId="77777777" w:rsidR="00670FD4" w:rsidRPr="00935E16" w:rsidRDefault="00670FD4" w:rsidP="00670FD4">
      <w:pPr>
        <w:rPr>
          <w:lang w:val="ro-RO" w:eastAsia="en-GB"/>
        </w:rPr>
      </w:pPr>
    </w:p>
    <w:p w14:paraId="715AB55E" w14:textId="77777777" w:rsidR="00670FD4" w:rsidRPr="00935E16" w:rsidRDefault="00670FD4" w:rsidP="00670FD4">
      <w:pPr>
        <w:rPr>
          <w:lang w:val="ro-RO" w:eastAsia="en-GB"/>
        </w:rPr>
      </w:pPr>
    </w:p>
    <w:p w14:paraId="3FECCA3D" w14:textId="77777777" w:rsidR="00670FD4" w:rsidRPr="00935E16" w:rsidRDefault="00670FD4" w:rsidP="00670FD4">
      <w:pPr>
        <w:rPr>
          <w:lang w:val="ro-RO" w:eastAsia="en-GB"/>
        </w:rPr>
      </w:pPr>
    </w:p>
    <w:p w14:paraId="7A175FFF" w14:textId="77777777" w:rsidR="00670FD4" w:rsidRPr="00935E16" w:rsidRDefault="00670FD4" w:rsidP="00670FD4">
      <w:pPr>
        <w:rPr>
          <w:lang w:val="ro-RO" w:eastAsia="en-GB"/>
        </w:rPr>
      </w:pPr>
    </w:p>
    <w:p w14:paraId="6DCAB1AB" w14:textId="77777777" w:rsidR="00670FD4" w:rsidRPr="00935E16" w:rsidRDefault="00670FD4" w:rsidP="00670FD4">
      <w:pPr>
        <w:rPr>
          <w:lang w:val="ro-RO" w:eastAsia="en-GB"/>
        </w:rPr>
      </w:pPr>
    </w:p>
    <w:p w14:paraId="140EED07" w14:textId="77777777" w:rsidR="00670FD4" w:rsidRPr="00935E16" w:rsidRDefault="00670FD4" w:rsidP="00670FD4">
      <w:pPr>
        <w:rPr>
          <w:lang w:val="ro-RO" w:eastAsia="en-GB"/>
        </w:rPr>
      </w:pPr>
    </w:p>
    <w:p w14:paraId="1BA7DB6B" w14:textId="77777777" w:rsidR="00670FD4" w:rsidRPr="00935E16" w:rsidRDefault="00670FD4" w:rsidP="00670FD4">
      <w:pPr>
        <w:rPr>
          <w:lang w:val="ro-RO" w:eastAsia="en-GB"/>
        </w:rPr>
      </w:pPr>
    </w:p>
    <w:p w14:paraId="1199625A" w14:textId="77777777" w:rsidR="00670FD4" w:rsidRPr="00935E16" w:rsidRDefault="00670FD4" w:rsidP="00670FD4">
      <w:pPr>
        <w:rPr>
          <w:lang w:val="ro-RO" w:eastAsia="en-GB"/>
        </w:rPr>
      </w:pPr>
    </w:p>
    <w:p w14:paraId="445EDF4D" w14:textId="77777777" w:rsidR="00670FD4" w:rsidRPr="00935E16" w:rsidRDefault="00670FD4" w:rsidP="00670FD4">
      <w:pPr>
        <w:rPr>
          <w:lang w:val="ro-RO" w:eastAsia="en-GB"/>
        </w:rPr>
      </w:pPr>
    </w:p>
    <w:p w14:paraId="06A96731" w14:textId="77777777" w:rsidR="00670FD4" w:rsidRPr="00935E16" w:rsidRDefault="00670FD4" w:rsidP="00670FD4">
      <w:pPr>
        <w:rPr>
          <w:lang w:val="ro-RO" w:eastAsia="en-GB"/>
        </w:rPr>
      </w:pPr>
    </w:p>
    <w:p w14:paraId="2BE86A97" w14:textId="77777777" w:rsidR="00670FD4" w:rsidRPr="00935E16" w:rsidRDefault="00670FD4" w:rsidP="00670FD4">
      <w:pPr>
        <w:rPr>
          <w:lang w:val="ro-RO" w:eastAsia="en-GB"/>
        </w:rPr>
      </w:pPr>
    </w:p>
    <w:p w14:paraId="0E4DE7A5" w14:textId="77777777" w:rsidR="00670FD4" w:rsidRPr="00935E16" w:rsidRDefault="00670FD4" w:rsidP="00670FD4">
      <w:pPr>
        <w:rPr>
          <w:lang w:val="ro-RO" w:eastAsia="en-GB"/>
        </w:rPr>
      </w:pPr>
    </w:p>
    <w:p w14:paraId="5DBC4EAD" w14:textId="77777777" w:rsidR="00670FD4" w:rsidRPr="00935E16" w:rsidRDefault="00670FD4" w:rsidP="00670FD4">
      <w:pPr>
        <w:rPr>
          <w:lang w:val="ro-RO" w:eastAsia="en-GB"/>
        </w:rPr>
      </w:pPr>
    </w:p>
    <w:p w14:paraId="1C23235C" w14:textId="77777777" w:rsidR="00670FD4" w:rsidRPr="00935E16" w:rsidRDefault="00670FD4" w:rsidP="00670FD4">
      <w:pPr>
        <w:rPr>
          <w:lang w:val="ro-RO" w:eastAsia="en-GB"/>
        </w:rPr>
      </w:pPr>
    </w:p>
    <w:p w14:paraId="0B10321A" w14:textId="77777777" w:rsidR="00670FD4" w:rsidRPr="00935E16" w:rsidRDefault="00670FD4" w:rsidP="00670FD4">
      <w:pPr>
        <w:rPr>
          <w:lang w:val="ro-RO" w:eastAsia="en-GB"/>
        </w:rPr>
      </w:pPr>
    </w:p>
    <w:p w14:paraId="075ED356" w14:textId="77777777" w:rsidR="00670FD4" w:rsidRPr="00935E16" w:rsidRDefault="00670FD4" w:rsidP="00670FD4">
      <w:pPr>
        <w:rPr>
          <w:lang w:val="ro-RO" w:eastAsia="en-GB"/>
        </w:rPr>
      </w:pPr>
    </w:p>
    <w:p w14:paraId="5BDE2D15" w14:textId="77777777" w:rsidR="00670FD4" w:rsidRPr="00935E16" w:rsidRDefault="00670FD4" w:rsidP="00670FD4">
      <w:pPr>
        <w:rPr>
          <w:lang w:val="ro-RO" w:eastAsia="en-GB"/>
        </w:rPr>
      </w:pPr>
    </w:p>
    <w:p w14:paraId="75746A39" w14:textId="77777777" w:rsidR="00670FD4" w:rsidRDefault="00670FD4" w:rsidP="00670FD4">
      <w:pPr>
        <w:tabs>
          <w:tab w:val="left" w:pos="2904"/>
        </w:tabs>
        <w:rPr>
          <w:lang w:val="ro-RO" w:eastAsia="en-GB"/>
        </w:rPr>
      </w:pPr>
      <w:r>
        <w:rPr>
          <w:lang w:val="ro-RO" w:eastAsia="en-GB"/>
        </w:rPr>
        <w:tab/>
      </w:r>
    </w:p>
    <w:p w14:paraId="0E1C069E" w14:textId="77777777" w:rsidR="00670FD4" w:rsidRDefault="00670FD4" w:rsidP="00670FD4">
      <w:pPr>
        <w:tabs>
          <w:tab w:val="left" w:pos="2904"/>
        </w:tabs>
        <w:rPr>
          <w:lang w:val="ro-RO" w:eastAsia="en-GB"/>
        </w:rPr>
      </w:pPr>
    </w:p>
    <w:p w14:paraId="6436A341" w14:textId="77777777" w:rsidR="00670FD4" w:rsidRDefault="00670FD4" w:rsidP="00670FD4">
      <w:pPr>
        <w:pStyle w:val="Heading2"/>
      </w:pPr>
      <w:bookmarkStart w:id="175" w:name="_Toc171084873"/>
      <w:r>
        <w:lastRenderedPageBreak/>
        <w:t>Anexa 6</w:t>
      </w:r>
      <w:bookmarkEnd w:id="175"/>
    </w:p>
    <w:p w14:paraId="1F21D5DF" w14:textId="77777777" w:rsidR="00670FD4" w:rsidRDefault="00670FD4" w:rsidP="00670FD4">
      <w:pPr>
        <w:rPr>
          <w:lang w:val="ro-RO" w:eastAsia="en-GB"/>
        </w:rPr>
      </w:pPr>
      <w:r>
        <w:rPr>
          <w:noProof/>
        </w:rPr>
        <w:drawing>
          <wp:anchor distT="0" distB="0" distL="114300" distR="114300" simplePos="0" relativeHeight="251664384" behindDoc="0" locked="0" layoutInCell="1" hidden="0" allowOverlap="1" wp14:anchorId="70D90396" wp14:editId="506B7286">
            <wp:simplePos x="0" y="0"/>
            <wp:positionH relativeFrom="column">
              <wp:posOffset>0</wp:posOffset>
            </wp:positionH>
            <wp:positionV relativeFrom="paragraph">
              <wp:posOffset>0</wp:posOffset>
            </wp:positionV>
            <wp:extent cx="5893105" cy="8990922"/>
            <wp:effectExtent l="0" t="0" r="0" b="1270"/>
            <wp:wrapNone/>
            <wp:docPr id="2141401945"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png"/>
                    <pic:cNvPicPr/>
                  </pic:nvPicPr>
                  <pic:blipFill>
                    <a:blip r:embed="rId80"/>
                    <a:srcRect/>
                    <a:stretch>
                      <a:fillRect/>
                    </a:stretch>
                  </pic:blipFill>
                  <pic:spPr>
                    <a:xfrm>
                      <a:off x="0" y="0"/>
                      <a:ext cx="5894530" cy="8993096"/>
                    </a:xfrm>
                    <a:prstGeom prst="rect">
                      <a:avLst/>
                    </a:prstGeom>
                    <a:ln/>
                  </pic:spPr>
                </pic:pic>
              </a:graphicData>
            </a:graphic>
            <wp14:sizeRelH relativeFrom="margin">
              <wp14:pctWidth>0</wp14:pctWidth>
            </wp14:sizeRelH>
            <wp14:sizeRelV relativeFrom="margin">
              <wp14:pctHeight>0</wp14:pctHeight>
            </wp14:sizeRelV>
          </wp:anchor>
        </w:drawing>
      </w:r>
    </w:p>
    <w:p w14:paraId="70169D02" w14:textId="77777777" w:rsidR="00670FD4" w:rsidRDefault="00670FD4" w:rsidP="00670FD4">
      <w:pPr>
        <w:rPr>
          <w:lang w:val="ro-RO" w:eastAsia="en-GB"/>
        </w:rPr>
      </w:pPr>
    </w:p>
    <w:p w14:paraId="2E923D21" w14:textId="77777777" w:rsidR="00670FD4" w:rsidRDefault="00670FD4" w:rsidP="00670FD4">
      <w:pPr>
        <w:rPr>
          <w:lang w:val="ro-RO" w:eastAsia="en-GB"/>
        </w:rPr>
      </w:pPr>
    </w:p>
    <w:p w14:paraId="3B3FE7F1" w14:textId="77777777" w:rsidR="00670FD4" w:rsidRDefault="00670FD4" w:rsidP="00670FD4">
      <w:pPr>
        <w:rPr>
          <w:lang w:val="ro-RO" w:eastAsia="en-GB"/>
        </w:rPr>
      </w:pPr>
    </w:p>
    <w:p w14:paraId="1DB1D0EF" w14:textId="77777777" w:rsidR="00670FD4" w:rsidRDefault="00670FD4" w:rsidP="00670FD4">
      <w:pPr>
        <w:rPr>
          <w:lang w:val="ro-RO" w:eastAsia="en-GB"/>
        </w:rPr>
      </w:pPr>
    </w:p>
    <w:p w14:paraId="49A92622" w14:textId="77777777" w:rsidR="00670FD4" w:rsidRDefault="00670FD4" w:rsidP="00670FD4">
      <w:pPr>
        <w:rPr>
          <w:lang w:val="ro-RO" w:eastAsia="en-GB"/>
        </w:rPr>
      </w:pPr>
    </w:p>
    <w:p w14:paraId="7928C0DD" w14:textId="77777777" w:rsidR="00670FD4" w:rsidRDefault="00670FD4" w:rsidP="00670FD4">
      <w:pPr>
        <w:rPr>
          <w:lang w:val="ro-RO" w:eastAsia="en-GB"/>
        </w:rPr>
      </w:pPr>
    </w:p>
    <w:p w14:paraId="2B7BC84F" w14:textId="77777777" w:rsidR="00670FD4" w:rsidRDefault="00670FD4" w:rsidP="00670FD4">
      <w:pPr>
        <w:rPr>
          <w:lang w:val="ro-RO" w:eastAsia="en-GB"/>
        </w:rPr>
      </w:pPr>
    </w:p>
    <w:p w14:paraId="46C05970" w14:textId="77777777" w:rsidR="00670FD4" w:rsidRDefault="00670FD4" w:rsidP="00670FD4">
      <w:pPr>
        <w:rPr>
          <w:lang w:val="ro-RO" w:eastAsia="en-GB"/>
        </w:rPr>
      </w:pPr>
    </w:p>
    <w:p w14:paraId="5C33F640" w14:textId="77777777" w:rsidR="00670FD4" w:rsidRDefault="00670FD4" w:rsidP="00670FD4">
      <w:pPr>
        <w:rPr>
          <w:lang w:val="ro-RO" w:eastAsia="en-GB"/>
        </w:rPr>
      </w:pPr>
    </w:p>
    <w:p w14:paraId="507AE9EA" w14:textId="77777777" w:rsidR="00670FD4" w:rsidRDefault="00670FD4" w:rsidP="00670FD4">
      <w:pPr>
        <w:rPr>
          <w:lang w:val="ro-RO" w:eastAsia="en-GB"/>
        </w:rPr>
      </w:pPr>
    </w:p>
    <w:p w14:paraId="166C88BB" w14:textId="77777777" w:rsidR="00670FD4" w:rsidRDefault="00670FD4" w:rsidP="00670FD4">
      <w:pPr>
        <w:rPr>
          <w:lang w:val="ro-RO" w:eastAsia="en-GB"/>
        </w:rPr>
      </w:pPr>
    </w:p>
    <w:p w14:paraId="5CC635CA" w14:textId="77777777" w:rsidR="00670FD4" w:rsidRDefault="00670FD4" w:rsidP="00670FD4">
      <w:pPr>
        <w:rPr>
          <w:lang w:val="ro-RO" w:eastAsia="en-GB"/>
        </w:rPr>
      </w:pPr>
    </w:p>
    <w:p w14:paraId="3B0A67A4" w14:textId="77777777" w:rsidR="00670FD4" w:rsidRDefault="00670FD4" w:rsidP="00670FD4">
      <w:pPr>
        <w:rPr>
          <w:lang w:val="ro-RO" w:eastAsia="en-GB"/>
        </w:rPr>
      </w:pPr>
    </w:p>
    <w:p w14:paraId="1936CF94" w14:textId="77777777" w:rsidR="00670FD4" w:rsidRDefault="00670FD4" w:rsidP="00670FD4">
      <w:pPr>
        <w:rPr>
          <w:lang w:val="ro-RO" w:eastAsia="en-GB"/>
        </w:rPr>
      </w:pPr>
    </w:p>
    <w:p w14:paraId="66C621CD" w14:textId="77777777" w:rsidR="00670FD4" w:rsidRDefault="00670FD4" w:rsidP="00670FD4">
      <w:pPr>
        <w:rPr>
          <w:lang w:val="ro-RO" w:eastAsia="en-GB"/>
        </w:rPr>
      </w:pPr>
    </w:p>
    <w:p w14:paraId="5A0BA8C9" w14:textId="77777777" w:rsidR="00670FD4" w:rsidRDefault="00670FD4" w:rsidP="00670FD4">
      <w:pPr>
        <w:rPr>
          <w:lang w:val="ro-RO" w:eastAsia="en-GB"/>
        </w:rPr>
      </w:pPr>
    </w:p>
    <w:p w14:paraId="0C5715C4" w14:textId="77777777" w:rsidR="00670FD4" w:rsidRDefault="00670FD4" w:rsidP="00670FD4">
      <w:pPr>
        <w:rPr>
          <w:lang w:val="ro-RO" w:eastAsia="en-GB"/>
        </w:rPr>
      </w:pPr>
    </w:p>
    <w:p w14:paraId="03EAC584" w14:textId="77777777" w:rsidR="00670FD4" w:rsidRDefault="00670FD4" w:rsidP="00670FD4">
      <w:pPr>
        <w:rPr>
          <w:lang w:val="ro-RO" w:eastAsia="en-GB"/>
        </w:rPr>
      </w:pPr>
    </w:p>
    <w:p w14:paraId="60A80D1A" w14:textId="77777777" w:rsidR="00670FD4" w:rsidRDefault="00670FD4" w:rsidP="00670FD4">
      <w:pPr>
        <w:rPr>
          <w:lang w:val="ro-RO" w:eastAsia="en-GB"/>
        </w:rPr>
      </w:pPr>
    </w:p>
    <w:p w14:paraId="2A0B8878" w14:textId="77777777" w:rsidR="00670FD4" w:rsidRDefault="00670FD4" w:rsidP="00670FD4">
      <w:pPr>
        <w:rPr>
          <w:lang w:val="ro-RO" w:eastAsia="en-GB"/>
        </w:rPr>
      </w:pPr>
    </w:p>
    <w:p w14:paraId="177F3E43" w14:textId="77777777" w:rsidR="00670FD4" w:rsidRDefault="00670FD4" w:rsidP="00670FD4">
      <w:pPr>
        <w:rPr>
          <w:lang w:val="ro-RO" w:eastAsia="en-GB"/>
        </w:rPr>
      </w:pPr>
    </w:p>
    <w:p w14:paraId="07843B94" w14:textId="77777777" w:rsidR="00670FD4" w:rsidRDefault="00670FD4" w:rsidP="00670FD4">
      <w:pPr>
        <w:rPr>
          <w:lang w:val="ro-RO" w:eastAsia="en-GB"/>
        </w:rPr>
      </w:pPr>
    </w:p>
    <w:p w14:paraId="76EE48D2" w14:textId="77777777" w:rsidR="00670FD4" w:rsidRDefault="00670FD4" w:rsidP="00670FD4">
      <w:pPr>
        <w:rPr>
          <w:lang w:val="ro-RO" w:eastAsia="en-GB"/>
        </w:rPr>
      </w:pPr>
    </w:p>
    <w:p w14:paraId="2E6C9900" w14:textId="77777777" w:rsidR="00670FD4" w:rsidRDefault="00670FD4" w:rsidP="00670FD4">
      <w:pPr>
        <w:rPr>
          <w:lang w:val="ro-RO" w:eastAsia="en-GB"/>
        </w:rPr>
      </w:pPr>
    </w:p>
    <w:p w14:paraId="17366075" w14:textId="77777777" w:rsidR="00670FD4" w:rsidRDefault="00670FD4" w:rsidP="00670FD4">
      <w:pPr>
        <w:rPr>
          <w:lang w:val="ro-RO" w:eastAsia="en-GB"/>
        </w:rPr>
      </w:pPr>
    </w:p>
    <w:p w14:paraId="1C1F189C" w14:textId="77777777" w:rsidR="00670FD4" w:rsidRDefault="00670FD4" w:rsidP="00670FD4">
      <w:pPr>
        <w:rPr>
          <w:lang w:val="ro-RO" w:eastAsia="en-GB"/>
        </w:rPr>
      </w:pPr>
    </w:p>
    <w:p w14:paraId="6FFFE3AC" w14:textId="77777777" w:rsidR="00670FD4" w:rsidRDefault="00670FD4" w:rsidP="00670FD4">
      <w:pPr>
        <w:rPr>
          <w:lang w:val="ro-RO" w:eastAsia="en-GB"/>
        </w:rPr>
      </w:pPr>
    </w:p>
    <w:p w14:paraId="46CE36DE" w14:textId="77777777" w:rsidR="00670FD4" w:rsidRDefault="00670FD4" w:rsidP="00670FD4">
      <w:pPr>
        <w:rPr>
          <w:lang w:val="ro-RO" w:eastAsia="en-GB"/>
        </w:rPr>
      </w:pPr>
    </w:p>
    <w:p w14:paraId="701BC660" w14:textId="77777777" w:rsidR="00670FD4" w:rsidRDefault="00670FD4" w:rsidP="00670FD4">
      <w:pPr>
        <w:rPr>
          <w:lang w:val="ro-RO" w:eastAsia="en-GB"/>
        </w:rPr>
      </w:pPr>
    </w:p>
    <w:p w14:paraId="74964802" w14:textId="77777777" w:rsidR="00670FD4" w:rsidRPr="00935E16" w:rsidRDefault="00670FD4" w:rsidP="00670FD4">
      <w:pPr>
        <w:rPr>
          <w:lang w:val="ro-RO" w:eastAsia="en-GB"/>
        </w:rPr>
      </w:pPr>
    </w:p>
    <w:p w14:paraId="44556DBC" w14:textId="77777777" w:rsidR="00670FD4" w:rsidRDefault="00670FD4" w:rsidP="00670FD4">
      <w:pPr>
        <w:pStyle w:val="Heading2"/>
      </w:pPr>
      <w:r>
        <w:lastRenderedPageBreak/>
        <w:tab/>
      </w:r>
      <w:bookmarkStart w:id="176" w:name="_Toc171084874"/>
      <w:r>
        <w:t>Anexa 7</w:t>
      </w:r>
      <w:bookmarkEnd w:id="176"/>
      <w:r>
        <w:t xml:space="preserve"> </w:t>
      </w:r>
    </w:p>
    <w:p w14:paraId="1C5FACA0" w14:textId="77777777" w:rsidR="00670FD4" w:rsidRDefault="00670FD4" w:rsidP="00670FD4">
      <w:pPr>
        <w:rPr>
          <w:lang w:val="ro-RO" w:eastAsia="en-GB"/>
        </w:rPr>
      </w:pPr>
      <w:r>
        <w:rPr>
          <w:noProof/>
        </w:rPr>
        <w:drawing>
          <wp:anchor distT="0" distB="0" distL="114300" distR="114300" simplePos="0" relativeHeight="251665408" behindDoc="0" locked="0" layoutInCell="1" hidden="0" allowOverlap="1" wp14:anchorId="45156136" wp14:editId="603F28FC">
            <wp:simplePos x="0" y="0"/>
            <wp:positionH relativeFrom="column">
              <wp:posOffset>0</wp:posOffset>
            </wp:positionH>
            <wp:positionV relativeFrom="paragraph">
              <wp:posOffset>0</wp:posOffset>
            </wp:positionV>
            <wp:extent cx="5936615" cy="8969188"/>
            <wp:effectExtent l="0" t="0" r="6985" b="3810"/>
            <wp:wrapNone/>
            <wp:docPr id="2141401952" name="image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3.jpg"/>
                    <pic:cNvPicPr/>
                  </pic:nvPicPr>
                  <pic:blipFill rotWithShape="1">
                    <a:blip r:embed="rId81"/>
                    <a:srcRect l="6561"/>
                    <a:stretch/>
                  </pic:blipFill>
                  <pic:spPr bwMode="auto">
                    <a:xfrm>
                      <a:off x="0" y="0"/>
                      <a:ext cx="5937805" cy="897098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6E3C1C" w14:textId="77777777" w:rsidR="00670FD4" w:rsidRDefault="00670FD4" w:rsidP="00670FD4">
      <w:pPr>
        <w:rPr>
          <w:lang w:val="ro-RO" w:eastAsia="en-GB"/>
        </w:rPr>
      </w:pPr>
    </w:p>
    <w:p w14:paraId="2904CAAD" w14:textId="77777777" w:rsidR="00670FD4" w:rsidRDefault="00670FD4" w:rsidP="00670FD4">
      <w:pPr>
        <w:rPr>
          <w:lang w:val="ro-RO" w:eastAsia="en-GB"/>
        </w:rPr>
      </w:pPr>
    </w:p>
    <w:p w14:paraId="37E013C8" w14:textId="77777777" w:rsidR="00670FD4" w:rsidRDefault="00670FD4" w:rsidP="00670FD4">
      <w:pPr>
        <w:rPr>
          <w:lang w:val="ro-RO" w:eastAsia="en-GB"/>
        </w:rPr>
      </w:pPr>
    </w:p>
    <w:p w14:paraId="2A63BDB1" w14:textId="77777777" w:rsidR="00670FD4" w:rsidRDefault="00670FD4" w:rsidP="00670FD4">
      <w:pPr>
        <w:rPr>
          <w:lang w:val="ro-RO" w:eastAsia="en-GB"/>
        </w:rPr>
      </w:pPr>
    </w:p>
    <w:p w14:paraId="4F710791" w14:textId="77777777" w:rsidR="00670FD4" w:rsidRDefault="00670FD4" w:rsidP="00670FD4">
      <w:pPr>
        <w:rPr>
          <w:lang w:val="ro-RO" w:eastAsia="en-GB"/>
        </w:rPr>
      </w:pPr>
    </w:p>
    <w:p w14:paraId="3E3C1E77" w14:textId="77777777" w:rsidR="00670FD4" w:rsidRDefault="00670FD4" w:rsidP="00670FD4">
      <w:pPr>
        <w:rPr>
          <w:lang w:val="ro-RO" w:eastAsia="en-GB"/>
        </w:rPr>
      </w:pPr>
    </w:p>
    <w:p w14:paraId="23699E70" w14:textId="77777777" w:rsidR="00670FD4" w:rsidRDefault="00670FD4" w:rsidP="00670FD4">
      <w:pPr>
        <w:rPr>
          <w:lang w:val="ro-RO" w:eastAsia="en-GB"/>
        </w:rPr>
      </w:pPr>
    </w:p>
    <w:p w14:paraId="25EFF50C" w14:textId="77777777" w:rsidR="00670FD4" w:rsidRDefault="00670FD4" w:rsidP="00670FD4">
      <w:pPr>
        <w:rPr>
          <w:lang w:val="ro-RO" w:eastAsia="en-GB"/>
        </w:rPr>
      </w:pPr>
    </w:p>
    <w:p w14:paraId="01989658" w14:textId="77777777" w:rsidR="00670FD4" w:rsidRDefault="00670FD4" w:rsidP="00670FD4">
      <w:pPr>
        <w:rPr>
          <w:lang w:val="ro-RO" w:eastAsia="en-GB"/>
        </w:rPr>
      </w:pPr>
    </w:p>
    <w:p w14:paraId="55CC5E4C" w14:textId="77777777" w:rsidR="00670FD4" w:rsidRDefault="00670FD4" w:rsidP="00670FD4">
      <w:pPr>
        <w:rPr>
          <w:lang w:val="ro-RO" w:eastAsia="en-GB"/>
        </w:rPr>
      </w:pPr>
    </w:p>
    <w:p w14:paraId="1C4A6985" w14:textId="77777777" w:rsidR="00670FD4" w:rsidRDefault="00670FD4" w:rsidP="00670FD4">
      <w:pPr>
        <w:rPr>
          <w:lang w:val="ro-RO" w:eastAsia="en-GB"/>
        </w:rPr>
      </w:pPr>
    </w:p>
    <w:p w14:paraId="6DBEE56F" w14:textId="77777777" w:rsidR="00670FD4" w:rsidRDefault="00670FD4" w:rsidP="00670FD4">
      <w:pPr>
        <w:rPr>
          <w:lang w:val="ro-RO" w:eastAsia="en-GB"/>
        </w:rPr>
      </w:pPr>
    </w:p>
    <w:p w14:paraId="4F74D686" w14:textId="77777777" w:rsidR="00670FD4" w:rsidRDefault="00670FD4" w:rsidP="00670FD4">
      <w:pPr>
        <w:rPr>
          <w:lang w:val="ro-RO" w:eastAsia="en-GB"/>
        </w:rPr>
      </w:pPr>
    </w:p>
    <w:p w14:paraId="5056AE9E" w14:textId="77777777" w:rsidR="00670FD4" w:rsidRDefault="00670FD4" w:rsidP="00670FD4">
      <w:pPr>
        <w:rPr>
          <w:lang w:val="ro-RO" w:eastAsia="en-GB"/>
        </w:rPr>
      </w:pPr>
    </w:p>
    <w:p w14:paraId="2875B85E" w14:textId="77777777" w:rsidR="00670FD4" w:rsidRDefault="00670FD4" w:rsidP="00670FD4">
      <w:pPr>
        <w:rPr>
          <w:lang w:val="ro-RO" w:eastAsia="en-GB"/>
        </w:rPr>
      </w:pPr>
    </w:p>
    <w:p w14:paraId="472EC73D" w14:textId="77777777" w:rsidR="00670FD4" w:rsidRDefault="00670FD4" w:rsidP="00670FD4">
      <w:pPr>
        <w:rPr>
          <w:lang w:val="ro-RO" w:eastAsia="en-GB"/>
        </w:rPr>
      </w:pPr>
    </w:p>
    <w:p w14:paraId="689E47E0" w14:textId="77777777" w:rsidR="00670FD4" w:rsidRDefault="00670FD4" w:rsidP="00670FD4">
      <w:pPr>
        <w:rPr>
          <w:lang w:val="ro-RO" w:eastAsia="en-GB"/>
        </w:rPr>
      </w:pPr>
    </w:p>
    <w:p w14:paraId="1B38389D" w14:textId="77777777" w:rsidR="00670FD4" w:rsidRDefault="00670FD4" w:rsidP="00670FD4">
      <w:pPr>
        <w:rPr>
          <w:lang w:val="ro-RO" w:eastAsia="en-GB"/>
        </w:rPr>
      </w:pPr>
    </w:p>
    <w:p w14:paraId="56E0A983" w14:textId="77777777" w:rsidR="00670FD4" w:rsidRDefault="00670FD4" w:rsidP="00670FD4">
      <w:pPr>
        <w:rPr>
          <w:lang w:val="ro-RO" w:eastAsia="en-GB"/>
        </w:rPr>
      </w:pPr>
    </w:p>
    <w:p w14:paraId="03D3F590" w14:textId="77777777" w:rsidR="00670FD4" w:rsidRDefault="00670FD4" w:rsidP="00670FD4">
      <w:pPr>
        <w:rPr>
          <w:lang w:val="ro-RO" w:eastAsia="en-GB"/>
        </w:rPr>
      </w:pPr>
    </w:p>
    <w:p w14:paraId="75804929" w14:textId="77777777" w:rsidR="00670FD4" w:rsidRDefault="00670FD4" w:rsidP="00670FD4">
      <w:pPr>
        <w:rPr>
          <w:lang w:val="ro-RO" w:eastAsia="en-GB"/>
        </w:rPr>
      </w:pPr>
    </w:p>
    <w:p w14:paraId="55839E68" w14:textId="77777777" w:rsidR="00670FD4" w:rsidRDefault="00670FD4" w:rsidP="00670FD4">
      <w:pPr>
        <w:rPr>
          <w:lang w:val="ro-RO" w:eastAsia="en-GB"/>
        </w:rPr>
      </w:pPr>
    </w:p>
    <w:p w14:paraId="3560E701" w14:textId="77777777" w:rsidR="00670FD4" w:rsidRDefault="00670FD4" w:rsidP="00670FD4">
      <w:pPr>
        <w:rPr>
          <w:lang w:val="ro-RO" w:eastAsia="en-GB"/>
        </w:rPr>
      </w:pPr>
    </w:p>
    <w:p w14:paraId="618AE86E" w14:textId="77777777" w:rsidR="00670FD4" w:rsidRDefault="00670FD4" w:rsidP="00670FD4">
      <w:pPr>
        <w:rPr>
          <w:lang w:val="ro-RO" w:eastAsia="en-GB"/>
        </w:rPr>
      </w:pPr>
    </w:p>
    <w:p w14:paraId="2903A059" w14:textId="77777777" w:rsidR="00670FD4" w:rsidRDefault="00670FD4" w:rsidP="00670FD4">
      <w:pPr>
        <w:rPr>
          <w:lang w:val="ro-RO" w:eastAsia="en-GB"/>
        </w:rPr>
      </w:pPr>
    </w:p>
    <w:p w14:paraId="0B2B4EC0" w14:textId="77777777" w:rsidR="00670FD4" w:rsidRDefault="00670FD4" w:rsidP="00670FD4">
      <w:pPr>
        <w:rPr>
          <w:lang w:val="ro-RO" w:eastAsia="en-GB"/>
        </w:rPr>
      </w:pPr>
    </w:p>
    <w:p w14:paraId="1778DC1E" w14:textId="77777777" w:rsidR="00670FD4" w:rsidRDefault="00670FD4" w:rsidP="00670FD4">
      <w:pPr>
        <w:rPr>
          <w:lang w:val="ro-RO" w:eastAsia="en-GB"/>
        </w:rPr>
      </w:pPr>
    </w:p>
    <w:p w14:paraId="12A11F80" w14:textId="77777777" w:rsidR="00670FD4" w:rsidRDefault="00670FD4" w:rsidP="00670FD4">
      <w:pPr>
        <w:rPr>
          <w:lang w:val="ro-RO" w:eastAsia="en-GB"/>
        </w:rPr>
      </w:pPr>
    </w:p>
    <w:p w14:paraId="4A42389B" w14:textId="77777777" w:rsidR="00670FD4" w:rsidRDefault="00670FD4" w:rsidP="00670FD4">
      <w:pPr>
        <w:rPr>
          <w:lang w:val="ro-RO" w:eastAsia="en-GB"/>
        </w:rPr>
      </w:pPr>
    </w:p>
    <w:p w14:paraId="69827A9B" w14:textId="77777777" w:rsidR="00670FD4" w:rsidRDefault="00670FD4" w:rsidP="00670FD4">
      <w:pPr>
        <w:rPr>
          <w:lang w:val="ro-RO" w:eastAsia="en-GB"/>
        </w:rPr>
      </w:pPr>
    </w:p>
    <w:p w14:paraId="4DA68684" w14:textId="77777777" w:rsidR="00670FD4" w:rsidRDefault="00670FD4" w:rsidP="00670FD4">
      <w:pPr>
        <w:pStyle w:val="Heading2"/>
      </w:pPr>
      <w:bookmarkStart w:id="177" w:name="_Toc171084875"/>
      <w:r>
        <w:lastRenderedPageBreak/>
        <w:t>Anexa 8</w:t>
      </w:r>
      <w:bookmarkEnd w:id="177"/>
    </w:p>
    <w:p w14:paraId="0883599D" w14:textId="77777777" w:rsidR="00670FD4" w:rsidRPr="00935E16" w:rsidRDefault="00670FD4" w:rsidP="00670FD4">
      <w:pPr>
        <w:ind w:firstLine="0"/>
        <w:rPr>
          <w:lang w:val="ro-RO" w:eastAsia="en-GB"/>
        </w:rPr>
        <w:sectPr w:rsidR="00670FD4" w:rsidRPr="00935E16" w:rsidSect="00670FD4">
          <w:pgSz w:w="11906" w:h="16838"/>
          <w:pgMar w:top="1440" w:right="1440" w:bottom="1440" w:left="1440" w:header="0" w:footer="0" w:gutter="0"/>
          <w:cols w:space="708"/>
          <w:docGrid w:linePitch="326"/>
        </w:sectPr>
      </w:pPr>
      <w:r>
        <w:rPr>
          <w:noProof/>
        </w:rPr>
        <w:drawing>
          <wp:anchor distT="0" distB="0" distL="114300" distR="114300" simplePos="0" relativeHeight="251666432" behindDoc="0" locked="0" layoutInCell="1" hidden="0" allowOverlap="1" wp14:anchorId="7214399D" wp14:editId="0CF335B9">
            <wp:simplePos x="0" y="0"/>
            <wp:positionH relativeFrom="column">
              <wp:posOffset>0</wp:posOffset>
            </wp:positionH>
            <wp:positionV relativeFrom="paragraph">
              <wp:posOffset>0</wp:posOffset>
            </wp:positionV>
            <wp:extent cx="5795682" cy="8933083"/>
            <wp:effectExtent l="0" t="0" r="0" b="1905"/>
            <wp:wrapNone/>
            <wp:docPr id="2141401944" name="image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jpg"/>
                    <pic:cNvPicPr/>
                  </pic:nvPicPr>
                  <pic:blipFill rotWithShape="1">
                    <a:blip r:embed="rId82"/>
                    <a:srcRect l="8192"/>
                    <a:stretch/>
                  </pic:blipFill>
                  <pic:spPr bwMode="auto">
                    <a:xfrm>
                      <a:off x="0" y="0"/>
                      <a:ext cx="5798531" cy="89374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117F7A" w14:textId="77777777" w:rsidR="00670FD4" w:rsidRPr="00935E16" w:rsidRDefault="00670FD4" w:rsidP="00670FD4">
      <w:pPr>
        <w:ind w:firstLine="0"/>
        <w:rPr>
          <w:lang w:val="ro-RO"/>
        </w:rPr>
      </w:pPr>
    </w:p>
    <w:p w14:paraId="0F5A8377" w14:textId="77777777" w:rsidR="00274501" w:rsidRDefault="00274501"/>
    <w:sectPr w:rsidR="00274501" w:rsidSect="00670FD4">
      <w:headerReference w:type="even" r:id="rId83"/>
      <w:headerReference w:type="default" r:id="rId84"/>
      <w:footerReference w:type="default" r:id="rId85"/>
      <w:headerReference w:type="first" r:id="rId86"/>
      <w:pgSz w:w="16838" w:h="11906" w:orient="landscape"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F2E9BD6" w14:textId="77777777" w:rsidR="00F80FD0" w:rsidRDefault="00F80FD0" w:rsidP="00670FD4">
      <w:pPr>
        <w:spacing w:before="0" w:after="0" w:line="240" w:lineRule="auto"/>
      </w:pPr>
      <w:r>
        <w:separator/>
      </w:r>
    </w:p>
  </w:endnote>
  <w:endnote w:type="continuationSeparator" w:id="0">
    <w:p w14:paraId="71DE0F73" w14:textId="77777777" w:rsidR="00F80FD0" w:rsidRDefault="00F80FD0" w:rsidP="00670FD4">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BF6A5D" w14:textId="77777777" w:rsidR="00670FD4" w:rsidRDefault="00670FD4">
    <w:pPr>
      <w:pBdr>
        <w:top w:val="nil"/>
        <w:left w:val="nil"/>
        <w:bottom w:val="nil"/>
        <w:right w:val="nil"/>
        <w:between w:val="nil"/>
      </w:pBdr>
      <w:tabs>
        <w:tab w:val="center" w:pos="4536"/>
        <w:tab w:val="right" w:pos="9072"/>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Pr>
        <w:noProof/>
        <w:color w:val="000000"/>
      </w:rPr>
      <w:t>323</w:t>
    </w:r>
    <w:r>
      <w:rPr>
        <w:color w:val="000000"/>
      </w:rPr>
      <w:fldChar w:fldCharType="end"/>
    </w:r>
  </w:p>
  <w:p w14:paraId="13604A34" w14:textId="77777777" w:rsidR="00670FD4" w:rsidRDefault="00670FD4">
    <w:pPr>
      <w:pBdr>
        <w:top w:val="nil"/>
        <w:left w:val="nil"/>
        <w:bottom w:val="nil"/>
        <w:right w:val="nil"/>
        <w:between w:val="nil"/>
      </w:pBdr>
      <w:tabs>
        <w:tab w:val="center" w:pos="4536"/>
        <w:tab w:val="right" w:pos="9072"/>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E73553" w14:textId="77777777" w:rsidR="00425381" w:rsidRPr="0006143D" w:rsidRDefault="00000000">
    <w:pPr>
      <w:pStyle w:val="Footer"/>
      <w:jc w:val="center"/>
      <w:rPr>
        <w:caps/>
        <w:noProof/>
        <w:color w:val="4472C4"/>
      </w:rPr>
    </w:pPr>
    <w:r w:rsidRPr="0006143D">
      <w:rPr>
        <w:caps/>
        <w:color w:val="4472C4"/>
      </w:rPr>
      <w:fldChar w:fldCharType="begin"/>
    </w:r>
    <w:r w:rsidRPr="0006143D">
      <w:rPr>
        <w:caps/>
        <w:color w:val="4472C4"/>
      </w:rPr>
      <w:instrText xml:space="preserve"> PAGE   \* MERGEFORMAT </w:instrText>
    </w:r>
    <w:r w:rsidRPr="0006143D">
      <w:rPr>
        <w:caps/>
        <w:color w:val="4472C4"/>
      </w:rPr>
      <w:fldChar w:fldCharType="separate"/>
    </w:r>
    <w:r>
      <w:rPr>
        <w:caps/>
        <w:noProof/>
        <w:color w:val="4472C4"/>
      </w:rPr>
      <w:t>392</w:t>
    </w:r>
    <w:r w:rsidRPr="0006143D">
      <w:rPr>
        <w:caps/>
        <w:noProof/>
        <w:color w:val="4472C4"/>
      </w:rPr>
      <w:fldChar w:fldCharType="end"/>
    </w:r>
  </w:p>
  <w:p w14:paraId="74F578C8" w14:textId="2AABFC58" w:rsidR="00425381" w:rsidRDefault="0042538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A158F03" w14:textId="77777777" w:rsidR="00F80FD0" w:rsidRDefault="00F80FD0" w:rsidP="00670FD4">
      <w:pPr>
        <w:spacing w:before="0" w:after="0" w:line="240" w:lineRule="auto"/>
      </w:pPr>
      <w:r>
        <w:separator/>
      </w:r>
    </w:p>
  </w:footnote>
  <w:footnote w:type="continuationSeparator" w:id="0">
    <w:p w14:paraId="2DF2E8F7" w14:textId="77777777" w:rsidR="00F80FD0" w:rsidRDefault="00F80FD0" w:rsidP="00670FD4">
      <w:pPr>
        <w:spacing w:before="0" w:after="0" w:line="240" w:lineRule="auto"/>
      </w:pPr>
      <w:r>
        <w:continuationSeparator/>
      </w:r>
    </w:p>
  </w:footnote>
  <w:footnote w:id="1">
    <w:p w14:paraId="07F794B4" w14:textId="77777777" w:rsidR="00670FD4" w:rsidRDefault="00670FD4" w:rsidP="00670FD4">
      <w:pPr>
        <w:keepNext/>
        <w:pBdr>
          <w:top w:val="nil"/>
          <w:left w:val="nil"/>
          <w:bottom w:val="nil"/>
          <w:right w:val="nil"/>
          <w:between w:val="nil"/>
        </w:pBdr>
        <w:spacing w:after="60" w:line="240" w:lineRule="auto"/>
        <w:rPr>
          <w:rFonts w:eastAsia="Times New Roman" w:cs="Times New Roman"/>
          <w:color w:val="000000"/>
          <w:sz w:val="18"/>
          <w:szCs w:val="18"/>
        </w:rPr>
      </w:pPr>
      <w:r>
        <w:rPr>
          <w:rStyle w:val="FootnoteReference"/>
        </w:rPr>
        <w:footnoteRef/>
      </w:r>
      <w:r>
        <w:rPr>
          <w:rFonts w:eastAsia="Times New Roman" w:cs="Times New Roman"/>
          <w:color w:val="000000"/>
          <w:sz w:val="18"/>
          <w:szCs w:val="18"/>
        </w:rPr>
        <w:t xml:space="preserve"> Ar trebui să adopte metodologii de avizare pentru avizarea planurilor de gospodărire integrată a zonelor costiere şi a planurilor de urbanism locale şi zonale, avizarea studiilor de impact pentru activităţile cu impact semnificativ ce urmează a se desfăşura în zona costieră, precum şi a bilanţurilor de mediu ale lucrărilor existente şi avizarea proiectelor de creare de parcuri şi rezervaţii naturale (conf. art. 2).</w:t>
      </w:r>
    </w:p>
  </w:footnote>
  <w:footnote w:id="2">
    <w:p w14:paraId="4010810D" w14:textId="77777777" w:rsidR="00670FD4" w:rsidRDefault="00670FD4" w:rsidP="00670FD4">
      <w:pPr>
        <w:keepNext/>
        <w:pBdr>
          <w:top w:val="nil"/>
          <w:left w:val="nil"/>
          <w:bottom w:val="nil"/>
          <w:right w:val="nil"/>
          <w:between w:val="nil"/>
        </w:pBdr>
        <w:spacing w:after="60" w:line="240" w:lineRule="auto"/>
        <w:rPr>
          <w:rFonts w:ascii="Verdana" w:eastAsia="Verdana" w:hAnsi="Verdana" w:cs="Verdana"/>
          <w:color w:val="000000"/>
          <w:sz w:val="18"/>
          <w:szCs w:val="18"/>
        </w:rPr>
      </w:pPr>
      <w:r>
        <w:rPr>
          <w:rStyle w:val="FootnoteReference"/>
        </w:rPr>
        <w:footnoteRef/>
      </w:r>
      <w:r>
        <w:rPr>
          <w:rFonts w:eastAsia="Times New Roman" w:cs="Times New Roman"/>
          <w:color w:val="000000"/>
          <w:sz w:val="18"/>
          <w:szCs w:val="18"/>
        </w:rPr>
        <w:t xml:space="preserve"> Nu există orizont de timp și nu sunt identificate sursele de finanțare.</w:t>
      </w:r>
    </w:p>
  </w:footnote>
  <w:footnote w:id="3">
    <w:p w14:paraId="5433AA63" w14:textId="77777777" w:rsidR="00670FD4" w:rsidRDefault="00670FD4" w:rsidP="00670FD4">
      <w:pPr>
        <w:keepNext/>
        <w:pBdr>
          <w:top w:val="nil"/>
          <w:left w:val="nil"/>
          <w:bottom w:val="nil"/>
          <w:right w:val="nil"/>
          <w:between w:val="nil"/>
        </w:pBdr>
        <w:spacing w:after="60" w:line="240" w:lineRule="auto"/>
        <w:rPr>
          <w:rFonts w:eastAsia="Times New Roman" w:cs="Times New Roman"/>
          <w:color w:val="000000"/>
          <w:sz w:val="18"/>
          <w:szCs w:val="18"/>
        </w:rPr>
      </w:pPr>
      <w:r>
        <w:rPr>
          <w:rStyle w:val="FootnoteReference"/>
        </w:rPr>
        <w:footnoteRef/>
      </w:r>
      <w:r>
        <w:rPr>
          <w:rFonts w:eastAsia="Times New Roman" w:cs="Times New Roman"/>
          <w:color w:val="000000"/>
          <w:sz w:val="18"/>
          <w:szCs w:val="18"/>
        </w:rPr>
        <w:t xml:space="preserve"> Art. 18. (1). Gestionarea informaţiei şi a bazei de date integrate referitoare la zona costieră se realizează în permanenţă de către autoritatea publică centrală pentru protecţia mediului şi gospodăririi apelor, sub coordonarea Comitetului naţional al zonei costiere. </w:t>
      </w:r>
    </w:p>
    <w:p w14:paraId="5D1C698F" w14:textId="77777777" w:rsidR="00670FD4" w:rsidRDefault="00670FD4" w:rsidP="00670FD4">
      <w:pPr>
        <w:keepNext/>
        <w:pBdr>
          <w:top w:val="nil"/>
          <w:left w:val="nil"/>
          <w:bottom w:val="nil"/>
          <w:right w:val="nil"/>
          <w:between w:val="nil"/>
        </w:pBdr>
        <w:spacing w:after="60" w:line="240" w:lineRule="auto"/>
        <w:rPr>
          <w:rFonts w:eastAsia="Times New Roman" w:cs="Times New Roman"/>
          <w:color w:val="000000"/>
          <w:sz w:val="18"/>
          <w:szCs w:val="18"/>
        </w:rPr>
      </w:pPr>
      <w:r>
        <w:rPr>
          <w:rFonts w:eastAsia="Times New Roman" w:cs="Times New Roman"/>
          <w:color w:val="000000"/>
          <w:sz w:val="18"/>
          <w:szCs w:val="18"/>
        </w:rPr>
        <w:t>Art. 22 (1) Comitetul naţional al zonei costiere va semna cu fiecare vecin, proprietar sau administrator al zonei costiere, un proces-verbal de situaţie.</w:t>
      </w:r>
    </w:p>
  </w:footnote>
  <w:footnote w:id="4">
    <w:p w14:paraId="260A8BBC" w14:textId="77777777" w:rsidR="00670FD4" w:rsidRDefault="00670FD4" w:rsidP="00670FD4">
      <w:pPr>
        <w:keepNext/>
        <w:pBdr>
          <w:top w:val="nil"/>
          <w:left w:val="nil"/>
          <w:bottom w:val="nil"/>
          <w:right w:val="nil"/>
          <w:between w:val="nil"/>
        </w:pBdr>
        <w:spacing w:after="60" w:line="240" w:lineRule="auto"/>
        <w:rPr>
          <w:rFonts w:eastAsia="Times New Roman" w:cs="Times New Roman"/>
          <w:color w:val="000000"/>
          <w:sz w:val="18"/>
          <w:szCs w:val="18"/>
        </w:rPr>
      </w:pPr>
      <w:r>
        <w:rPr>
          <w:rStyle w:val="FootnoteReference"/>
        </w:rPr>
        <w:footnoteRef/>
      </w:r>
      <w:r>
        <w:rPr>
          <w:rFonts w:eastAsia="Times New Roman" w:cs="Times New Roman"/>
          <w:color w:val="000000"/>
          <w:sz w:val="18"/>
          <w:szCs w:val="18"/>
        </w:rPr>
        <w:t xml:space="preserve"> Statutul de organizare şi funcţionare a Administraţiei Rezervaţiei Biosferei Delta Dunării şi componenţa nominală a Consiliului ştiinţific al RBDD se aprobă prin HG nr. 367/2002, iar Regulamentul de organizare şi funcţionare şi a structurii organizatorice ale Administraţiei Rezervaţiei Biosferei Delta Dunării este adoptat prin HG nr. 1217/2012.</w:t>
      </w:r>
    </w:p>
  </w:footnote>
  <w:footnote w:id="5">
    <w:p w14:paraId="7D9F7DA4" w14:textId="77777777" w:rsidR="00670FD4" w:rsidRDefault="00670FD4" w:rsidP="00670FD4">
      <w:pPr>
        <w:keepNext/>
        <w:pBdr>
          <w:top w:val="nil"/>
          <w:left w:val="nil"/>
          <w:bottom w:val="nil"/>
          <w:right w:val="nil"/>
          <w:between w:val="nil"/>
        </w:pBdr>
        <w:spacing w:after="60" w:line="240" w:lineRule="auto"/>
        <w:rPr>
          <w:rFonts w:eastAsia="Times New Roman" w:cs="Times New Roman"/>
          <w:color w:val="000000"/>
          <w:sz w:val="18"/>
          <w:szCs w:val="18"/>
        </w:rPr>
      </w:pPr>
      <w:r>
        <w:rPr>
          <w:rStyle w:val="FootnoteReference"/>
        </w:rPr>
        <w:footnoteRef/>
      </w:r>
      <w:r>
        <w:rPr>
          <w:rFonts w:eastAsia="Times New Roman" w:cs="Times New Roman"/>
          <w:color w:val="000000"/>
          <w:sz w:val="18"/>
          <w:szCs w:val="18"/>
        </w:rPr>
        <w:t xml:space="preserve"> Ordinul Ministrului Mediului, nr. 610/2009 privind aprobarea tarifelor pentru lucrările şi serviciile prestate de către Administraţia Rezervaţiei Biosferei Delta Dunării la solicitarea persoanelor fizice şi juridice.</w:t>
      </w:r>
    </w:p>
  </w:footnote>
  <w:footnote w:id="6">
    <w:p w14:paraId="6AA3EE51" w14:textId="77777777" w:rsidR="00670FD4" w:rsidRDefault="00670FD4" w:rsidP="00670FD4">
      <w:pPr>
        <w:keepNext/>
        <w:pBdr>
          <w:top w:val="nil"/>
          <w:left w:val="nil"/>
          <w:bottom w:val="nil"/>
          <w:right w:val="nil"/>
          <w:between w:val="nil"/>
        </w:pBdr>
        <w:spacing w:after="60" w:line="240" w:lineRule="auto"/>
        <w:rPr>
          <w:rFonts w:eastAsia="Times New Roman" w:cs="Times New Roman"/>
          <w:color w:val="000000"/>
          <w:sz w:val="18"/>
          <w:szCs w:val="18"/>
        </w:rPr>
      </w:pPr>
      <w:r>
        <w:rPr>
          <w:rStyle w:val="FootnoteReference"/>
        </w:rPr>
        <w:footnoteRef/>
      </w:r>
      <w:r>
        <w:rPr>
          <w:rFonts w:eastAsia="Times New Roman" w:cs="Times New Roman"/>
          <w:color w:val="000000"/>
          <w:sz w:val="18"/>
          <w:szCs w:val="18"/>
        </w:rPr>
        <w:t xml:space="preserve"> Adoptat prin HG nr. 763/2015 pentru aprobarea Planului de management şi a Regulamentului Rezervaţiei Biosferei "Delta Dunării".</w:t>
      </w:r>
    </w:p>
  </w:footnote>
  <w:footnote w:id="7">
    <w:p w14:paraId="2DFA8F70" w14:textId="77777777" w:rsidR="00670FD4" w:rsidRDefault="00670FD4" w:rsidP="00670FD4">
      <w:pPr>
        <w:keepNext/>
        <w:pBdr>
          <w:top w:val="nil"/>
          <w:left w:val="nil"/>
          <w:bottom w:val="nil"/>
          <w:right w:val="nil"/>
          <w:between w:val="nil"/>
        </w:pBdr>
        <w:spacing w:after="60" w:line="240" w:lineRule="auto"/>
        <w:rPr>
          <w:rFonts w:eastAsia="Times New Roman" w:cs="Times New Roman"/>
          <w:color w:val="000000"/>
          <w:sz w:val="18"/>
          <w:szCs w:val="18"/>
        </w:rPr>
      </w:pPr>
      <w:r>
        <w:rPr>
          <w:rStyle w:val="FootnoteReference"/>
        </w:rPr>
        <w:footnoteRef/>
      </w:r>
      <w:r>
        <w:rPr>
          <w:rFonts w:eastAsia="Times New Roman" w:cs="Times New Roman"/>
          <w:color w:val="000000"/>
          <w:sz w:val="18"/>
          <w:szCs w:val="18"/>
        </w:rPr>
        <w:t xml:space="preserve"> Delimitarea zonelor funcţionale cu regim diferenţiat de protecţie de pe teritoriul Rezervaţiei Biosferei "Delta Dunării" a fost stabilită prin HG nr. 248/1994 pentru adoptarea unor măsuri în vederea aplicării Legii nr. 82/1993 privind constituirea Rezervaţiei Biosferei Delta Dunării.</w:t>
      </w:r>
    </w:p>
  </w:footnote>
  <w:footnote w:id="8">
    <w:p w14:paraId="005D98C1" w14:textId="77777777" w:rsidR="00670FD4" w:rsidRDefault="00670FD4" w:rsidP="00670FD4">
      <w:pPr>
        <w:keepNext/>
        <w:pBdr>
          <w:top w:val="nil"/>
          <w:left w:val="nil"/>
          <w:bottom w:val="nil"/>
          <w:right w:val="nil"/>
          <w:between w:val="nil"/>
        </w:pBdr>
        <w:spacing w:after="60" w:line="240" w:lineRule="auto"/>
        <w:rPr>
          <w:rFonts w:eastAsia="Times New Roman" w:cs="Times New Roman"/>
          <w:color w:val="000000"/>
          <w:sz w:val="18"/>
          <w:szCs w:val="18"/>
        </w:rPr>
      </w:pPr>
      <w:r>
        <w:rPr>
          <w:rStyle w:val="FootnoteReference"/>
        </w:rPr>
        <w:footnoteRef/>
      </w:r>
      <w:r>
        <w:rPr>
          <w:rFonts w:eastAsia="Times New Roman" w:cs="Times New Roman"/>
          <w:color w:val="000000"/>
          <w:sz w:val="18"/>
          <w:szCs w:val="18"/>
        </w:rPr>
        <w:t xml:space="preserve"> Stabilirea de noi zone protejate prin HG nr. 1066/2010 privind instituirea regimului de arie naturală protejată asupra unor zone din Rezervaţia Biosferei Delta Dunării şi încadrarea acestora în categoria rezervaţiilor ştiinţifice.</w:t>
      </w:r>
    </w:p>
  </w:footnote>
  <w:footnote w:id="9">
    <w:p w14:paraId="21B9C828" w14:textId="77777777" w:rsidR="00670FD4" w:rsidRDefault="00670FD4" w:rsidP="00670FD4">
      <w:pPr>
        <w:keepNext/>
        <w:pBdr>
          <w:top w:val="nil"/>
          <w:left w:val="nil"/>
          <w:bottom w:val="nil"/>
          <w:right w:val="nil"/>
          <w:between w:val="nil"/>
        </w:pBdr>
        <w:spacing w:after="60" w:line="240" w:lineRule="auto"/>
        <w:rPr>
          <w:rFonts w:eastAsia="Times New Roman" w:cs="Times New Roman"/>
          <w:color w:val="000000"/>
          <w:sz w:val="18"/>
          <w:szCs w:val="18"/>
        </w:rPr>
      </w:pPr>
      <w:r>
        <w:rPr>
          <w:rStyle w:val="FootnoteReference"/>
        </w:rPr>
        <w:footnoteRef/>
      </w:r>
      <w:r>
        <w:rPr>
          <w:rFonts w:eastAsia="Times New Roman" w:cs="Times New Roman"/>
          <w:color w:val="000000"/>
          <w:sz w:val="18"/>
          <w:szCs w:val="18"/>
        </w:rPr>
        <w:t xml:space="preserve"> Unităţile administrativ- teritoriale sunt prevăzute în HG nr. 323/1996 privind aprobarea Programului special pentru sprijinirea dezvoltării economico-sociale a unor localităţi din Munţii Apuseni, cu modificările ulterioare, şi în HG nr. 395/1996 pentru aprobarea Programului special privind unele măsuri şi acţiuni pentru sprijinirea dezvoltării economico-sociale a judeţului Tulcea şi a Rezervaţiei Biosferei «Delta Dunării», cu modificările ulterioare.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A29368" w14:textId="01CC45BC" w:rsidR="006B2B02" w:rsidRDefault="00000000">
    <w:pPr>
      <w:pStyle w:val="Header"/>
    </w:pPr>
    <w:r>
      <w:rPr>
        <w:noProof/>
      </w:rPr>
      <w:pict w14:anchorId="43E9F7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3020329" o:spid="_x0000_s1026" type="#_x0000_t136" style="position:absolute;left:0;text-align:left;margin-left:0;margin-top:0;width:494.9pt;height:141.4pt;rotation:315;z-index:-251642880;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7534C6" w14:textId="07652488" w:rsidR="006B2B02" w:rsidRDefault="00000000">
    <w:pPr>
      <w:pStyle w:val="Header"/>
    </w:pPr>
    <w:r>
      <w:rPr>
        <w:noProof/>
      </w:rPr>
      <w:pict w14:anchorId="1D63594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3020338" o:spid="_x0000_s1035" type="#_x0000_t136" style="position:absolute;left:0;text-align:left;margin-left:0;margin-top:0;width:494.9pt;height:141.4pt;rotation:315;z-index:-251624448;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9101B6" w14:textId="1DF81B0C" w:rsidR="00425381" w:rsidRDefault="00000000">
    <w:pPr>
      <w:pStyle w:val="Header"/>
    </w:pPr>
    <w:r>
      <w:rPr>
        <w:noProof/>
      </w:rPr>
      <w:pict w14:anchorId="031F0D5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3020339" o:spid="_x0000_s1036" type="#_x0000_t136" style="position:absolute;left:0;text-align:left;margin-left:0;margin-top:0;width:494.9pt;height:141.4pt;rotation:315;z-index:-251622400;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65930E" w14:textId="5A5BF703" w:rsidR="006B2B02" w:rsidRDefault="00000000">
    <w:pPr>
      <w:pStyle w:val="Header"/>
    </w:pPr>
    <w:r>
      <w:rPr>
        <w:noProof/>
      </w:rPr>
      <w:pict w14:anchorId="196532D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3020337" o:spid="_x0000_s1034" type="#_x0000_t136" style="position:absolute;left:0;text-align:left;margin-left:0;margin-top:0;width:494.9pt;height:141.4pt;rotation:315;z-index:-251626496;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C712E5" w14:textId="75086D86" w:rsidR="00670FD4" w:rsidRDefault="00000000">
    <w:pPr>
      <w:pBdr>
        <w:top w:val="nil"/>
        <w:left w:val="nil"/>
        <w:bottom w:val="nil"/>
        <w:right w:val="nil"/>
        <w:between w:val="nil"/>
      </w:pBdr>
      <w:tabs>
        <w:tab w:val="center" w:pos="4536"/>
        <w:tab w:val="right" w:pos="9072"/>
      </w:tabs>
      <w:spacing w:after="0" w:line="240" w:lineRule="auto"/>
      <w:rPr>
        <w:color w:val="000000"/>
      </w:rPr>
    </w:pPr>
    <w:r>
      <w:rPr>
        <w:noProof/>
      </w:rPr>
      <w:pict w14:anchorId="45F8CE2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3020330" o:spid="_x0000_s1027" type="#_x0000_t136" style="position:absolute;left:0;text-align:left;margin-left:0;margin-top:0;width:494.9pt;height:141.4pt;rotation:315;z-index:-251640832;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6B3195" w14:textId="6FAD6BB7" w:rsidR="00670FD4" w:rsidRDefault="00000000">
    <w:pPr>
      <w:pBdr>
        <w:top w:val="nil"/>
        <w:left w:val="nil"/>
        <w:bottom w:val="nil"/>
        <w:right w:val="nil"/>
        <w:between w:val="nil"/>
      </w:pBdr>
      <w:tabs>
        <w:tab w:val="center" w:pos="4536"/>
        <w:tab w:val="right" w:pos="9072"/>
      </w:tabs>
      <w:spacing w:after="0" w:line="240" w:lineRule="auto"/>
      <w:rPr>
        <w:color w:val="000000"/>
      </w:rPr>
    </w:pPr>
    <w:r>
      <w:rPr>
        <w:noProof/>
      </w:rPr>
      <w:pict w14:anchorId="5BC6AB7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3020328" o:spid="_x0000_s1025" type="#_x0000_t136" style="position:absolute;left:0;text-align:left;margin-left:0;margin-top:0;width:494.9pt;height:141.4pt;rotation:315;z-index:-251644928;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FA7BE7" w14:textId="4628DC3F" w:rsidR="006B2B02" w:rsidRDefault="00000000">
    <w:pPr>
      <w:pStyle w:val="Header"/>
    </w:pPr>
    <w:r>
      <w:rPr>
        <w:noProof/>
      </w:rPr>
      <w:pict w14:anchorId="671906D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3020332" o:spid="_x0000_s1029" type="#_x0000_t136" style="position:absolute;left:0;text-align:left;margin-left:0;margin-top:0;width:494.9pt;height:141.4pt;rotation:315;z-index:-251636736;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75300D" w14:textId="2C84D6D3" w:rsidR="00670FD4" w:rsidRDefault="00000000">
    <w:pPr>
      <w:pBdr>
        <w:top w:val="nil"/>
        <w:left w:val="nil"/>
        <w:bottom w:val="nil"/>
        <w:right w:val="nil"/>
        <w:between w:val="nil"/>
      </w:pBdr>
      <w:tabs>
        <w:tab w:val="center" w:pos="4536"/>
        <w:tab w:val="right" w:pos="9072"/>
      </w:tabs>
      <w:spacing w:after="0" w:line="240" w:lineRule="auto"/>
      <w:rPr>
        <w:color w:val="000000"/>
      </w:rPr>
    </w:pPr>
    <w:r>
      <w:rPr>
        <w:noProof/>
      </w:rPr>
      <w:pict w14:anchorId="1169A9E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3020333" o:spid="_x0000_s1030" type="#_x0000_t136" style="position:absolute;left:0;text-align:left;margin-left:0;margin-top:0;width:494.9pt;height:141.4pt;rotation:315;z-index:-251634688;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6F5736" w14:textId="7C9B6F3C" w:rsidR="006B2B02" w:rsidRDefault="00000000">
    <w:pPr>
      <w:pStyle w:val="Header"/>
    </w:pPr>
    <w:r>
      <w:rPr>
        <w:noProof/>
      </w:rPr>
      <w:pict w14:anchorId="538A52E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3020331" o:spid="_x0000_s1028" type="#_x0000_t136" style="position:absolute;left:0;text-align:left;margin-left:0;margin-top:0;width:494.9pt;height:141.4pt;rotation:315;z-index:-251638784;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932CBB" w14:textId="510D4B19" w:rsidR="006B2B02" w:rsidRDefault="00000000">
    <w:pPr>
      <w:pStyle w:val="Header"/>
    </w:pPr>
    <w:r>
      <w:rPr>
        <w:noProof/>
      </w:rPr>
      <w:pict w14:anchorId="7F934D6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3020335" o:spid="_x0000_s1032" type="#_x0000_t136" style="position:absolute;left:0;text-align:left;margin-left:0;margin-top:0;width:494.9pt;height:141.4pt;rotation:315;z-index:-251630592;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940499" w14:textId="1513601C" w:rsidR="00670FD4" w:rsidRDefault="00000000">
    <w:pPr>
      <w:pBdr>
        <w:top w:val="nil"/>
        <w:left w:val="nil"/>
        <w:bottom w:val="nil"/>
        <w:right w:val="nil"/>
        <w:between w:val="nil"/>
      </w:pBdr>
      <w:tabs>
        <w:tab w:val="center" w:pos="4536"/>
        <w:tab w:val="right" w:pos="9072"/>
      </w:tabs>
      <w:spacing w:after="0" w:line="240" w:lineRule="auto"/>
      <w:rPr>
        <w:color w:val="000000"/>
      </w:rPr>
    </w:pPr>
    <w:r>
      <w:rPr>
        <w:noProof/>
      </w:rPr>
      <w:pict w14:anchorId="2AB559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3020336" o:spid="_x0000_s1033" type="#_x0000_t136" style="position:absolute;left:0;text-align:left;margin-left:0;margin-top:0;width:494.9pt;height:141.4pt;rotation:315;z-index:-251628544;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1BB571" w14:textId="04E13A51" w:rsidR="006B2B02" w:rsidRDefault="00000000">
    <w:pPr>
      <w:pStyle w:val="Header"/>
    </w:pPr>
    <w:r>
      <w:rPr>
        <w:noProof/>
      </w:rPr>
      <w:pict w14:anchorId="27806CF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3020334" o:spid="_x0000_s1031" type="#_x0000_t136" style="position:absolute;left:0;text-align:left;margin-left:0;margin-top:0;width:494.9pt;height:141.4pt;rotation:315;z-index:-251632640;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421BD0"/>
    <w:multiLevelType w:val="multilevel"/>
    <w:tmpl w:val="87543BD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00C24712"/>
    <w:multiLevelType w:val="multilevel"/>
    <w:tmpl w:val="82D46482"/>
    <w:lvl w:ilvl="0">
      <w:start w:val="2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1580AF7"/>
    <w:multiLevelType w:val="multilevel"/>
    <w:tmpl w:val="B134C7E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11AA5874"/>
    <w:multiLevelType w:val="multilevel"/>
    <w:tmpl w:val="500C67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47B6792"/>
    <w:multiLevelType w:val="multilevel"/>
    <w:tmpl w:val="45EA8CC2"/>
    <w:lvl w:ilvl="0">
      <w:start w:val="8"/>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 w15:restartNumberingAfterBreak="0">
    <w:nsid w:val="17682FF4"/>
    <w:multiLevelType w:val="multilevel"/>
    <w:tmpl w:val="CDCCA3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BA77E9D"/>
    <w:multiLevelType w:val="multilevel"/>
    <w:tmpl w:val="3D381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0353E0C"/>
    <w:multiLevelType w:val="multilevel"/>
    <w:tmpl w:val="0526BD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1CD784F"/>
    <w:multiLevelType w:val="multilevel"/>
    <w:tmpl w:val="6510747A"/>
    <w:lvl w:ilvl="0">
      <w:start w:val="2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221944A7"/>
    <w:multiLevelType w:val="multilevel"/>
    <w:tmpl w:val="E8D2561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258461DA"/>
    <w:multiLevelType w:val="multilevel"/>
    <w:tmpl w:val="730E3DD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15:restartNumberingAfterBreak="0">
    <w:nsid w:val="261E044C"/>
    <w:multiLevelType w:val="multilevel"/>
    <w:tmpl w:val="22C2CAAA"/>
    <w:lvl w:ilvl="0">
      <w:start w:val="2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2BD0122C"/>
    <w:multiLevelType w:val="multilevel"/>
    <w:tmpl w:val="CED20C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D960182"/>
    <w:multiLevelType w:val="multilevel"/>
    <w:tmpl w:val="323A5A4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FA86E81"/>
    <w:multiLevelType w:val="multilevel"/>
    <w:tmpl w:val="44A859F4"/>
    <w:lvl w:ilvl="0">
      <w:start w:val="2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0776FA3"/>
    <w:multiLevelType w:val="multilevel"/>
    <w:tmpl w:val="393E5EA8"/>
    <w:lvl w:ilvl="0">
      <w:start w:val="3"/>
      <w:numFmt w:val="bullet"/>
      <w:lvlText w:val="-"/>
      <w:lvlJc w:val="left"/>
      <w:pPr>
        <w:ind w:left="720" w:hanging="360"/>
      </w:pPr>
      <w:rPr>
        <w:rFonts w:ascii="Times New Roman" w:eastAsia="Times New Roman" w:hAnsi="Times New Roman" w:cs="Times New Roman"/>
        <w:i/>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15:restartNumberingAfterBreak="0">
    <w:nsid w:val="34863CCC"/>
    <w:multiLevelType w:val="multilevel"/>
    <w:tmpl w:val="436A8E48"/>
    <w:lvl w:ilvl="0">
      <w:start w:val="2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36B3288C"/>
    <w:multiLevelType w:val="multilevel"/>
    <w:tmpl w:val="983A90BA"/>
    <w:lvl w:ilvl="0">
      <w:start w:val="23"/>
      <w:numFmt w:val="bullet"/>
      <w:lvlText w:val="-"/>
      <w:lvlJc w:val="left"/>
      <w:pPr>
        <w:ind w:left="1540" w:hanging="360"/>
      </w:pPr>
      <w:rPr>
        <w:rFonts w:ascii="Times New Roman" w:eastAsia="Times New Roman" w:hAnsi="Times New Roman" w:cs="Times New Roman"/>
      </w:rPr>
    </w:lvl>
    <w:lvl w:ilvl="1">
      <w:start w:val="1"/>
      <w:numFmt w:val="bullet"/>
      <w:lvlText w:val="o"/>
      <w:lvlJc w:val="left"/>
      <w:pPr>
        <w:ind w:left="2260" w:hanging="360"/>
      </w:pPr>
      <w:rPr>
        <w:rFonts w:ascii="Courier New" w:eastAsia="Courier New" w:hAnsi="Courier New" w:cs="Courier New"/>
      </w:rPr>
    </w:lvl>
    <w:lvl w:ilvl="2">
      <w:start w:val="1"/>
      <w:numFmt w:val="bullet"/>
      <w:lvlText w:val="▪"/>
      <w:lvlJc w:val="left"/>
      <w:pPr>
        <w:ind w:left="2980" w:hanging="360"/>
      </w:pPr>
      <w:rPr>
        <w:rFonts w:ascii="Noto Sans Symbols" w:eastAsia="Noto Sans Symbols" w:hAnsi="Noto Sans Symbols" w:cs="Noto Sans Symbols"/>
      </w:rPr>
    </w:lvl>
    <w:lvl w:ilvl="3">
      <w:start w:val="1"/>
      <w:numFmt w:val="bullet"/>
      <w:lvlText w:val="●"/>
      <w:lvlJc w:val="left"/>
      <w:pPr>
        <w:ind w:left="3700" w:hanging="360"/>
      </w:pPr>
      <w:rPr>
        <w:rFonts w:ascii="Noto Sans Symbols" w:eastAsia="Noto Sans Symbols" w:hAnsi="Noto Sans Symbols" w:cs="Noto Sans Symbols"/>
      </w:rPr>
    </w:lvl>
    <w:lvl w:ilvl="4">
      <w:start w:val="1"/>
      <w:numFmt w:val="bullet"/>
      <w:lvlText w:val="o"/>
      <w:lvlJc w:val="left"/>
      <w:pPr>
        <w:ind w:left="4420" w:hanging="360"/>
      </w:pPr>
      <w:rPr>
        <w:rFonts w:ascii="Courier New" w:eastAsia="Courier New" w:hAnsi="Courier New" w:cs="Courier New"/>
      </w:rPr>
    </w:lvl>
    <w:lvl w:ilvl="5">
      <w:start w:val="1"/>
      <w:numFmt w:val="bullet"/>
      <w:lvlText w:val="▪"/>
      <w:lvlJc w:val="left"/>
      <w:pPr>
        <w:ind w:left="5140" w:hanging="360"/>
      </w:pPr>
      <w:rPr>
        <w:rFonts w:ascii="Noto Sans Symbols" w:eastAsia="Noto Sans Symbols" w:hAnsi="Noto Sans Symbols" w:cs="Noto Sans Symbols"/>
      </w:rPr>
    </w:lvl>
    <w:lvl w:ilvl="6">
      <w:start w:val="1"/>
      <w:numFmt w:val="bullet"/>
      <w:lvlText w:val="●"/>
      <w:lvlJc w:val="left"/>
      <w:pPr>
        <w:ind w:left="5860" w:hanging="360"/>
      </w:pPr>
      <w:rPr>
        <w:rFonts w:ascii="Noto Sans Symbols" w:eastAsia="Noto Sans Symbols" w:hAnsi="Noto Sans Symbols" w:cs="Noto Sans Symbols"/>
      </w:rPr>
    </w:lvl>
    <w:lvl w:ilvl="7">
      <w:start w:val="1"/>
      <w:numFmt w:val="bullet"/>
      <w:lvlText w:val="o"/>
      <w:lvlJc w:val="left"/>
      <w:pPr>
        <w:ind w:left="6580" w:hanging="360"/>
      </w:pPr>
      <w:rPr>
        <w:rFonts w:ascii="Courier New" w:eastAsia="Courier New" w:hAnsi="Courier New" w:cs="Courier New"/>
      </w:rPr>
    </w:lvl>
    <w:lvl w:ilvl="8">
      <w:start w:val="1"/>
      <w:numFmt w:val="bullet"/>
      <w:lvlText w:val="▪"/>
      <w:lvlJc w:val="left"/>
      <w:pPr>
        <w:ind w:left="7300" w:hanging="360"/>
      </w:pPr>
      <w:rPr>
        <w:rFonts w:ascii="Noto Sans Symbols" w:eastAsia="Noto Sans Symbols" w:hAnsi="Noto Sans Symbols" w:cs="Noto Sans Symbols"/>
      </w:rPr>
    </w:lvl>
  </w:abstractNum>
  <w:abstractNum w:abstractNumId="18" w15:restartNumberingAfterBreak="0">
    <w:nsid w:val="37B00A88"/>
    <w:multiLevelType w:val="multilevel"/>
    <w:tmpl w:val="48AA050E"/>
    <w:lvl w:ilvl="0">
      <w:start w:val="23"/>
      <w:numFmt w:val="bullet"/>
      <w:lvlText w:val="-"/>
      <w:lvlJc w:val="left"/>
      <w:pPr>
        <w:ind w:left="720" w:hanging="360"/>
      </w:pPr>
      <w:rPr>
        <w:rFonts w:ascii="Times New Roman" w:eastAsia="Times New Roman" w:hAnsi="Times New Roman" w:cs="Times New Roman"/>
      </w:rPr>
    </w:lvl>
    <w:lvl w:ilvl="1">
      <w:numFmt w:val="bullet"/>
      <w:lvlText w:val="•"/>
      <w:lvlJc w:val="left"/>
      <w:pPr>
        <w:ind w:left="1692" w:hanging="612"/>
      </w:pPr>
      <w:rPr>
        <w:rFonts w:ascii="Times New Roman" w:eastAsia="Times New Roman" w:hAnsi="Times New Roman" w:cs="Times New Roman"/>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3D896EC4"/>
    <w:multiLevelType w:val="hybridMultilevel"/>
    <w:tmpl w:val="238E697C"/>
    <w:lvl w:ilvl="0" w:tplc="CD1C4276">
      <w:start w:val="1"/>
      <w:numFmt w:val="lowerLetter"/>
      <w:lvlText w:val="%1)"/>
      <w:lvlJc w:val="left"/>
      <w:pPr>
        <w:ind w:left="899" w:hanging="360"/>
      </w:pPr>
      <w:rPr>
        <w:rFonts w:hint="default"/>
        <w:color w:val="000000"/>
      </w:rPr>
    </w:lvl>
    <w:lvl w:ilvl="1" w:tplc="04180019" w:tentative="1">
      <w:start w:val="1"/>
      <w:numFmt w:val="lowerLetter"/>
      <w:lvlText w:val="%2."/>
      <w:lvlJc w:val="left"/>
      <w:pPr>
        <w:ind w:left="1619" w:hanging="360"/>
      </w:pPr>
    </w:lvl>
    <w:lvl w:ilvl="2" w:tplc="0418001B" w:tentative="1">
      <w:start w:val="1"/>
      <w:numFmt w:val="lowerRoman"/>
      <w:lvlText w:val="%3."/>
      <w:lvlJc w:val="right"/>
      <w:pPr>
        <w:ind w:left="2339" w:hanging="180"/>
      </w:pPr>
    </w:lvl>
    <w:lvl w:ilvl="3" w:tplc="0418000F" w:tentative="1">
      <w:start w:val="1"/>
      <w:numFmt w:val="decimal"/>
      <w:lvlText w:val="%4."/>
      <w:lvlJc w:val="left"/>
      <w:pPr>
        <w:ind w:left="3059" w:hanging="360"/>
      </w:pPr>
    </w:lvl>
    <w:lvl w:ilvl="4" w:tplc="04180019" w:tentative="1">
      <w:start w:val="1"/>
      <w:numFmt w:val="lowerLetter"/>
      <w:lvlText w:val="%5."/>
      <w:lvlJc w:val="left"/>
      <w:pPr>
        <w:ind w:left="3779" w:hanging="360"/>
      </w:pPr>
    </w:lvl>
    <w:lvl w:ilvl="5" w:tplc="0418001B" w:tentative="1">
      <w:start w:val="1"/>
      <w:numFmt w:val="lowerRoman"/>
      <w:lvlText w:val="%6."/>
      <w:lvlJc w:val="right"/>
      <w:pPr>
        <w:ind w:left="4499" w:hanging="180"/>
      </w:pPr>
    </w:lvl>
    <w:lvl w:ilvl="6" w:tplc="0418000F" w:tentative="1">
      <w:start w:val="1"/>
      <w:numFmt w:val="decimal"/>
      <w:lvlText w:val="%7."/>
      <w:lvlJc w:val="left"/>
      <w:pPr>
        <w:ind w:left="5219" w:hanging="360"/>
      </w:pPr>
    </w:lvl>
    <w:lvl w:ilvl="7" w:tplc="04180019" w:tentative="1">
      <w:start w:val="1"/>
      <w:numFmt w:val="lowerLetter"/>
      <w:lvlText w:val="%8."/>
      <w:lvlJc w:val="left"/>
      <w:pPr>
        <w:ind w:left="5939" w:hanging="360"/>
      </w:pPr>
    </w:lvl>
    <w:lvl w:ilvl="8" w:tplc="0418001B" w:tentative="1">
      <w:start w:val="1"/>
      <w:numFmt w:val="lowerRoman"/>
      <w:lvlText w:val="%9."/>
      <w:lvlJc w:val="right"/>
      <w:pPr>
        <w:ind w:left="6659" w:hanging="180"/>
      </w:pPr>
    </w:lvl>
  </w:abstractNum>
  <w:abstractNum w:abstractNumId="20" w15:restartNumberingAfterBreak="0">
    <w:nsid w:val="3E237F93"/>
    <w:multiLevelType w:val="multilevel"/>
    <w:tmpl w:val="FD90139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 w15:restartNumberingAfterBreak="0">
    <w:nsid w:val="3E730B9F"/>
    <w:multiLevelType w:val="multilevel"/>
    <w:tmpl w:val="1432033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 w15:restartNumberingAfterBreak="0">
    <w:nsid w:val="3EBE508F"/>
    <w:multiLevelType w:val="multilevel"/>
    <w:tmpl w:val="655AB26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3" w15:restartNumberingAfterBreak="0">
    <w:nsid w:val="41D953B5"/>
    <w:multiLevelType w:val="multilevel"/>
    <w:tmpl w:val="0572441C"/>
    <w:lvl w:ilvl="0">
      <w:start w:val="2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42BE293F"/>
    <w:multiLevelType w:val="hybridMultilevel"/>
    <w:tmpl w:val="E0E66D5E"/>
    <w:lvl w:ilvl="0" w:tplc="7C703AB6">
      <w:start w:val="1"/>
      <w:numFmt w:val="decimal"/>
      <w:lvlText w:val="%1."/>
      <w:lvlJc w:val="left"/>
      <w:pPr>
        <w:ind w:left="899" w:hanging="360"/>
      </w:pPr>
      <w:rPr>
        <w:rFonts w:hint="default"/>
      </w:rPr>
    </w:lvl>
    <w:lvl w:ilvl="1" w:tplc="08090019">
      <w:start w:val="1"/>
      <w:numFmt w:val="lowerLetter"/>
      <w:lvlText w:val="%2."/>
      <w:lvlJc w:val="left"/>
      <w:pPr>
        <w:ind w:left="1619" w:hanging="360"/>
      </w:pPr>
    </w:lvl>
    <w:lvl w:ilvl="2" w:tplc="0809001B" w:tentative="1">
      <w:start w:val="1"/>
      <w:numFmt w:val="lowerRoman"/>
      <w:lvlText w:val="%3."/>
      <w:lvlJc w:val="right"/>
      <w:pPr>
        <w:ind w:left="2339" w:hanging="180"/>
      </w:pPr>
    </w:lvl>
    <w:lvl w:ilvl="3" w:tplc="0809000F" w:tentative="1">
      <w:start w:val="1"/>
      <w:numFmt w:val="decimal"/>
      <w:lvlText w:val="%4."/>
      <w:lvlJc w:val="left"/>
      <w:pPr>
        <w:ind w:left="3059" w:hanging="360"/>
      </w:pPr>
    </w:lvl>
    <w:lvl w:ilvl="4" w:tplc="08090019" w:tentative="1">
      <w:start w:val="1"/>
      <w:numFmt w:val="lowerLetter"/>
      <w:lvlText w:val="%5."/>
      <w:lvlJc w:val="left"/>
      <w:pPr>
        <w:ind w:left="3779" w:hanging="360"/>
      </w:pPr>
    </w:lvl>
    <w:lvl w:ilvl="5" w:tplc="0809001B" w:tentative="1">
      <w:start w:val="1"/>
      <w:numFmt w:val="lowerRoman"/>
      <w:lvlText w:val="%6."/>
      <w:lvlJc w:val="right"/>
      <w:pPr>
        <w:ind w:left="4499" w:hanging="180"/>
      </w:pPr>
    </w:lvl>
    <w:lvl w:ilvl="6" w:tplc="0809000F" w:tentative="1">
      <w:start w:val="1"/>
      <w:numFmt w:val="decimal"/>
      <w:lvlText w:val="%7."/>
      <w:lvlJc w:val="left"/>
      <w:pPr>
        <w:ind w:left="5219" w:hanging="360"/>
      </w:pPr>
    </w:lvl>
    <w:lvl w:ilvl="7" w:tplc="08090019" w:tentative="1">
      <w:start w:val="1"/>
      <w:numFmt w:val="lowerLetter"/>
      <w:lvlText w:val="%8."/>
      <w:lvlJc w:val="left"/>
      <w:pPr>
        <w:ind w:left="5939" w:hanging="360"/>
      </w:pPr>
    </w:lvl>
    <w:lvl w:ilvl="8" w:tplc="0809001B" w:tentative="1">
      <w:start w:val="1"/>
      <w:numFmt w:val="lowerRoman"/>
      <w:lvlText w:val="%9."/>
      <w:lvlJc w:val="right"/>
      <w:pPr>
        <w:ind w:left="6659" w:hanging="180"/>
      </w:pPr>
    </w:lvl>
  </w:abstractNum>
  <w:abstractNum w:abstractNumId="25" w15:restartNumberingAfterBreak="0">
    <w:nsid w:val="477640FB"/>
    <w:multiLevelType w:val="multilevel"/>
    <w:tmpl w:val="E0269932"/>
    <w:lvl w:ilvl="0">
      <w:start w:val="1"/>
      <w:numFmt w:val="decimal"/>
      <w:lvlText w:val="%1"/>
      <w:lvlJc w:val="left"/>
      <w:pPr>
        <w:ind w:left="420" w:hanging="420"/>
      </w:pPr>
      <w:rPr>
        <w:rFonts w:hint="default"/>
      </w:rPr>
    </w:lvl>
    <w:lvl w:ilvl="1">
      <w:start w:val="3"/>
      <w:numFmt w:val="decimal"/>
      <w:lvlText w:val="%1.%2"/>
      <w:lvlJc w:val="left"/>
      <w:pPr>
        <w:ind w:left="1145" w:hanging="720"/>
      </w:pPr>
      <w:rPr>
        <w:rFonts w:hint="default"/>
        <w:sz w:val="32"/>
      </w:rPr>
    </w:lvl>
    <w:lvl w:ilvl="2">
      <w:start w:val="1"/>
      <w:numFmt w:val="decimal"/>
      <w:lvlText w:val="%1.%2.%3"/>
      <w:lvlJc w:val="left"/>
      <w:pPr>
        <w:ind w:left="1570" w:hanging="72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3140" w:hanging="144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5135" w:hanging="2160"/>
      </w:pPr>
      <w:rPr>
        <w:rFonts w:hint="default"/>
      </w:rPr>
    </w:lvl>
    <w:lvl w:ilvl="8">
      <w:start w:val="1"/>
      <w:numFmt w:val="decimal"/>
      <w:lvlText w:val="%1.%2.%3.%4.%5.%6.%7.%8.%9"/>
      <w:lvlJc w:val="left"/>
      <w:pPr>
        <w:ind w:left="5560" w:hanging="2160"/>
      </w:pPr>
      <w:rPr>
        <w:rFonts w:hint="default"/>
      </w:rPr>
    </w:lvl>
  </w:abstractNum>
  <w:abstractNum w:abstractNumId="26" w15:restartNumberingAfterBreak="0">
    <w:nsid w:val="47AE167C"/>
    <w:multiLevelType w:val="multilevel"/>
    <w:tmpl w:val="B2304BA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lowerLetter"/>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7" w15:restartNumberingAfterBreak="0">
    <w:nsid w:val="4A432C7B"/>
    <w:multiLevelType w:val="multilevel"/>
    <w:tmpl w:val="26FAD302"/>
    <w:lvl w:ilvl="0">
      <w:start w:val="1"/>
      <w:numFmt w:val="decimal"/>
      <w:lvlText w:val="%1."/>
      <w:lvlJc w:val="left"/>
      <w:pPr>
        <w:ind w:left="389" w:hanging="360"/>
      </w:pPr>
      <w:rPr>
        <w:rFonts w:ascii="Cambria" w:eastAsia="Cambria" w:hAnsi="Cambria" w:cs="Cambria"/>
        <w:sz w:val="20"/>
        <w:szCs w:val="24"/>
      </w:rPr>
    </w:lvl>
    <w:lvl w:ilvl="1">
      <w:start w:val="1"/>
      <w:numFmt w:val="lowerLetter"/>
      <w:lvlText w:val="%2."/>
      <w:lvlJc w:val="left"/>
      <w:pPr>
        <w:ind w:left="1109" w:hanging="360"/>
      </w:pPr>
    </w:lvl>
    <w:lvl w:ilvl="2">
      <w:start w:val="1"/>
      <w:numFmt w:val="lowerRoman"/>
      <w:lvlText w:val="%3."/>
      <w:lvlJc w:val="right"/>
      <w:pPr>
        <w:ind w:left="1829" w:hanging="180"/>
      </w:pPr>
    </w:lvl>
    <w:lvl w:ilvl="3">
      <w:start w:val="1"/>
      <w:numFmt w:val="decimal"/>
      <w:lvlText w:val="%4."/>
      <w:lvlJc w:val="left"/>
      <w:pPr>
        <w:ind w:left="2549" w:hanging="360"/>
      </w:pPr>
    </w:lvl>
    <w:lvl w:ilvl="4">
      <w:start w:val="1"/>
      <w:numFmt w:val="lowerLetter"/>
      <w:lvlText w:val="%5."/>
      <w:lvlJc w:val="left"/>
      <w:pPr>
        <w:ind w:left="3269" w:hanging="360"/>
      </w:pPr>
    </w:lvl>
    <w:lvl w:ilvl="5">
      <w:start w:val="1"/>
      <w:numFmt w:val="lowerRoman"/>
      <w:lvlText w:val="%6."/>
      <w:lvlJc w:val="right"/>
      <w:pPr>
        <w:ind w:left="3989" w:hanging="180"/>
      </w:pPr>
    </w:lvl>
    <w:lvl w:ilvl="6">
      <w:start w:val="1"/>
      <w:numFmt w:val="decimal"/>
      <w:lvlText w:val="%7."/>
      <w:lvlJc w:val="left"/>
      <w:pPr>
        <w:ind w:left="4709" w:hanging="360"/>
      </w:pPr>
    </w:lvl>
    <w:lvl w:ilvl="7">
      <w:start w:val="1"/>
      <w:numFmt w:val="lowerLetter"/>
      <w:lvlText w:val="%8."/>
      <w:lvlJc w:val="left"/>
      <w:pPr>
        <w:ind w:left="5429" w:hanging="360"/>
      </w:pPr>
    </w:lvl>
    <w:lvl w:ilvl="8">
      <w:start w:val="1"/>
      <w:numFmt w:val="lowerRoman"/>
      <w:lvlText w:val="%9."/>
      <w:lvlJc w:val="right"/>
      <w:pPr>
        <w:ind w:left="6149" w:hanging="180"/>
      </w:pPr>
    </w:lvl>
  </w:abstractNum>
  <w:abstractNum w:abstractNumId="28" w15:restartNumberingAfterBreak="0">
    <w:nsid w:val="4B9F5B96"/>
    <w:multiLevelType w:val="multilevel"/>
    <w:tmpl w:val="95F8B49A"/>
    <w:lvl w:ilvl="0">
      <w:start w:val="1"/>
      <w:numFmt w:val="decimal"/>
      <w:lvlText w:val="%1"/>
      <w:lvlJc w:val="left"/>
      <w:pPr>
        <w:ind w:left="420" w:hanging="420"/>
      </w:pPr>
      <w:rPr>
        <w:rFonts w:hint="default"/>
      </w:rPr>
    </w:lvl>
    <w:lvl w:ilvl="1">
      <w:start w:val="4"/>
      <w:numFmt w:val="decimal"/>
      <w:lvlText w:val="%1.%2"/>
      <w:lvlJc w:val="left"/>
      <w:pPr>
        <w:ind w:left="1865" w:hanging="720"/>
      </w:pPr>
      <w:rPr>
        <w:rFonts w:hint="default"/>
      </w:rPr>
    </w:lvl>
    <w:lvl w:ilvl="2">
      <w:start w:val="1"/>
      <w:numFmt w:val="decimal"/>
      <w:lvlText w:val="%1.%2.%3"/>
      <w:lvlJc w:val="left"/>
      <w:pPr>
        <w:ind w:left="3010" w:hanging="720"/>
      </w:pPr>
      <w:rPr>
        <w:rFonts w:hint="default"/>
      </w:rPr>
    </w:lvl>
    <w:lvl w:ilvl="3">
      <w:start w:val="1"/>
      <w:numFmt w:val="decimal"/>
      <w:lvlText w:val="%1.%2.%3.%4"/>
      <w:lvlJc w:val="left"/>
      <w:pPr>
        <w:ind w:left="4515" w:hanging="1080"/>
      </w:pPr>
      <w:rPr>
        <w:rFonts w:hint="default"/>
      </w:rPr>
    </w:lvl>
    <w:lvl w:ilvl="4">
      <w:start w:val="1"/>
      <w:numFmt w:val="decimal"/>
      <w:lvlText w:val="%1.%2.%3.%4.%5"/>
      <w:lvlJc w:val="left"/>
      <w:pPr>
        <w:ind w:left="6020" w:hanging="1440"/>
      </w:pPr>
      <w:rPr>
        <w:rFonts w:hint="default"/>
      </w:rPr>
    </w:lvl>
    <w:lvl w:ilvl="5">
      <w:start w:val="1"/>
      <w:numFmt w:val="decimal"/>
      <w:lvlText w:val="%1.%2.%3.%4.%5.%6"/>
      <w:lvlJc w:val="left"/>
      <w:pPr>
        <w:ind w:left="7165" w:hanging="1440"/>
      </w:pPr>
      <w:rPr>
        <w:rFonts w:hint="default"/>
      </w:rPr>
    </w:lvl>
    <w:lvl w:ilvl="6">
      <w:start w:val="1"/>
      <w:numFmt w:val="decimal"/>
      <w:lvlText w:val="%1.%2.%3.%4.%5.%6.%7"/>
      <w:lvlJc w:val="left"/>
      <w:pPr>
        <w:ind w:left="8670" w:hanging="1800"/>
      </w:pPr>
      <w:rPr>
        <w:rFonts w:hint="default"/>
      </w:rPr>
    </w:lvl>
    <w:lvl w:ilvl="7">
      <w:start w:val="1"/>
      <w:numFmt w:val="decimal"/>
      <w:lvlText w:val="%1.%2.%3.%4.%5.%6.%7.%8"/>
      <w:lvlJc w:val="left"/>
      <w:pPr>
        <w:ind w:left="10175" w:hanging="2160"/>
      </w:pPr>
      <w:rPr>
        <w:rFonts w:hint="default"/>
      </w:rPr>
    </w:lvl>
    <w:lvl w:ilvl="8">
      <w:start w:val="1"/>
      <w:numFmt w:val="decimal"/>
      <w:lvlText w:val="%1.%2.%3.%4.%5.%6.%7.%8.%9"/>
      <w:lvlJc w:val="left"/>
      <w:pPr>
        <w:ind w:left="11320" w:hanging="2160"/>
      </w:pPr>
      <w:rPr>
        <w:rFonts w:hint="default"/>
      </w:rPr>
    </w:lvl>
  </w:abstractNum>
  <w:abstractNum w:abstractNumId="29" w15:restartNumberingAfterBreak="0">
    <w:nsid w:val="4E9E4D6E"/>
    <w:multiLevelType w:val="multilevel"/>
    <w:tmpl w:val="93687D6A"/>
    <w:lvl w:ilvl="0">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54C0096E"/>
    <w:multiLevelType w:val="multilevel"/>
    <w:tmpl w:val="E56847F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1" w15:restartNumberingAfterBreak="0">
    <w:nsid w:val="55556FD2"/>
    <w:multiLevelType w:val="multilevel"/>
    <w:tmpl w:val="3020B9CC"/>
    <w:lvl w:ilvl="0">
      <w:start w:val="23"/>
      <w:numFmt w:val="bullet"/>
      <w:lvlText w:val="-"/>
      <w:lvlJc w:val="left"/>
      <w:pPr>
        <w:ind w:left="720" w:hanging="360"/>
      </w:pPr>
      <w:rPr>
        <w:rFonts w:ascii="Times New Roman" w:eastAsia="Times New Roman" w:hAnsi="Times New Roman" w:cs="Times New Roman"/>
        <w:i/>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2" w15:restartNumberingAfterBreak="0">
    <w:nsid w:val="59B83CBE"/>
    <w:multiLevelType w:val="multilevel"/>
    <w:tmpl w:val="2C28425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5BCB56E2"/>
    <w:multiLevelType w:val="multilevel"/>
    <w:tmpl w:val="D4545976"/>
    <w:lvl w:ilvl="0">
      <w:start w:val="1"/>
      <w:numFmt w:val="lowerLetter"/>
      <w:lvlText w:val="%1)"/>
      <w:lvlJc w:val="left"/>
      <w:pPr>
        <w:ind w:left="927" w:hanging="360"/>
      </w:pPr>
      <w:rPr>
        <w:i/>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34" w15:restartNumberingAfterBreak="0">
    <w:nsid w:val="631C7C69"/>
    <w:multiLevelType w:val="multilevel"/>
    <w:tmpl w:val="49CA22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64DF0215"/>
    <w:multiLevelType w:val="multilevel"/>
    <w:tmpl w:val="1B66945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rFonts w:ascii="Times New Roman" w:eastAsia="Calibri" w:hAnsi="Times New Roman" w:cs="Arial"/>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15:restartNumberingAfterBreak="0">
    <w:nsid w:val="669C2B0C"/>
    <w:multiLevelType w:val="multilevel"/>
    <w:tmpl w:val="621653FE"/>
    <w:lvl w:ilvl="0">
      <w:start w:val="1"/>
      <w:numFmt w:val="bullet"/>
      <w:lvlText w:val="●"/>
      <w:lvlJc w:val="left"/>
      <w:pPr>
        <w:ind w:left="1260" w:hanging="360"/>
      </w:pPr>
      <w:rPr>
        <w:rFonts w:ascii="Noto Sans Symbols" w:eastAsia="Noto Sans Symbols" w:hAnsi="Noto Sans Symbols" w:cs="Noto Sans Symbols"/>
      </w:rPr>
    </w:lvl>
    <w:lvl w:ilvl="1">
      <w:start w:val="1"/>
      <w:numFmt w:val="bullet"/>
      <w:lvlText w:val="o"/>
      <w:lvlJc w:val="left"/>
      <w:pPr>
        <w:ind w:left="1980" w:hanging="360"/>
      </w:pPr>
      <w:rPr>
        <w:rFonts w:ascii="Courier New" w:eastAsia="Courier New" w:hAnsi="Courier New" w:cs="Courier New"/>
      </w:rPr>
    </w:lvl>
    <w:lvl w:ilvl="2">
      <w:start w:val="1"/>
      <w:numFmt w:val="bullet"/>
      <w:lvlText w:val="▪"/>
      <w:lvlJc w:val="left"/>
      <w:pPr>
        <w:ind w:left="2700" w:hanging="360"/>
      </w:pPr>
      <w:rPr>
        <w:rFonts w:ascii="Noto Sans Symbols" w:eastAsia="Noto Sans Symbols" w:hAnsi="Noto Sans Symbols" w:cs="Noto Sans Symbols"/>
      </w:rPr>
    </w:lvl>
    <w:lvl w:ilvl="3">
      <w:start w:val="1"/>
      <w:numFmt w:val="bullet"/>
      <w:lvlText w:val="●"/>
      <w:lvlJc w:val="left"/>
      <w:pPr>
        <w:ind w:left="3420" w:hanging="360"/>
      </w:pPr>
      <w:rPr>
        <w:rFonts w:ascii="Noto Sans Symbols" w:eastAsia="Noto Sans Symbols" w:hAnsi="Noto Sans Symbols" w:cs="Noto Sans Symbols"/>
      </w:rPr>
    </w:lvl>
    <w:lvl w:ilvl="4">
      <w:start w:val="1"/>
      <w:numFmt w:val="bullet"/>
      <w:lvlText w:val="o"/>
      <w:lvlJc w:val="left"/>
      <w:pPr>
        <w:ind w:left="4140" w:hanging="360"/>
      </w:pPr>
      <w:rPr>
        <w:rFonts w:ascii="Courier New" w:eastAsia="Courier New" w:hAnsi="Courier New" w:cs="Courier New"/>
      </w:rPr>
    </w:lvl>
    <w:lvl w:ilvl="5">
      <w:start w:val="1"/>
      <w:numFmt w:val="bullet"/>
      <w:lvlText w:val="▪"/>
      <w:lvlJc w:val="left"/>
      <w:pPr>
        <w:ind w:left="4860" w:hanging="360"/>
      </w:pPr>
      <w:rPr>
        <w:rFonts w:ascii="Noto Sans Symbols" w:eastAsia="Noto Sans Symbols" w:hAnsi="Noto Sans Symbols" w:cs="Noto Sans Symbols"/>
      </w:rPr>
    </w:lvl>
    <w:lvl w:ilvl="6">
      <w:start w:val="1"/>
      <w:numFmt w:val="bullet"/>
      <w:lvlText w:val="●"/>
      <w:lvlJc w:val="left"/>
      <w:pPr>
        <w:ind w:left="5580" w:hanging="360"/>
      </w:pPr>
      <w:rPr>
        <w:rFonts w:ascii="Noto Sans Symbols" w:eastAsia="Noto Sans Symbols" w:hAnsi="Noto Sans Symbols" w:cs="Noto Sans Symbols"/>
      </w:rPr>
    </w:lvl>
    <w:lvl w:ilvl="7">
      <w:start w:val="1"/>
      <w:numFmt w:val="bullet"/>
      <w:lvlText w:val="o"/>
      <w:lvlJc w:val="left"/>
      <w:pPr>
        <w:ind w:left="6300" w:hanging="360"/>
      </w:pPr>
      <w:rPr>
        <w:rFonts w:ascii="Courier New" w:eastAsia="Courier New" w:hAnsi="Courier New" w:cs="Courier New"/>
      </w:rPr>
    </w:lvl>
    <w:lvl w:ilvl="8">
      <w:start w:val="1"/>
      <w:numFmt w:val="bullet"/>
      <w:lvlText w:val="▪"/>
      <w:lvlJc w:val="left"/>
      <w:pPr>
        <w:ind w:left="7020" w:hanging="360"/>
      </w:pPr>
      <w:rPr>
        <w:rFonts w:ascii="Noto Sans Symbols" w:eastAsia="Noto Sans Symbols" w:hAnsi="Noto Sans Symbols" w:cs="Noto Sans Symbols"/>
      </w:rPr>
    </w:lvl>
  </w:abstractNum>
  <w:abstractNum w:abstractNumId="37" w15:restartNumberingAfterBreak="0">
    <w:nsid w:val="69EA1339"/>
    <w:multiLevelType w:val="multilevel"/>
    <w:tmpl w:val="27D6B6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A3F42AA"/>
    <w:multiLevelType w:val="multilevel"/>
    <w:tmpl w:val="1B66945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rFonts w:ascii="Times New Roman" w:eastAsia="Calibri" w:hAnsi="Times New Roman" w:cs="Arial"/>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15:restartNumberingAfterBreak="0">
    <w:nsid w:val="6DB62E1B"/>
    <w:multiLevelType w:val="multilevel"/>
    <w:tmpl w:val="DB447D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7300189D"/>
    <w:multiLevelType w:val="multilevel"/>
    <w:tmpl w:val="CA1AEA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73B95D49"/>
    <w:multiLevelType w:val="multilevel"/>
    <w:tmpl w:val="1A30E89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2" w15:restartNumberingAfterBreak="0">
    <w:nsid w:val="74E66DDD"/>
    <w:multiLevelType w:val="multilevel"/>
    <w:tmpl w:val="30047344"/>
    <w:lvl w:ilvl="0">
      <w:start w:val="1"/>
      <w:numFmt w:val="decimal"/>
      <w:lvlText w:val="%1"/>
      <w:lvlJc w:val="left"/>
      <w:pPr>
        <w:ind w:left="588" w:hanging="588"/>
      </w:pPr>
      <w:rPr>
        <w:rFonts w:hint="default"/>
      </w:rPr>
    </w:lvl>
    <w:lvl w:ilvl="1">
      <w:start w:val="1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3" w15:restartNumberingAfterBreak="0">
    <w:nsid w:val="75AC0ADE"/>
    <w:multiLevelType w:val="hybridMultilevel"/>
    <w:tmpl w:val="2B1AD2F6"/>
    <w:lvl w:ilvl="0" w:tplc="04180001">
      <w:start w:val="1"/>
      <w:numFmt w:val="bullet"/>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44" w15:restartNumberingAfterBreak="0">
    <w:nsid w:val="75EE6DA7"/>
    <w:multiLevelType w:val="multilevel"/>
    <w:tmpl w:val="F1C6E93C"/>
    <w:lvl w:ilvl="0">
      <w:start w:val="23"/>
      <w:numFmt w:val="bullet"/>
      <w:lvlText w:val="-"/>
      <w:lvlJc w:val="left"/>
      <w:pPr>
        <w:ind w:left="1080" w:hanging="360"/>
      </w:pPr>
      <w:rPr>
        <w:rFonts w:ascii="Times New Roman" w:eastAsia="Times New Roman" w:hAnsi="Times New Roman" w:cs="Times New Roman"/>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5" w15:restartNumberingAfterBreak="0">
    <w:nsid w:val="7B466D00"/>
    <w:multiLevelType w:val="multilevel"/>
    <w:tmpl w:val="ECF4F12C"/>
    <w:lvl w:ilvl="0">
      <w:start w:val="23"/>
      <w:numFmt w:val="bullet"/>
      <w:lvlText w:val="-"/>
      <w:lvlJc w:val="left"/>
      <w:pPr>
        <w:ind w:left="1080" w:hanging="360"/>
      </w:pPr>
      <w:rPr>
        <w:rFonts w:ascii="Times New Roman" w:eastAsia="Times New Roman" w:hAnsi="Times New Roman" w:cs="Times New Roman"/>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6" w15:restartNumberingAfterBreak="0">
    <w:nsid w:val="7EDC15C8"/>
    <w:multiLevelType w:val="multilevel"/>
    <w:tmpl w:val="3BAA6D7C"/>
    <w:lvl w:ilvl="0">
      <w:start w:val="1"/>
      <w:numFmt w:val="decimal"/>
      <w:lvlText w:val="%1."/>
      <w:lvlJc w:val="left"/>
      <w:pPr>
        <w:ind w:left="899" w:hanging="360"/>
      </w:pPr>
      <w:rPr>
        <w:rFonts w:hint="default"/>
      </w:rPr>
    </w:lvl>
    <w:lvl w:ilvl="1">
      <w:start w:val="1"/>
      <w:numFmt w:val="decimal"/>
      <w:isLgl/>
      <w:lvlText w:val="%1.%2"/>
      <w:lvlJc w:val="left"/>
      <w:pPr>
        <w:ind w:left="1259" w:hanging="720"/>
      </w:pPr>
      <w:rPr>
        <w:rFonts w:hint="default"/>
      </w:rPr>
    </w:lvl>
    <w:lvl w:ilvl="2">
      <w:start w:val="1"/>
      <w:numFmt w:val="decimal"/>
      <w:isLgl/>
      <w:lvlText w:val="%1.%2.%3"/>
      <w:lvlJc w:val="left"/>
      <w:pPr>
        <w:ind w:left="1259" w:hanging="720"/>
      </w:pPr>
      <w:rPr>
        <w:rFonts w:hint="default"/>
      </w:rPr>
    </w:lvl>
    <w:lvl w:ilvl="3">
      <w:start w:val="1"/>
      <w:numFmt w:val="decimal"/>
      <w:isLgl/>
      <w:lvlText w:val="%1.%2.%3.%4"/>
      <w:lvlJc w:val="left"/>
      <w:pPr>
        <w:ind w:left="1619" w:hanging="1080"/>
      </w:pPr>
      <w:rPr>
        <w:rFonts w:hint="default"/>
      </w:rPr>
    </w:lvl>
    <w:lvl w:ilvl="4">
      <w:start w:val="1"/>
      <w:numFmt w:val="decimal"/>
      <w:isLgl/>
      <w:lvlText w:val="%1.%2.%3.%4.%5"/>
      <w:lvlJc w:val="left"/>
      <w:pPr>
        <w:ind w:left="1979" w:hanging="1440"/>
      </w:pPr>
      <w:rPr>
        <w:rFonts w:hint="default"/>
      </w:rPr>
    </w:lvl>
    <w:lvl w:ilvl="5">
      <w:start w:val="1"/>
      <w:numFmt w:val="decimal"/>
      <w:isLgl/>
      <w:lvlText w:val="%1.%2.%3.%4.%5.%6"/>
      <w:lvlJc w:val="left"/>
      <w:pPr>
        <w:ind w:left="1979" w:hanging="1440"/>
      </w:pPr>
      <w:rPr>
        <w:rFonts w:hint="default"/>
      </w:rPr>
    </w:lvl>
    <w:lvl w:ilvl="6">
      <w:start w:val="1"/>
      <w:numFmt w:val="decimal"/>
      <w:isLgl/>
      <w:lvlText w:val="%1.%2.%3.%4.%5.%6.%7"/>
      <w:lvlJc w:val="left"/>
      <w:pPr>
        <w:ind w:left="2339" w:hanging="1800"/>
      </w:pPr>
      <w:rPr>
        <w:rFonts w:hint="default"/>
      </w:rPr>
    </w:lvl>
    <w:lvl w:ilvl="7">
      <w:start w:val="1"/>
      <w:numFmt w:val="decimal"/>
      <w:isLgl/>
      <w:lvlText w:val="%1.%2.%3.%4.%5.%6.%7.%8"/>
      <w:lvlJc w:val="left"/>
      <w:pPr>
        <w:ind w:left="2699" w:hanging="2160"/>
      </w:pPr>
      <w:rPr>
        <w:rFonts w:hint="default"/>
      </w:rPr>
    </w:lvl>
    <w:lvl w:ilvl="8">
      <w:start w:val="1"/>
      <w:numFmt w:val="decimal"/>
      <w:isLgl/>
      <w:lvlText w:val="%1.%2.%3.%4.%5.%6.%7.%8.%9"/>
      <w:lvlJc w:val="left"/>
      <w:pPr>
        <w:ind w:left="2699" w:hanging="2160"/>
      </w:pPr>
      <w:rPr>
        <w:rFonts w:hint="default"/>
      </w:rPr>
    </w:lvl>
  </w:abstractNum>
  <w:abstractNum w:abstractNumId="47" w15:restartNumberingAfterBreak="0">
    <w:nsid w:val="7F1A500D"/>
    <w:multiLevelType w:val="multilevel"/>
    <w:tmpl w:val="6F44E694"/>
    <w:lvl w:ilvl="0">
      <w:start w:val="1"/>
      <w:numFmt w:val="bullet"/>
      <w:lvlText w:val="●"/>
      <w:lvlJc w:val="left"/>
      <w:pPr>
        <w:ind w:left="1287" w:hanging="360"/>
      </w:pPr>
      <w:rPr>
        <w:rFonts w:ascii="Noto Sans Symbols" w:eastAsia="Noto Sans Symbols" w:hAnsi="Noto Sans Symbols" w:cs="Noto Sans Symbols"/>
        <w:sz w:val="14"/>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num w:numId="1" w16cid:durableId="1987663767">
    <w:abstractNumId w:val="40"/>
  </w:num>
  <w:num w:numId="2" w16cid:durableId="445275079">
    <w:abstractNumId w:val="37"/>
  </w:num>
  <w:num w:numId="3" w16cid:durableId="1996490210">
    <w:abstractNumId w:val="38"/>
  </w:num>
  <w:num w:numId="4" w16cid:durableId="238758205">
    <w:abstractNumId w:val="6"/>
  </w:num>
  <w:num w:numId="5" w16cid:durableId="409665884">
    <w:abstractNumId w:val="47"/>
  </w:num>
  <w:num w:numId="6" w16cid:durableId="876283207">
    <w:abstractNumId w:val="29"/>
  </w:num>
  <w:num w:numId="7" w16cid:durableId="771632326">
    <w:abstractNumId w:val="45"/>
  </w:num>
  <w:num w:numId="8" w16cid:durableId="2049598911">
    <w:abstractNumId w:val="39"/>
  </w:num>
  <w:num w:numId="9" w16cid:durableId="1604875720">
    <w:abstractNumId w:val="3"/>
  </w:num>
  <w:num w:numId="10" w16cid:durableId="1304231978">
    <w:abstractNumId w:val="34"/>
  </w:num>
  <w:num w:numId="11" w16cid:durableId="531459245">
    <w:abstractNumId w:val="7"/>
  </w:num>
  <w:num w:numId="12" w16cid:durableId="2088454040">
    <w:abstractNumId w:val="5"/>
  </w:num>
  <w:num w:numId="13" w16cid:durableId="1481190912">
    <w:abstractNumId w:val="24"/>
  </w:num>
  <w:num w:numId="14" w16cid:durableId="1432504601">
    <w:abstractNumId w:val="46"/>
  </w:num>
  <w:num w:numId="15" w16cid:durableId="10500386">
    <w:abstractNumId w:val="25"/>
  </w:num>
  <w:num w:numId="16" w16cid:durableId="1566404919">
    <w:abstractNumId w:val="42"/>
  </w:num>
  <w:num w:numId="17" w16cid:durableId="1518813965">
    <w:abstractNumId w:val="43"/>
  </w:num>
  <w:num w:numId="18" w16cid:durableId="1663199775">
    <w:abstractNumId w:val="36"/>
  </w:num>
  <w:num w:numId="19" w16cid:durableId="1072238717">
    <w:abstractNumId w:val="12"/>
  </w:num>
  <w:num w:numId="20" w16cid:durableId="31419962">
    <w:abstractNumId w:val="4"/>
  </w:num>
  <w:num w:numId="21" w16cid:durableId="1017925036">
    <w:abstractNumId w:val="27"/>
  </w:num>
  <w:num w:numId="22" w16cid:durableId="1684549023">
    <w:abstractNumId w:val="26"/>
  </w:num>
  <w:num w:numId="23" w16cid:durableId="920329523">
    <w:abstractNumId w:val="19"/>
  </w:num>
  <w:num w:numId="24" w16cid:durableId="1978367975">
    <w:abstractNumId w:val="41"/>
  </w:num>
  <w:num w:numId="25" w16cid:durableId="1490096282">
    <w:abstractNumId w:val="44"/>
  </w:num>
  <w:num w:numId="26" w16cid:durableId="1756052072">
    <w:abstractNumId w:val="2"/>
  </w:num>
  <w:num w:numId="27" w16cid:durableId="1773162052">
    <w:abstractNumId w:val="9"/>
  </w:num>
  <w:num w:numId="28" w16cid:durableId="1743675641">
    <w:abstractNumId w:val="22"/>
  </w:num>
  <w:num w:numId="29" w16cid:durableId="501243613">
    <w:abstractNumId w:val="15"/>
  </w:num>
  <w:num w:numId="30" w16cid:durableId="1595817874">
    <w:abstractNumId w:val="31"/>
  </w:num>
  <w:num w:numId="31" w16cid:durableId="528103911">
    <w:abstractNumId w:val="18"/>
  </w:num>
  <w:num w:numId="32" w16cid:durableId="733353735">
    <w:abstractNumId w:val="11"/>
  </w:num>
  <w:num w:numId="33" w16cid:durableId="2141879344">
    <w:abstractNumId w:val="23"/>
  </w:num>
  <w:num w:numId="34" w16cid:durableId="748037641">
    <w:abstractNumId w:val="21"/>
  </w:num>
  <w:num w:numId="35" w16cid:durableId="236525089">
    <w:abstractNumId w:val="30"/>
  </w:num>
  <w:num w:numId="36" w16cid:durableId="1214150784">
    <w:abstractNumId w:val="13"/>
  </w:num>
  <w:num w:numId="37" w16cid:durableId="971905230">
    <w:abstractNumId w:val="32"/>
  </w:num>
  <w:num w:numId="38" w16cid:durableId="1304236447">
    <w:abstractNumId w:val="16"/>
  </w:num>
  <w:num w:numId="39" w16cid:durableId="1851217042">
    <w:abstractNumId w:val="33"/>
  </w:num>
  <w:num w:numId="40" w16cid:durableId="140124472">
    <w:abstractNumId w:val="8"/>
  </w:num>
  <w:num w:numId="41" w16cid:durableId="382213848">
    <w:abstractNumId w:val="1"/>
  </w:num>
  <w:num w:numId="42" w16cid:durableId="1496337902">
    <w:abstractNumId w:val="17"/>
  </w:num>
  <w:num w:numId="43" w16cid:durableId="892960121">
    <w:abstractNumId w:val="20"/>
  </w:num>
  <w:num w:numId="44" w16cid:durableId="2070834916">
    <w:abstractNumId w:val="0"/>
  </w:num>
  <w:num w:numId="45" w16cid:durableId="385033743">
    <w:abstractNumId w:val="14"/>
  </w:num>
  <w:num w:numId="46" w16cid:durableId="1347946118">
    <w:abstractNumId w:val="10"/>
  </w:num>
  <w:num w:numId="47" w16cid:durableId="1556233033">
    <w:abstractNumId w:val="35"/>
  </w:num>
  <w:num w:numId="48" w16cid:durableId="1331789062">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1A37"/>
    <w:rsid w:val="0002405D"/>
    <w:rsid w:val="001302F9"/>
    <w:rsid w:val="001E34EB"/>
    <w:rsid w:val="00252514"/>
    <w:rsid w:val="00274501"/>
    <w:rsid w:val="002F7C12"/>
    <w:rsid w:val="003724DD"/>
    <w:rsid w:val="003C0E34"/>
    <w:rsid w:val="003D74F5"/>
    <w:rsid w:val="00425381"/>
    <w:rsid w:val="004F67F7"/>
    <w:rsid w:val="005478A2"/>
    <w:rsid w:val="00566E40"/>
    <w:rsid w:val="005E16BC"/>
    <w:rsid w:val="006166AA"/>
    <w:rsid w:val="00670FD4"/>
    <w:rsid w:val="006B2B02"/>
    <w:rsid w:val="00711A37"/>
    <w:rsid w:val="007A4926"/>
    <w:rsid w:val="00834A2E"/>
    <w:rsid w:val="00907D34"/>
    <w:rsid w:val="00976C91"/>
    <w:rsid w:val="00B140E0"/>
    <w:rsid w:val="00B554C7"/>
    <w:rsid w:val="00B870AF"/>
    <w:rsid w:val="00C22432"/>
    <w:rsid w:val="00C947A5"/>
    <w:rsid w:val="00D45BF2"/>
    <w:rsid w:val="00F11A35"/>
    <w:rsid w:val="00F577DD"/>
    <w:rsid w:val="00F80F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A43D45"/>
  <w15:chartTrackingRefBased/>
  <w15:docId w15:val="{23FC8C35-19BC-47A4-BC1A-33E40245BE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0FD4"/>
    <w:pPr>
      <w:spacing w:before="120" w:after="120" w:line="276" w:lineRule="auto"/>
      <w:ind w:firstLine="539"/>
      <w:jc w:val="both"/>
    </w:pPr>
    <w:rPr>
      <w:rFonts w:ascii="Times New Roman" w:eastAsia="Calibri" w:hAnsi="Times New Roman" w:cs="Arial"/>
      <w:sz w:val="24"/>
      <w:szCs w:val="24"/>
      <w:lang w:val="en-GB"/>
      <w14:ligatures w14:val="none"/>
    </w:rPr>
  </w:style>
  <w:style w:type="paragraph" w:styleId="Heading1">
    <w:name w:val="heading 1"/>
    <w:basedOn w:val="Normal"/>
    <w:next w:val="Normal"/>
    <w:link w:val="Heading1Char"/>
    <w:qFormat/>
    <w:rsid w:val="00670FD4"/>
    <w:pPr>
      <w:keepNext/>
      <w:keepLines/>
      <w:spacing w:before="240" w:after="0"/>
      <w:outlineLvl w:val="0"/>
    </w:pPr>
    <w:rPr>
      <w:rFonts w:eastAsia="Times New Roman" w:cs="Times New Roman"/>
      <w:b/>
      <w:sz w:val="36"/>
      <w:szCs w:val="32"/>
    </w:rPr>
  </w:style>
  <w:style w:type="paragraph" w:styleId="Heading2">
    <w:name w:val="heading 2"/>
    <w:basedOn w:val="Normal"/>
    <w:next w:val="Normal"/>
    <w:link w:val="Heading2Char"/>
    <w:unhideWhenUsed/>
    <w:qFormat/>
    <w:rsid w:val="00670FD4"/>
    <w:pPr>
      <w:keepNext/>
      <w:keepLines/>
      <w:pBdr>
        <w:top w:val="nil"/>
        <w:left w:val="nil"/>
        <w:bottom w:val="nil"/>
        <w:right w:val="nil"/>
        <w:between w:val="nil"/>
      </w:pBdr>
      <w:spacing w:before="360" w:after="80"/>
      <w:outlineLvl w:val="1"/>
    </w:pPr>
    <w:rPr>
      <w:rFonts w:eastAsia="Times New Roman" w:cs="Times New Roman"/>
      <w:b/>
      <w:color w:val="000000"/>
      <w:kern w:val="0"/>
      <w:sz w:val="32"/>
      <w:szCs w:val="36"/>
      <w:lang w:val="ro-RO" w:eastAsia="en-GB"/>
    </w:rPr>
  </w:style>
  <w:style w:type="paragraph" w:styleId="Heading3">
    <w:name w:val="heading 3"/>
    <w:basedOn w:val="Normal"/>
    <w:next w:val="Normal"/>
    <w:link w:val="Heading3Char"/>
    <w:unhideWhenUsed/>
    <w:qFormat/>
    <w:rsid w:val="00670FD4"/>
    <w:pPr>
      <w:keepNext/>
      <w:keepLines/>
      <w:pBdr>
        <w:top w:val="nil"/>
        <w:left w:val="nil"/>
        <w:bottom w:val="nil"/>
        <w:right w:val="nil"/>
        <w:between w:val="nil"/>
      </w:pBdr>
      <w:spacing w:before="280" w:after="80"/>
      <w:outlineLvl w:val="2"/>
    </w:pPr>
    <w:rPr>
      <w:rFonts w:eastAsia="Times New Roman" w:cs="Times New Roman"/>
      <w:b/>
      <w:color w:val="000000"/>
      <w:kern w:val="0"/>
      <w:sz w:val="28"/>
      <w:szCs w:val="28"/>
      <w:lang w:val="ro-RO" w:eastAsia="en-GB"/>
    </w:rPr>
  </w:style>
  <w:style w:type="paragraph" w:styleId="Heading4">
    <w:name w:val="heading 4"/>
    <w:basedOn w:val="Normal"/>
    <w:next w:val="Normal"/>
    <w:link w:val="Heading4Char"/>
    <w:unhideWhenUsed/>
    <w:qFormat/>
    <w:rsid w:val="00670FD4"/>
    <w:pPr>
      <w:keepNext/>
      <w:keepLines/>
      <w:pBdr>
        <w:top w:val="nil"/>
        <w:left w:val="nil"/>
        <w:bottom w:val="nil"/>
        <w:right w:val="nil"/>
        <w:between w:val="nil"/>
      </w:pBdr>
      <w:spacing w:before="240" w:after="40"/>
      <w:outlineLvl w:val="3"/>
    </w:pPr>
    <w:rPr>
      <w:rFonts w:eastAsia="Times New Roman" w:cs="Times New Roman"/>
      <w:b/>
      <w:color w:val="000000"/>
      <w:kern w:val="0"/>
      <w:lang w:val="ro-RO" w:eastAsia="en-GB"/>
    </w:rPr>
  </w:style>
  <w:style w:type="paragraph" w:styleId="Heading5">
    <w:name w:val="heading 5"/>
    <w:basedOn w:val="Normal"/>
    <w:next w:val="Normal"/>
    <w:link w:val="Heading5Char"/>
    <w:unhideWhenUsed/>
    <w:qFormat/>
    <w:rsid w:val="00670FD4"/>
    <w:pPr>
      <w:keepNext/>
      <w:keepLines/>
      <w:pBdr>
        <w:top w:val="nil"/>
        <w:left w:val="nil"/>
        <w:bottom w:val="nil"/>
        <w:right w:val="nil"/>
        <w:between w:val="nil"/>
      </w:pBdr>
      <w:spacing w:before="220" w:after="40"/>
      <w:outlineLvl w:val="4"/>
    </w:pPr>
    <w:rPr>
      <w:rFonts w:eastAsia="Times New Roman" w:cs="Times New Roman"/>
      <w:b/>
      <w:i/>
      <w:color w:val="000000"/>
      <w:kern w:val="0"/>
      <w:lang w:val="ro-RO" w:eastAsia="en-GB"/>
    </w:rPr>
  </w:style>
  <w:style w:type="paragraph" w:styleId="Heading6">
    <w:name w:val="heading 6"/>
    <w:basedOn w:val="Normal"/>
    <w:next w:val="Normal"/>
    <w:link w:val="Heading6Char"/>
    <w:unhideWhenUsed/>
    <w:qFormat/>
    <w:rsid w:val="00670FD4"/>
    <w:pPr>
      <w:keepNext/>
      <w:keepLines/>
      <w:pBdr>
        <w:top w:val="nil"/>
        <w:left w:val="nil"/>
        <w:bottom w:val="nil"/>
        <w:right w:val="nil"/>
        <w:between w:val="nil"/>
      </w:pBdr>
      <w:spacing w:before="200" w:after="40"/>
      <w:jc w:val="left"/>
      <w:outlineLvl w:val="5"/>
    </w:pPr>
    <w:rPr>
      <w:rFonts w:eastAsia="Times New Roman" w:cs="Times New Roman"/>
      <w:color w:val="000000"/>
      <w:kern w:val="0"/>
      <w:szCs w:val="20"/>
      <w:lang w:val="ro-RO"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70FD4"/>
    <w:rPr>
      <w:rFonts w:ascii="Times New Roman" w:eastAsia="Times New Roman" w:hAnsi="Times New Roman" w:cs="Times New Roman"/>
      <w:b/>
      <w:sz w:val="36"/>
      <w:szCs w:val="32"/>
      <w:lang w:val="en-GB"/>
      <w14:ligatures w14:val="none"/>
    </w:rPr>
  </w:style>
  <w:style w:type="character" w:customStyle="1" w:styleId="Heading2Char">
    <w:name w:val="Heading 2 Char"/>
    <w:basedOn w:val="DefaultParagraphFont"/>
    <w:link w:val="Heading2"/>
    <w:rsid w:val="00670FD4"/>
    <w:rPr>
      <w:rFonts w:ascii="Times New Roman" w:eastAsia="Times New Roman" w:hAnsi="Times New Roman" w:cs="Times New Roman"/>
      <w:b/>
      <w:color w:val="000000"/>
      <w:kern w:val="0"/>
      <w:sz w:val="32"/>
      <w:szCs w:val="36"/>
      <w:lang w:val="ro-RO" w:eastAsia="en-GB"/>
      <w14:ligatures w14:val="none"/>
    </w:rPr>
  </w:style>
  <w:style w:type="character" w:customStyle="1" w:styleId="Heading3Char">
    <w:name w:val="Heading 3 Char"/>
    <w:basedOn w:val="DefaultParagraphFont"/>
    <w:link w:val="Heading3"/>
    <w:rsid w:val="00670FD4"/>
    <w:rPr>
      <w:rFonts w:ascii="Times New Roman" w:eastAsia="Times New Roman" w:hAnsi="Times New Roman" w:cs="Times New Roman"/>
      <w:b/>
      <w:color w:val="000000"/>
      <w:kern w:val="0"/>
      <w:sz w:val="28"/>
      <w:szCs w:val="28"/>
      <w:lang w:val="ro-RO" w:eastAsia="en-GB"/>
      <w14:ligatures w14:val="none"/>
    </w:rPr>
  </w:style>
  <w:style w:type="character" w:customStyle="1" w:styleId="Heading4Char">
    <w:name w:val="Heading 4 Char"/>
    <w:basedOn w:val="DefaultParagraphFont"/>
    <w:link w:val="Heading4"/>
    <w:rsid w:val="00670FD4"/>
    <w:rPr>
      <w:rFonts w:ascii="Times New Roman" w:eastAsia="Times New Roman" w:hAnsi="Times New Roman" w:cs="Times New Roman"/>
      <w:b/>
      <w:color w:val="000000"/>
      <w:kern w:val="0"/>
      <w:sz w:val="24"/>
      <w:szCs w:val="24"/>
      <w:lang w:val="ro-RO" w:eastAsia="en-GB"/>
      <w14:ligatures w14:val="none"/>
    </w:rPr>
  </w:style>
  <w:style w:type="character" w:customStyle="1" w:styleId="Heading5Char">
    <w:name w:val="Heading 5 Char"/>
    <w:basedOn w:val="DefaultParagraphFont"/>
    <w:link w:val="Heading5"/>
    <w:rsid w:val="00670FD4"/>
    <w:rPr>
      <w:rFonts w:ascii="Times New Roman" w:eastAsia="Times New Roman" w:hAnsi="Times New Roman" w:cs="Times New Roman"/>
      <w:b/>
      <w:i/>
      <w:color w:val="000000"/>
      <w:kern w:val="0"/>
      <w:sz w:val="24"/>
      <w:szCs w:val="24"/>
      <w:lang w:val="ro-RO" w:eastAsia="en-GB"/>
      <w14:ligatures w14:val="none"/>
    </w:rPr>
  </w:style>
  <w:style w:type="character" w:customStyle="1" w:styleId="Heading6Char">
    <w:name w:val="Heading 6 Char"/>
    <w:basedOn w:val="DefaultParagraphFont"/>
    <w:link w:val="Heading6"/>
    <w:rsid w:val="00670FD4"/>
    <w:rPr>
      <w:rFonts w:ascii="Times New Roman" w:eastAsia="Times New Roman" w:hAnsi="Times New Roman" w:cs="Times New Roman"/>
      <w:color w:val="000000"/>
      <w:kern w:val="0"/>
      <w:sz w:val="24"/>
      <w:szCs w:val="20"/>
      <w:lang w:val="ro-RO" w:eastAsia="en-GB"/>
      <w14:ligatures w14:val="none"/>
    </w:rPr>
  </w:style>
  <w:style w:type="paragraph" w:styleId="TOCHeading">
    <w:name w:val="TOC Heading"/>
    <w:basedOn w:val="Heading1"/>
    <w:next w:val="Normal"/>
    <w:uiPriority w:val="39"/>
    <w:unhideWhenUsed/>
    <w:qFormat/>
    <w:rsid w:val="00670FD4"/>
    <w:pPr>
      <w:outlineLvl w:val="9"/>
    </w:pPr>
    <w:rPr>
      <w:kern w:val="0"/>
      <w:lang w:val="en-US"/>
    </w:rPr>
  </w:style>
  <w:style w:type="numbering" w:customStyle="1" w:styleId="NoList1">
    <w:name w:val="No List1"/>
    <w:next w:val="NoList"/>
    <w:uiPriority w:val="99"/>
    <w:semiHidden/>
    <w:unhideWhenUsed/>
    <w:rsid w:val="00670FD4"/>
  </w:style>
  <w:style w:type="paragraph" w:styleId="Title">
    <w:name w:val="Title"/>
    <w:basedOn w:val="Normal"/>
    <w:next w:val="Normal"/>
    <w:link w:val="TitleChar"/>
    <w:uiPriority w:val="99"/>
    <w:qFormat/>
    <w:rsid w:val="00670FD4"/>
    <w:pPr>
      <w:keepNext/>
      <w:keepLines/>
      <w:pBdr>
        <w:top w:val="nil"/>
        <w:left w:val="nil"/>
        <w:bottom w:val="nil"/>
        <w:right w:val="nil"/>
        <w:between w:val="nil"/>
      </w:pBdr>
      <w:spacing w:before="480"/>
      <w:ind w:firstLine="540"/>
    </w:pPr>
    <w:rPr>
      <w:rFonts w:eastAsia="Times New Roman" w:cs="Times New Roman"/>
      <w:b/>
      <w:color w:val="000000"/>
      <w:kern w:val="0"/>
      <w:sz w:val="72"/>
      <w:szCs w:val="72"/>
      <w:lang w:val="ro-RO" w:eastAsia="en-GB"/>
    </w:rPr>
  </w:style>
  <w:style w:type="character" w:customStyle="1" w:styleId="TitleChar">
    <w:name w:val="Title Char"/>
    <w:basedOn w:val="DefaultParagraphFont"/>
    <w:link w:val="Title"/>
    <w:uiPriority w:val="99"/>
    <w:rsid w:val="00670FD4"/>
    <w:rPr>
      <w:rFonts w:ascii="Times New Roman" w:eastAsia="Times New Roman" w:hAnsi="Times New Roman" w:cs="Times New Roman"/>
      <w:b/>
      <w:color w:val="000000"/>
      <w:kern w:val="0"/>
      <w:sz w:val="72"/>
      <w:szCs w:val="72"/>
      <w:lang w:val="ro-RO" w:eastAsia="en-GB"/>
      <w14:ligatures w14:val="none"/>
    </w:rPr>
  </w:style>
  <w:style w:type="paragraph" w:styleId="Subtitle">
    <w:name w:val="Subtitle"/>
    <w:basedOn w:val="Normal"/>
    <w:next w:val="Normal"/>
    <w:link w:val="SubtitleChar"/>
    <w:qFormat/>
    <w:rsid w:val="00670FD4"/>
    <w:pPr>
      <w:keepNext/>
      <w:keepLines/>
      <w:pBdr>
        <w:top w:val="nil"/>
        <w:left w:val="nil"/>
        <w:bottom w:val="nil"/>
        <w:right w:val="nil"/>
        <w:between w:val="nil"/>
      </w:pBdr>
      <w:spacing w:before="360" w:after="80"/>
      <w:ind w:firstLine="540"/>
    </w:pPr>
    <w:rPr>
      <w:rFonts w:ascii="Georgia" w:eastAsia="Georgia" w:hAnsi="Georgia" w:cs="Georgia"/>
      <w:i/>
      <w:color w:val="666666"/>
      <w:kern w:val="0"/>
      <w:sz w:val="48"/>
      <w:szCs w:val="48"/>
      <w:lang w:val="ro-RO" w:eastAsia="en-GB"/>
    </w:rPr>
  </w:style>
  <w:style w:type="character" w:customStyle="1" w:styleId="SubtitleChar">
    <w:name w:val="Subtitle Char"/>
    <w:basedOn w:val="DefaultParagraphFont"/>
    <w:link w:val="Subtitle"/>
    <w:rsid w:val="00670FD4"/>
    <w:rPr>
      <w:rFonts w:ascii="Georgia" w:eastAsia="Georgia" w:hAnsi="Georgia" w:cs="Georgia"/>
      <w:i/>
      <w:color w:val="666666"/>
      <w:kern w:val="0"/>
      <w:sz w:val="48"/>
      <w:szCs w:val="48"/>
      <w:lang w:val="ro-RO" w:eastAsia="en-GB"/>
      <w14:ligatures w14:val="none"/>
    </w:rPr>
  </w:style>
  <w:style w:type="paragraph" w:styleId="CommentText">
    <w:name w:val="annotation text"/>
    <w:basedOn w:val="Normal"/>
    <w:link w:val="CommentTextChar"/>
    <w:uiPriority w:val="99"/>
    <w:unhideWhenUsed/>
    <w:rsid w:val="00670FD4"/>
    <w:pPr>
      <w:spacing w:after="200" w:line="240" w:lineRule="auto"/>
      <w:ind w:firstLine="540"/>
    </w:pPr>
    <w:rPr>
      <w:rFonts w:eastAsia="Times New Roman" w:cs="Times New Roman"/>
      <w:kern w:val="0"/>
      <w:sz w:val="20"/>
      <w:szCs w:val="20"/>
      <w:lang w:val="ro-RO" w:eastAsia="en-GB"/>
    </w:rPr>
  </w:style>
  <w:style w:type="character" w:customStyle="1" w:styleId="CommentTextChar">
    <w:name w:val="Comment Text Char"/>
    <w:basedOn w:val="DefaultParagraphFont"/>
    <w:link w:val="CommentText"/>
    <w:uiPriority w:val="99"/>
    <w:rsid w:val="00670FD4"/>
    <w:rPr>
      <w:rFonts w:ascii="Times New Roman" w:eastAsia="Times New Roman" w:hAnsi="Times New Roman" w:cs="Times New Roman"/>
      <w:kern w:val="0"/>
      <w:sz w:val="20"/>
      <w:szCs w:val="20"/>
      <w:lang w:val="ro-RO" w:eastAsia="en-GB"/>
      <w14:ligatures w14:val="none"/>
    </w:rPr>
  </w:style>
  <w:style w:type="character" w:styleId="CommentReference">
    <w:name w:val="annotation reference"/>
    <w:uiPriority w:val="99"/>
    <w:semiHidden/>
    <w:unhideWhenUsed/>
    <w:rsid w:val="00670FD4"/>
    <w:rPr>
      <w:sz w:val="16"/>
      <w:szCs w:val="16"/>
    </w:rPr>
  </w:style>
  <w:style w:type="paragraph" w:styleId="CommentSubject">
    <w:name w:val="annotation subject"/>
    <w:basedOn w:val="CommentText"/>
    <w:next w:val="CommentText"/>
    <w:link w:val="CommentSubjectChar"/>
    <w:uiPriority w:val="99"/>
    <w:semiHidden/>
    <w:unhideWhenUsed/>
    <w:rsid w:val="00670FD4"/>
    <w:rPr>
      <w:b/>
      <w:bCs/>
    </w:rPr>
  </w:style>
  <w:style w:type="character" w:customStyle="1" w:styleId="CommentSubjectChar">
    <w:name w:val="Comment Subject Char"/>
    <w:basedOn w:val="CommentTextChar"/>
    <w:link w:val="CommentSubject"/>
    <w:uiPriority w:val="99"/>
    <w:semiHidden/>
    <w:rsid w:val="00670FD4"/>
    <w:rPr>
      <w:rFonts w:ascii="Times New Roman" w:eastAsia="Times New Roman" w:hAnsi="Times New Roman" w:cs="Times New Roman"/>
      <w:b/>
      <w:bCs/>
      <w:kern w:val="0"/>
      <w:sz w:val="20"/>
      <w:szCs w:val="20"/>
      <w:lang w:val="ro-RO" w:eastAsia="en-GB"/>
      <w14:ligatures w14:val="none"/>
    </w:rPr>
  </w:style>
  <w:style w:type="paragraph" w:styleId="NormalWeb">
    <w:name w:val="Normal (Web)"/>
    <w:basedOn w:val="Normal"/>
    <w:uiPriority w:val="99"/>
    <w:unhideWhenUsed/>
    <w:rsid w:val="00670FD4"/>
    <w:pPr>
      <w:spacing w:before="100" w:beforeAutospacing="1" w:after="100" w:afterAutospacing="1" w:line="240" w:lineRule="auto"/>
    </w:pPr>
    <w:rPr>
      <w:rFonts w:eastAsia="Times New Roman" w:cs="Times New Roman"/>
      <w:kern w:val="0"/>
      <w:lang w:eastAsia="en-GB"/>
    </w:rPr>
  </w:style>
  <w:style w:type="character" w:styleId="Hyperlink">
    <w:name w:val="Hyperlink"/>
    <w:uiPriority w:val="99"/>
    <w:unhideWhenUsed/>
    <w:rsid w:val="00670FD4"/>
    <w:rPr>
      <w:color w:val="0000FF"/>
      <w:u w:val="single"/>
    </w:rPr>
  </w:style>
  <w:style w:type="paragraph" w:customStyle="1" w:styleId="msonormal0">
    <w:name w:val="msonormal"/>
    <w:basedOn w:val="Normal"/>
    <w:rsid w:val="00670FD4"/>
    <w:pPr>
      <w:spacing w:before="100" w:beforeAutospacing="1" w:after="100" w:afterAutospacing="1" w:line="240" w:lineRule="auto"/>
    </w:pPr>
    <w:rPr>
      <w:rFonts w:eastAsia="Times New Roman" w:cs="Times New Roman"/>
      <w:kern w:val="0"/>
      <w:lang w:eastAsia="en-GB"/>
    </w:rPr>
  </w:style>
  <w:style w:type="character" w:styleId="FollowedHyperlink">
    <w:name w:val="FollowedHyperlink"/>
    <w:uiPriority w:val="99"/>
    <w:semiHidden/>
    <w:unhideWhenUsed/>
    <w:rsid w:val="00670FD4"/>
    <w:rPr>
      <w:color w:val="800080"/>
      <w:u w:val="single"/>
    </w:rPr>
  </w:style>
  <w:style w:type="character" w:customStyle="1" w:styleId="apple-tab-span">
    <w:name w:val="apple-tab-span"/>
    <w:basedOn w:val="DefaultParagraphFont"/>
    <w:rsid w:val="00670FD4"/>
  </w:style>
  <w:style w:type="paragraph" w:styleId="TOC2">
    <w:name w:val="toc 2"/>
    <w:basedOn w:val="Normal"/>
    <w:next w:val="Normal"/>
    <w:autoRedefine/>
    <w:uiPriority w:val="39"/>
    <w:unhideWhenUsed/>
    <w:rsid w:val="00670FD4"/>
    <w:pPr>
      <w:tabs>
        <w:tab w:val="right" w:leader="dot" w:pos="9016"/>
      </w:tabs>
      <w:spacing w:after="0"/>
      <w:ind w:left="142" w:firstLine="0"/>
    </w:pPr>
  </w:style>
  <w:style w:type="paragraph" w:styleId="TOC1">
    <w:name w:val="toc 1"/>
    <w:basedOn w:val="Normal"/>
    <w:next w:val="Normal"/>
    <w:autoRedefine/>
    <w:uiPriority w:val="39"/>
    <w:unhideWhenUsed/>
    <w:rsid w:val="00670FD4"/>
    <w:pPr>
      <w:tabs>
        <w:tab w:val="right" w:leader="dot" w:pos="9016"/>
      </w:tabs>
      <w:spacing w:after="100"/>
      <w:ind w:firstLine="0"/>
    </w:pPr>
  </w:style>
  <w:style w:type="paragraph" w:styleId="TOC3">
    <w:name w:val="toc 3"/>
    <w:basedOn w:val="Normal"/>
    <w:next w:val="Normal"/>
    <w:autoRedefine/>
    <w:uiPriority w:val="39"/>
    <w:unhideWhenUsed/>
    <w:rsid w:val="00670FD4"/>
    <w:pPr>
      <w:tabs>
        <w:tab w:val="right" w:leader="dot" w:pos="9016"/>
      </w:tabs>
      <w:spacing w:after="0"/>
      <w:ind w:left="480" w:firstLine="87"/>
    </w:pPr>
  </w:style>
  <w:style w:type="paragraph" w:styleId="ListParagraph">
    <w:name w:val="List Paragraph"/>
    <w:aliases w:val="body 2,Normal bullet 2,List Paragraph1,Forth level,Lettre d'introduction,Header bold,bullets,Arial,List Paragraph111111,List Paragraph11,List Paragraph111,List Paragraph1111,List Paragraph11111,List Paragraph1111111,List1,List_Paragraph"/>
    <w:basedOn w:val="Normal"/>
    <w:link w:val="ListParagraphChar"/>
    <w:uiPriority w:val="34"/>
    <w:qFormat/>
    <w:rsid w:val="00670FD4"/>
    <w:pPr>
      <w:ind w:left="720"/>
      <w:contextualSpacing/>
    </w:pPr>
  </w:style>
  <w:style w:type="character" w:customStyle="1" w:styleId="UnresolvedMention1">
    <w:name w:val="Unresolved Mention1"/>
    <w:uiPriority w:val="99"/>
    <w:semiHidden/>
    <w:unhideWhenUsed/>
    <w:rsid w:val="00670FD4"/>
    <w:rPr>
      <w:color w:val="605E5C"/>
      <w:shd w:val="clear" w:color="auto" w:fill="E1DFDD"/>
    </w:rPr>
  </w:style>
  <w:style w:type="paragraph" w:styleId="Header">
    <w:name w:val="header"/>
    <w:basedOn w:val="Normal"/>
    <w:link w:val="HeaderChar"/>
    <w:uiPriority w:val="99"/>
    <w:unhideWhenUsed/>
    <w:rsid w:val="00670FD4"/>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670FD4"/>
    <w:rPr>
      <w:rFonts w:ascii="Times New Roman" w:eastAsia="Calibri" w:hAnsi="Times New Roman" w:cs="Arial"/>
      <w:sz w:val="24"/>
      <w:szCs w:val="24"/>
      <w:lang w:val="en-GB"/>
      <w14:ligatures w14:val="none"/>
    </w:rPr>
  </w:style>
  <w:style w:type="paragraph" w:styleId="Footer">
    <w:name w:val="footer"/>
    <w:basedOn w:val="Normal"/>
    <w:link w:val="FooterChar"/>
    <w:uiPriority w:val="99"/>
    <w:unhideWhenUsed/>
    <w:rsid w:val="00670FD4"/>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670FD4"/>
    <w:rPr>
      <w:rFonts w:ascii="Times New Roman" w:eastAsia="Calibri" w:hAnsi="Times New Roman" w:cs="Arial"/>
      <w:sz w:val="24"/>
      <w:szCs w:val="24"/>
      <w:lang w:val="en-GB"/>
      <w14:ligatures w14:val="none"/>
    </w:rPr>
  </w:style>
  <w:style w:type="table" w:styleId="GridTable1Light">
    <w:name w:val="Grid Table 1 Light"/>
    <w:basedOn w:val="TableNormal"/>
    <w:uiPriority w:val="46"/>
    <w:rsid w:val="00670FD4"/>
    <w:pPr>
      <w:spacing w:after="0" w:line="240" w:lineRule="auto"/>
    </w:pPr>
    <w:rPr>
      <w:rFonts w:ascii="Times New Roman" w:eastAsia="Calibri" w:hAnsi="Times New Roman" w:cs="Arial"/>
      <w:kern w:val="0"/>
      <w:sz w:val="20"/>
      <w:szCs w:val="20"/>
      <w:lang w:val="ro-RO" w:eastAsia="ro-RO"/>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NoList2">
    <w:name w:val="No List2"/>
    <w:next w:val="NoList"/>
    <w:uiPriority w:val="99"/>
    <w:semiHidden/>
    <w:unhideWhenUsed/>
    <w:rsid w:val="00670FD4"/>
  </w:style>
  <w:style w:type="table" w:styleId="TableGrid">
    <w:name w:val="Table Grid"/>
    <w:basedOn w:val="TableNormal"/>
    <w:uiPriority w:val="39"/>
    <w:rsid w:val="00670FD4"/>
    <w:pPr>
      <w:spacing w:after="0" w:line="240" w:lineRule="auto"/>
    </w:pPr>
    <w:rPr>
      <w:rFonts w:ascii="Times New Roman" w:eastAsia="Calibri" w:hAnsi="Times New Roman" w:cs="Arial"/>
      <w:kern w:val="0"/>
      <w:sz w:val="20"/>
      <w:szCs w:val="20"/>
      <w:lang w:val="ro-RO" w:eastAsia="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670FD4"/>
    <w:pPr>
      <w:spacing w:after="0" w:line="240" w:lineRule="auto"/>
      <w:ind w:firstLine="539"/>
      <w:jc w:val="both"/>
    </w:pPr>
    <w:rPr>
      <w:rFonts w:ascii="Times New Roman" w:eastAsia="Calibri" w:hAnsi="Times New Roman" w:cs="Arial"/>
      <w:sz w:val="24"/>
      <w:szCs w:val="24"/>
      <w:lang w:val="en-GB"/>
      <w14:ligatures w14:val="none"/>
    </w:rPr>
  </w:style>
  <w:style w:type="paragraph" w:styleId="Caption">
    <w:name w:val="caption"/>
    <w:basedOn w:val="Normal"/>
    <w:next w:val="Normal"/>
    <w:uiPriority w:val="35"/>
    <w:unhideWhenUsed/>
    <w:qFormat/>
    <w:rsid w:val="00670FD4"/>
    <w:pPr>
      <w:spacing w:before="0" w:after="200" w:line="240" w:lineRule="auto"/>
    </w:pPr>
    <w:rPr>
      <w:i/>
      <w:iCs/>
      <w:color w:val="44546A"/>
      <w:sz w:val="18"/>
      <w:szCs w:val="18"/>
    </w:rPr>
  </w:style>
  <w:style w:type="paragraph" w:styleId="TableofFigures">
    <w:name w:val="table of figures"/>
    <w:basedOn w:val="Normal"/>
    <w:next w:val="Normal"/>
    <w:uiPriority w:val="99"/>
    <w:semiHidden/>
    <w:unhideWhenUsed/>
    <w:rsid w:val="00670FD4"/>
    <w:pPr>
      <w:spacing w:after="0"/>
    </w:pPr>
  </w:style>
  <w:style w:type="paragraph" w:customStyle="1" w:styleId="Default">
    <w:name w:val="Default"/>
    <w:rsid w:val="00670FD4"/>
    <w:pPr>
      <w:autoSpaceDE w:val="0"/>
      <w:autoSpaceDN w:val="0"/>
      <w:adjustRightInd w:val="0"/>
      <w:spacing w:after="0" w:line="240" w:lineRule="auto"/>
    </w:pPr>
    <w:rPr>
      <w:rFonts w:ascii="Times New Roman" w:eastAsia="Calibri" w:hAnsi="Times New Roman" w:cs="Times New Roman"/>
      <w:color w:val="000000"/>
      <w:kern w:val="0"/>
      <w:sz w:val="24"/>
      <w:szCs w:val="24"/>
      <w:lang w:val="en-GB"/>
      <w14:ligatures w14:val="none"/>
    </w:rPr>
  </w:style>
  <w:style w:type="character" w:customStyle="1" w:styleId="NoSpacingChar">
    <w:name w:val="No Spacing Char"/>
    <w:basedOn w:val="DefaultParagraphFont"/>
    <w:link w:val="NoSpacing"/>
    <w:uiPriority w:val="1"/>
    <w:rsid w:val="00670FD4"/>
    <w:rPr>
      <w:rFonts w:ascii="Times New Roman" w:eastAsia="Calibri" w:hAnsi="Times New Roman" w:cs="Arial"/>
      <w:sz w:val="24"/>
      <w:szCs w:val="24"/>
      <w:lang w:val="en-GB"/>
      <w14:ligatures w14:val="none"/>
    </w:rPr>
  </w:style>
  <w:style w:type="paragraph" w:styleId="BalloonText">
    <w:name w:val="Balloon Text"/>
    <w:basedOn w:val="Normal"/>
    <w:link w:val="BalloonTextChar"/>
    <w:uiPriority w:val="99"/>
    <w:semiHidden/>
    <w:unhideWhenUsed/>
    <w:rsid w:val="00670FD4"/>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70FD4"/>
    <w:rPr>
      <w:rFonts w:ascii="Segoe UI" w:eastAsia="Calibri" w:hAnsi="Segoe UI" w:cs="Segoe UI"/>
      <w:sz w:val="18"/>
      <w:szCs w:val="18"/>
      <w:lang w:val="en-GB"/>
      <w14:ligatures w14:val="none"/>
    </w:rPr>
  </w:style>
  <w:style w:type="paragraph" w:styleId="Revision">
    <w:name w:val="Revision"/>
    <w:hidden/>
    <w:uiPriority w:val="99"/>
    <w:semiHidden/>
    <w:rsid w:val="00670FD4"/>
    <w:pPr>
      <w:spacing w:after="0" w:line="240" w:lineRule="auto"/>
    </w:pPr>
    <w:rPr>
      <w:rFonts w:ascii="Times New Roman" w:eastAsia="Calibri" w:hAnsi="Times New Roman" w:cs="Arial"/>
      <w:sz w:val="24"/>
      <w:szCs w:val="24"/>
      <w:lang w:val="en-GB"/>
      <w14:ligatures w14:val="none"/>
    </w:rPr>
  </w:style>
  <w:style w:type="table" w:customStyle="1" w:styleId="3">
    <w:name w:val="3"/>
    <w:basedOn w:val="TableNormal"/>
    <w:rsid w:val="00670FD4"/>
    <w:pPr>
      <w:spacing w:after="0" w:line="276" w:lineRule="auto"/>
    </w:pPr>
    <w:rPr>
      <w:rFonts w:ascii="Arial" w:eastAsia="Arial" w:hAnsi="Arial" w:cs="Arial"/>
      <w:kern w:val="0"/>
      <w:lang w:val="en"/>
      <w14:ligatures w14:val="none"/>
    </w:rPr>
    <w:tblPr>
      <w:tblStyleRowBandSize w:val="1"/>
      <w:tblStyleColBandSize w:val="1"/>
      <w:tblCellMar>
        <w:top w:w="100" w:type="dxa"/>
        <w:left w:w="100" w:type="dxa"/>
        <w:bottom w:w="100" w:type="dxa"/>
        <w:right w:w="100" w:type="dxa"/>
      </w:tblCellMar>
    </w:tblPr>
    <w:tcPr>
      <w:shd w:val="clear" w:color="auto" w:fill="FFFFFF"/>
    </w:tcPr>
  </w:style>
  <w:style w:type="table" w:customStyle="1" w:styleId="2">
    <w:name w:val="2"/>
    <w:basedOn w:val="TableNormal"/>
    <w:rsid w:val="00670FD4"/>
    <w:pPr>
      <w:spacing w:after="0" w:line="276" w:lineRule="auto"/>
    </w:pPr>
    <w:rPr>
      <w:rFonts w:ascii="Arial" w:eastAsia="Arial" w:hAnsi="Arial" w:cs="Arial"/>
      <w:kern w:val="0"/>
      <w:lang w:val="en"/>
      <w14:ligatures w14:val="none"/>
    </w:rPr>
    <w:tblPr>
      <w:tblStyleRowBandSize w:val="1"/>
      <w:tblStyleColBandSize w:val="1"/>
      <w:tblCellMar>
        <w:top w:w="100" w:type="dxa"/>
        <w:left w:w="100" w:type="dxa"/>
        <w:bottom w:w="100" w:type="dxa"/>
        <w:right w:w="100" w:type="dxa"/>
      </w:tblCellMar>
    </w:tblPr>
  </w:style>
  <w:style w:type="table" w:customStyle="1" w:styleId="1">
    <w:name w:val="1"/>
    <w:basedOn w:val="TableNormal"/>
    <w:rsid w:val="00670FD4"/>
    <w:pPr>
      <w:spacing w:after="0" w:line="276" w:lineRule="auto"/>
    </w:pPr>
    <w:rPr>
      <w:rFonts w:ascii="Arial" w:eastAsia="Arial" w:hAnsi="Arial" w:cs="Arial"/>
      <w:kern w:val="0"/>
      <w:lang w:val="en"/>
      <w14:ligatures w14:val="none"/>
    </w:rPr>
    <w:tblPr>
      <w:tblStyleRowBandSize w:val="1"/>
      <w:tblStyleColBandSize w:val="1"/>
      <w:tblCellMar>
        <w:top w:w="100" w:type="dxa"/>
        <w:left w:w="100" w:type="dxa"/>
        <w:bottom w:w="100" w:type="dxa"/>
        <w:right w:w="100" w:type="dxa"/>
      </w:tblCellMar>
    </w:tblPr>
  </w:style>
  <w:style w:type="paragraph" w:customStyle="1" w:styleId="JBA-ReportText">
    <w:name w:val="JBA - Report Text"/>
    <w:basedOn w:val="Normal"/>
    <w:rsid w:val="00670FD4"/>
    <w:pPr>
      <w:spacing w:before="0" w:after="80" w:line="240" w:lineRule="auto"/>
      <w:ind w:left="720" w:right="720" w:firstLine="0"/>
      <w:jc w:val="left"/>
    </w:pPr>
    <w:rPr>
      <w:rFonts w:ascii="Verdana" w:hAnsi="Verdana" w:cs="Times New Roman"/>
      <w:kern w:val="0"/>
      <w:sz w:val="21"/>
      <w:szCs w:val="20"/>
      <w:lang w:eastAsia="en-GB"/>
    </w:rPr>
  </w:style>
  <w:style w:type="paragraph" w:styleId="FootnoteText">
    <w:name w:val="footnote text"/>
    <w:aliases w:val="Fußnote,Footnote Text Char Char,single space,footnote text,FOOTNOTES,fn,stile 1,Footnote,Footnote1,Footnote2,Footnote3,Footnote4,Footnote5,Footnote6,Footnote7,Footnote8,Footnote9,Footnote10,Footnote11,Footnote21,fn Char,WB-Fußnotentext,ADB"/>
    <w:basedOn w:val="Normal"/>
    <w:link w:val="FootnoteTextChar"/>
    <w:uiPriority w:val="99"/>
    <w:qFormat/>
    <w:rsid w:val="00670FD4"/>
    <w:pPr>
      <w:keepNext/>
      <w:spacing w:before="0" w:after="0" w:line="240" w:lineRule="auto"/>
      <w:ind w:firstLine="0"/>
      <w:jc w:val="left"/>
    </w:pPr>
    <w:rPr>
      <w:rFonts w:ascii="Verdana" w:hAnsi="Verdana" w:cs="Times New Roman"/>
      <w:kern w:val="0"/>
      <w:sz w:val="18"/>
      <w:szCs w:val="20"/>
      <w:lang w:eastAsia="en-GB"/>
    </w:rPr>
  </w:style>
  <w:style w:type="character" w:customStyle="1" w:styleId="FootnoteTextChar">
    <w:name w:val="Footnote Text Char"/>
    <w:aliases w:val="Fußnote Char,Footnote Text Char Char Char,single space Char,footnote text Char,FOOTNOTES Char,fn Char1,stile 1 Char,Footnote Char,Footnote1 Char,Footnote2 Char,Footnote3 Char,Footnote4 Char,Footnote5 Char,Footnote6 Char,Footnote7 Char"/>
    <w:basedOn w:val="DefaultParagraphFont"/>
    <w:link w:val="FootnoteText"/>
    <w:uiPriority w:val="99"/>
    <w:qFormat/>
    <w:rsid w:val="00670FD4"/>
    <w:rPr>
      <w:rFonts w:ascii="Verdana" w:eastAsia="Calibri" w:hAnsi="Verdana" w:cs="Times New Roman"/>
      <w:kern w:val="0"/>
      <w:sz w:val="18"/>
      <w:szCs w:val="20"/>
      <w:lang w:val="en-GB" w:eastAsia="en-GB"/>
      <w14:ligatures w14:val="none"/>
    </w:rPr>
  </w:style>
  <w:style w:type="character" w:styleId="FootnoteReference">
    <w:name w:val="footnote reference"/>
    <w:aliases w:val="ftref,Знак сноски-FN,16 Point,Superscript 6 Point,Footnote Reference Superscript,Footnote symbol,Footnote Reference Number,BVI fnr,footnote ref,Footnote Reference_LVL6,Footnote Reference_LVL61,Footnote Reference_LVL62,Ref,fr"/>
    <w:link w:val="ftrefCaracterCaracterCaracter"/>
    <w:uiPriority w:val="99"/>
    <w:qFormat/>
    <w:rsid w:val="00670FD4"/>
    <w:rPr>
      <w:vertAlign w:val="superscript"/>
    </w:rPr>
  </w:style>
  <w:style w:type="character" w:customStyle="1" w:styleId="ListParagraphChar">
    <w:name w:val="List Paragraph Char"/>
    <w:aliases w:val="body 2 Char,Normal bullet 2 Char,List Paragraph1 Char,Forth level Char,Lettre d'introduction Char,Header bold Char,bullets Char,Arial Char,List Paragraph111111 Char,List Paragraph11 Char,List Paragraph111 Char,List Paragraph1111 Char"/>
    <w:link w:val="ListParagraph"/>
    <w:uiPriority w:val="34"/>
    <w:qFormat/>
    <w:rsid w:val="00670FD4"/>
    <w:rPr>
      <w:rFonts w:ascii="Times New Roman" w:eastAsia="Calibri" w:hAnsi="Times New Roman" w:cs="Arial"/>
      <w:sz w:val="24"/>
      <w:szCs w:val="24"/>
      <w:lang w:val="en-GB"/>
      <w14:ligatures w14:val="none"/>
    </w:rPr>
  </w:style>
  <w:style w:type="paragraph" w:customStyle="1" w:styleId="ftrefCaracterCaracterCaracter">
    <w:name w:val="ftref Caracter Caracter Caracter"/>
    <w:aliases w:val="Footnotes refss Caracter Caracter Caracter,Fussnota Caracter Caracter Caracter,Footnote symbol Caracter Caracter Caracter,Footnote reference number Caracter Caracter Caracter"/>
    <w:basedOn w:val="Normal"/>
    <w:link w:val="FootnoteReference"/>
    <w:uiPriority w:val="99"/>
    <w:rsid w:val="00670FD4"/>
    <w:pPr>
      <w:spacing w:line="240" w:lineRule="exact"/>
      <w:ind w:firstLine="0"/>
    </w:pPr>
    <w:rPr>
      <w:rFonts w:asciiTheme="minorHAnsi" w:eastAsiaTheme="minorHAnsi" w:hAnsiTheme="minorHAnsi" w:cstheme="minorBidi"/>
      <w:sz w:val="22"/>
      <w:szCs w:val="22"/>
      <w:vertAlign w:val="superscript"/>
      <w:lang w:val="en-US"/>
      <w14:ligatures w14:val="standardContextual"/>
    </w:rPr>
  </w:style>
  <w:style w:type="paragraph" w:styleId="EndnoteText">
    <w:name w:val="endnote text"/>
    <w:basedOn w:val="Normal"/>
    <w:link w:val="EndnoteTextChar"/>
    <w:uiPriority w:val="99"/>
    <w:semiHidden/>
    <w:unhideWhenUsed/>
    <w:rsid w:val="00670FD4"/>
    <w:pPr>
      <w:spacing w:before="0" w:after="0" w:line="240" w:lineRule="auto"/>
      <w:ind w:firstLine="0"/>
      <w:jc w:val="left"/>
    </w:pPr>
    <w:rPr>
      <w:rFonts w:ascii="Arial" w:eastAsia="Arial" w:hAnsi="Arial"/>
      <w:kern w:val="0"/>
      <w:sz w:val="20"/>
      <w:szCs w:val="20"/>
      <w:lang w:val="en"/>
    </w:rPr>
  </w:style>
  <w:style w:type="character" w:customStyle="1" w:styleId="EndnoteTextChar">
    <w:name w:val="Endnote Text Char"/>
    <w:basedOn w:val="DefaultParagraphFont"/>
    <w:link w:val="EndnoteText"/>
    <w:uiPriority w:val="99"/>
    <w:semiHidden/>
    <w:rsid w:val="00670FD4"/>
    <w:rPr>
      <w:rFonts w:ascii="Arial" w:eastAsia="Arial" w:hAnsi="Arial" w:cs="Arial"/>
      <w:kern w:val="0"/>
      <w:sz w:val="20"/>
      <w:szCs w:val="20"/>
      <w:lang w:val="en"/>
      <w14:ligatures w14:val="none"/>
    </w:rPr>
  </w:style>
  <w:style w:type="character" w:styleId="EndnoteReference">
    <w:name w:val="endnote reference"/>
    <w:uiPriority w:val="99"/>
    <w:semiHidden/>
    <w:unhideWhenUsed/>
    <w:rsid w:val="00670FD4"/>
    <w:rPr>
      <w:vertAlign w:val="superscript"/>
    </w:rPr>
  </w:style>
  <w:style w:type="character" w:customStyle="1" w:styleId="UnresolvedMention2">
    <w:name w:val="Unresolved Mention2"/>
    <w:uiPriority w:val="99"/>
    <w:semiHidden/>
    <w:unhideWhenUsed/>
    <w:rsid w:val="00670FD4"/>
    <w:rPr>
      <w:color w:val="605E5C"/>
      <w:shd w:val="clear" w:color="auto" w:fill="E1DFDD"/>
    </w:rPr>
  </w:style>
  <w:style w:type="numbering" w:customStyle="1" w:styleId="NoList3">
    <w:name w:val="No List3"/>
    <w:next w:val="NoList"/>
    <w:uiPriority w:val="99"/>
    <w:semiHidden/>
    <w:unhideWhenUsed/>
    <w:rsid w:val="00670FD4"/>
  </w:style>
  <w:style w:type="table" w:customStyle="1" w:styleId="TableGrid1">
    <w:name w:val="Table Grid1"/>
    <w:basedOn w:val="TableNormal"/>
    <w:next w:val="TableGrid"/>
    <w:uiPriority w:val="39"/>
    <w:rsid w:val="00670FD4"/>
    <w:pPr>
      <w:spacing w:after="0" w:line="240" w:lineRule="auto"/>
    </w:pPr>
    <w:rPr>
      <w:rFonts w:ascii="Arial" w:eastAsia="Arial" w:hAnsi="Arial" w:cs="Arial"/>
      <w:kern w:val="0"/>
      <w:lang w:val="e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670FD4"/>
    <w:pPr>
      <w:spacing w:after="100"/>
      <w:ind w:left="720"/>
    </w:pPr>
  </w:style>
  <w:style w:type="table" w:customStyle="1" w:styleId="6">
    <w:name w:val="6"/>
    <w:basedOn w:val="TableNormal"/>
    <w:rsid w:val="00670FD4"/>
    <w:pPr>
      <w:spacing w:line="256" w:lineRule="auto"/>
    </w:pPr>
    <w:rPr>
      <w:rFonts w:ascii="Calibri" w:eastAsia="Calibri" w:hAnsi="Calibri" w:cs="Calibri"/>
      <w:kern w:val="0"/>
      <w:lang w:val="ro-RO" w:eastAsia="ro-RO"/>
      <w14:ligatures w14:val="none"/>
    </w:rPr>
    <w:tblPr>
      <w:tblStyleRowBandSize w:val="1"/>
      <w:tblStyleColBandSize w:val="1"/>
      <w:tblCellMar>
        <w:top w:w="15" w:type="dxa"/>
        <w:left w:w="15" w:type="dxa"/>
        <w:bottom w:w="15" w:type="dxa"/>
        <w:right w:w="15" w:type="dxa"/>
      </w:tblCellMar>
    </w:tblPr>
  </w:style>
  <w:style w:type="table" w:customStyle="1" w:styleId="5">
    <w:name w:val="5"/>
    <w:basedOn w:val="TableNormal"/>
    <w:rsid w:val="00670FD4"/>
    <w:pPr>
      <w:spacing w:line="256" w:lineRule="auto"/>
    </w:pPr>
    <w:rPr>
      <w:rFonts w:ascii="Calibri" w:eastAsia="Calibri" w:hAnsi="Calibri" w:cs="Calibri"/>
      <w:kern w:val="0"/>
      <w:lang w:val="ro-RO" w:eastAsia="ro-RO"/>
      <w14:ligatures w14:val="none"/>
    </w:rPr>
    <w:tblPr>
      <w:tblStyleRowBandSize w:val="1"/>
      <w:tblStyleColBandSize w:val="1"/>
      <w:tblCellMar>
        <w:top w:w="15" w:type="dxa"/>
        <w:left w:w="15" w:type="dxa"/>
        <w:bottom w:w="15" w:type="dxa"/>
        <w:right w:w="15" w:type="dxa"/>
      </w:tblCellMar>
    </w:tblPr>
  </w:style>
  <w:style w:type="table" w:customStyle="1" w:styleId="4">
    <w:name w:val="4"/>
    <w:basedOn w:val="TableNormal"/>
    <w:rsid w:val="00670FD4"/>
    <w:pPr>
      <w:spacing w:line="256" w:lineRule="auto"/>
    </w:pPr>
    <w:rPr>
      <w:rFonts w:ascii="Calibri" w:eastAsia="Calibri" w:hAnsi="Calibri" w:cs="Calibri"/>
      <w:kern w:val="0"/>
      <w:lang w:val="ro-RO" w:eastAsia="ro-RO"/>
      <w14:ligatures w14:val="none"/>
    </w:rPr>
    <w:tblPr>
      <w:tblStyleRowBandSize w:val="1"/>
      <w:tblStyleColBandSize w:val="1"/>
      <w:tblCellMar>
        <w:top w:w="15" w:type="dxa"/>
        <w:left w:w="15" w:type="dxa"/>
        <w:bottom w:w="15" w:type="dxa"/>
        <w:right w:w="15" w:type="dxa"/>
      </w:tblCellMar>
    </w:tblPr>
  </w:style>
  <w:style w:type="character" w:customStyle="1" w:styleId="FootnoteTextChar1">
    <w:name w:val="Footnote Text Char1"/>
    <w:aliases w:val="Fußnote Char1,Footnote Text Char Char Char1,single space Char1,footnote text Char1,FOOTNOTES Char1,fn Char2,stile 1 Char1,Footnote Char1,Footnote1 Char1,Footnote2 Char1,Footnote3 Char1,Footnote4 Char1,Footnote5 Char1,Footnote6 Char1"/>
    <w:basedOn w:val="DefaultParagraphFont"/>
    <w:uiPriority w:val="99"/>
    <w:semiHidden/>
    <w:rsid w:val="00670FD4"/>
    <w:rPr>
      <w:sz w:val="20"/>
      <w:szCs w:val="20"/>
    </w:rPr>
  </w:style>
  <w:style w:type="character" w:customStyle="1" w:styleId="spct">
    <w:name w:val="s_pct"/>
    <w:basedOn w:val="DefaultParagraphFont"/>
    <w:rsid w:val="00670FD4"/>
  </w:style>
  <w:style w:type="character" w:customStyle="1" w:styleId="spctttl">
    <w:name w:val="s_pct_ttl"/>
    <w:basedOn w:val="DefaultParagraphFont"/>
    <w:rsid w:val="00670FD4"/>
  </w:style>
  <w:style w:type="character" w:customStyle="1" w:styleId="spctbdy">
    <w:name w:val="s_pct_bdy"/>
    <w:basedOn w:val="DefaultParagraphFont"/>
    <w:rsid w:val="00670FD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3.png"/><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image" Target="media/image35.png"/><Relationship Id="rId68" Type="http://schemas.openxmlformats.org/officeDocument/2006/relationships/header" Target="header1.xml"/><Relationship Id="rId84" Type="http://schemas.openxmlformats.org/officeDocument/2006/relationships/header" Target="header11.xml"/><Relationship Id="rId16" Type="http://schemas.openxmlformats.org/officeDocument/2006/relationships/hyperlink" Target="https://www.mdlpa.ro/pages/anghelsaligny" TargetMode="External"/><Relationship Id="rId11" Type="http://schemas.openxmlformats.org/officeDocument/2006/relationships/hyperlink" Target="https://eur-lex.europa.eu/legal-content/RO/AUTO/?uri=celex:22005A0517%2801%29" TargetMode="External"/><Relationship Id="rId32" Type="http://schemas.openxmlformats.org/officeDocument/2006/relationships/image" Target="media/image14.png"/><Relationship Id="rId37" Type="http://schemas.openxmlformats.org/officeDocument/2006/relationships/hyperlink" Target="http://www.cultura.ro/sites/default/files/inline-files/LMI-TL.pdf" TargetMode="External"/><Relationship Id="rId53" Type="http://schemas.openxmlformats.org/officeDocument/2006/relationships/image" Target="media/image30.png"/><Relationship Id="rId58" Type="http://schemas.openxmlformats.org/officeDocument/2006/relationships/hyperlink" Target="https://tableau-public.discomap.eea.europa.eu/views/Agglomerations" TargetMode="External"/><Relationship Id="rId74" Type="http://schemas.openxmlformats.org/officeDocument/2006/relationships/header" Target="header6.xml"/><Relationship Id="rId79" Type="http://schemas.openxmlformats.org/officeDocument/2006/relationships/image" Target="media/image37.jpg"/><Relationship Id="rId5" Type="http://schemas.openxmlformats.org/officeDocument/2006/relationships/webSettings" Target="webSettings.xml"/><Relationship Id="rId19" Type="http://schemas.openxmlformats.org/officeDocument/2006/relationships/hyperlink" Target="https://environment.ec.europa.eu/strategy/biodiversity-strategy-2030_ro" TargetMode="External"/><Relationship Id="rId14" Type="http://schemas.openxmlformats.org/officeDocument/2006/relationships/image" Target="media/image1.jpeg"/><Relationship Id="rId22" Type="http://schemas.openxmlformats.org/officeDocument/2006/relationships/image" Target="media/image4.png"/><Relationship Id="rId27" Type="http://schemas.openxmlformats.org/officeDocument/2006/relationships/image" Target="media/image9.jpg"/><Relationship Id="rId30" Type="http://schemas.openxmlformats.org/officeDocument/2006/relationships/image" Target="media/image12.png"/><Relationship Id="rId35" Type="http://schemas.openxmlformats.org/officeDocument/2006/relationships/hyperlink" Target="https://www.namr.ro/wp-content/uploads/2023/03/permise_exploatare_14_03_2023.pdf" TargetMode="External"/><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hyperlink" Target="https://geoportal.ancpi.ro/portal/apps/webappviewer/index.html?id=faeba2d173374445b1f13512bd477bb2" TargetMode="External"/><Relationship Id="rId64" Type="http://schemas.openxmlformats.org/officeDocument/2006/relationships/image" Target="media/image36.png"/><Relationship Id="rId69" Type="http://schemas.openxmlformats.org/officeDocument/2006/relationships/header" Target="header2.xml"/><Relationship Id="rId77" Type="http://schemas.openxmlformats.org/officeDocument/2006/relationships/header" Target="header8.xml"/><Relationship Id="rId8" Type="http://schemas.openxmlformats.org/officeDocument/2006/relationships/hyperlink" Target="http://www.blacksea-commission.org" TargetMode="External"/><Relationship Id="rId51" Type="http://schemas.openxmlformats.org/officeDocument/2006/relationships/image" Target="media/image29.png"/><Relationship Id="rId72" Type="http://schemas.openxmlformats.org/officeDocument/2006/relationships/header" Target="header4.xml"/><Relationship Id="rId80" Type="http://schemas.openxmlformats.org/officeDocument/2006/relationships/image" Target="media/image38.png"/><Relationship Id="rId85"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https://agriculture.ec.europa.eu/sustainability/economic-sustainability_ro" TargetMode="External"/><Relationship Id="rId17" Type="http://schemas.openxmlformats.org/officeDocument/2006/relationships/hyperlink" Target="https://mfe.gov.ro/pnrr/" TargetMode="Externa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17.png"/><Relationship Id="rId46" Type="http://schemas.openxmlformats.org/officeDocument/2006/relationships/image" Target="media/image25.jpg"/><Relationship Id="rId59" Type="http://schemas.openxmlformats.org/officeDocument/2006/relationships/hyperlink" Target="https://tableaupublic.discomap.eea.europa.eu/views/Agglomerations" TargetMode="External"/><Relationship Id="rId67" Type="http://schemas.openxmlformats.org/officeDocument/2006/relationships/hyperlink" Target="https://www.minac.ro/" TargetMode="External"/><Relationship Id="rId20" Type="http://schemas.openxmlformats.org/officeDocument/2006/relationships/image" Target="media/image2.png"/><Relationship Id="rId41" Type="http://schemas.openxmlformats.org/officeDocument/2006/relationships/image" Target="media/image20.png"/><Relationship Id="rId54" Type="http://schemas.openxmlformats.org/officeDocument/2006/relationships/hyperlink" Target="http://www.afdj.ro" TargetMode="External"/><Relationship Id="rId62" Type="http://schemas.openxmlformats.org/officeDocument/2006/relationships/image" Target="media/image34.png"/><Relationship Id="rId70" Type="http://schemas.openxmlformats.org/officeDocument/2006/relationships/footer" Target="footer1.xml"/><Relationship Id="rId75" Type="http://schemas.openxmlformats.org/officeDocument/2006/relationships/hyperlink" Target="http://www.statistici.insse.ro" TargetMode="External"/><Relationship Id="rId83" Type="http://schemas.openxmlformats.org/officeDocument/2006/relationships/header" Target="header10.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portofconstantza.com/pn/page/np_prezentare_port" TargetMode="Externa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hyperlink" Target="http://www.cultura.ro/sites/default/files/inline-files/LMI-CT.pdf" TargetMode="External"/><Relationship Id="rId49" Type="http://schemas.openxmlformats.org/officeDocument/2006/relationships/image" Target="media/image28.png"/><Relationship Id="rId57" Type="http://schemas.openxmlformats.org/officeDocument/2006/relationships/hyperlink" Target="https://geoportal.ancpi.ro/portal/apps/webappviewer/index.html?id=faeba2d173374445b1f13512bd477bb2" TargetMode="External"/><Relationship Id="rId10" Type="http://schemas.openxmlformats.org/officeDocument/2006/relationships/hyperlink" Target="https://eur-lex.europa.eu/legal-content/RO/AUTO/?uri=celex:22005A0517%2801%29" TargetMode="External"/><Relationship Id="rId31" Type="http://schemas.openxmlformats.org/officeDocument/2006/relationships/image" Target="media/image13.png"/><Relationship Id="rId44" Type="http://schemas.openxmlformats.org/officeDocument/2006/relationships/image" Target="media/image23.png"/><Relationship Id="rId52" Type="http://schemas.openxmlformats.org/officeDocument/2006/relationships/hyperlink" Target="http://www.portofconstantza.com" TargetMode="External"/><Relationship Id="rId60" Type="http://schemas.openxmlformats.org/officeDocument/2006/relationships/image" Target="media/image32.png"/><Relationship Id="rId65" Type="http://schemas.openxmlformats.org/officeDocument/2006/relationships/hyperlink" Target="https://www.minac.ro/" TargetMode="External"/><Relationship Id="rId73" Type="http://schemas.openxmlformats.org/officeDocument/2006/relationships/header" Target="header5.xml"/><Relationship Id="rId78" Type="http://schemas.openxmlformats.org/officeDocument/2006/relationships/header" Target="header9.xml"/><Relationship Id="rId81" Type="http://schemas.openxmlformats.org/officeDocument/2006/relationships/image" Target="media/image39.jpg"/><Relationship Id="rId86" Type="http://schemas.openxmlformats.org/officeDocument/2006/relationships/header" Target="header12.xml"/><Relationship Id="rId4" Type="http://schemas.openxmlformats.org/officeDocument/2006/relationships/settings" Target="settings.xml"/><Relationship Id="rId9" Type="http://schemas.openxmlformats.org/officeDocument/2006/relationships/hyperlink" Target="https://eur-lex.europa.eu/legal-content/RO/AUTO/?uri=celex:31991L0676" TargetMode="External"/><Relationship Id="rId13" Type="http://schemas.openxmlformats.org/officeDocument/2006/relationships/hyperlink" Target="https://agriculture.ec.europa.eu/sustainability/environmental-sustainability_ro" TargetMode="External"/><Relationship Id="rId18" Type="http://schemas.openxmlformats.org/officeDocument/2006/relationships/hyperlink" Target="https://food.ec.europa.eu/horizontal-topics/farm-fork-strategy_ro" TargetMode="External"/><Relationship Id="rId39" Type="http://schemas.openxmlformats.org/officeDocument/2006/relationships/image" Target="media/image18.png"/><Relationship Id="rId34" Type="http://schemas.openxmlformats.org/officeDocument/2006/relationships/image" Target="media/image16.png"/><Relationship Id="rId50" Type="http://schemas.openxmlformats.org/officeDocument/2006/relationships/hyperlink" Target="http://www.portofconstantza.com" TargetMode="External"/><Relationship Id="rId55" Type="http://schemas.openxmlformats.org/officeDocument/2006/relationships/image" Target="media/image31.png"/><Relationship Id="rId76" Type="http://schemas.openxmlformats.org/officeDocument/2006/relationships/header" Target="header7.xml"/><Relationship Id="rId7" Type="http://schemas.openxmlformats.org/officeDocument/2006/relationships/endnotes" Target="endnotes.xml"/><Relationship Id="rId71" Type="http://schemas.openxmlformats.org/officeDocument/2006/relationships/header" Target="header3.xml"/><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image" Target="media/image19.png"/><Relationship Id="rId45" Type="http://schemas.openxmlformats.org/officeDocument/2006/relationships/image" Target="media/image24.jpg"/><Relationship Id="rId66" Type="http://schemas.openxmlformats.org/officeDocument/2006/relationships/hyperlink" Target="https://www.minac.ro/" TargetMode="External"/><Relationship Id="rId87" Type="http://schemas.openxmlformats.org/officeDocument/2006/relationships/fontTable" Target="fontTable.xml"/><Relationship Id="rId61" Type="http://schemas.openxmlformats.org/officeDocument/2006/relationships/image" Target="media/image33.png"/><Relationship Id="rId82" Type="http://schemas.openxmlformats.org/officeDocument/2006/relationships/image" Target="media/image4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49E6EA-155C-4CBA-9E2A-3973F52D99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388</Pages>
  <Words>136872</Words>
  <Characters>780177</Characters>
  <Application>Microsoft Office Word</Application>
  <DocSecurity>0</DocSecurity>
  <Lines>6501</Lines>
  <Paragraphs>1830</Paragraphs>
  <ScaleCrop>false</ScaleCrop>
  <Company/>
  <LinksUpToDate>false</LinksUpToDate>
  <CharactersWithSpaces>915219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Anca Finantu</dc:creator>
  <cp:keywords/>
  <dc:description/>
  <cp:lastModifiedBy>Anca Finantu</cp:lastModifiedBy>
  <cp:revision>2</cp:revision>
  <dcterms:created xsi:type="dcterms:W3CDTF">2024-11-19T07:54:00Z</dcterms:created>
  <dcterms:modified xsi:type="dcterms:W3CDTF">2024-11-19T07:54:00Z</dcterms:modified>
</cp:coreProperties>
</file>