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394A8E29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E3893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79258B" w:rsidRPr="0079258B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5328E6" w:rsidRPr="005328E6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614D6DD0" w:rsidR="00107BBB" w:rsidRPr="00CE1631" w:rsidRDefault="00FF63ED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CE0800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E3893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5EEC88EE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79258B">
        <w:rPr>
          <w:rFonts w:ascii="Trebuchet MS" w:hAnsi="Trebuchet MS"/>
          <w:color w:val="000000"/>
        </w:rPr>
        <w:t>61249</w:t>
      </w:r>
      <w:r w:rsidR="00FF63ED">
        <w:rPr>
          <w:rFonts w:ascii="Trebuchet MS" w:hAnsi="Trebuchet MS"/>
          <w:color w:val="000000"/>
        </w:rPr>
        <w:t>1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68885FA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FF63ED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F263954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FF63ED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DC80D55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3F277D">
        <w:rPr>
          <w:rFonts w:ascii="Trebuchet MS" w:hAnsi="Trebuchet MS" w:cs="Segoe UI,Bold"/>
          <w:b/>
          <w:bCs/>
          <w:lang w:val="en-US" w:eastAsia="ro-RO"/>
        </w:rPr>
        <w:t>2</w:t>
      </w:r>
      <w:r w:rsidR="00287A27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3F277D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DB14D45" w14:textId="34F1DD8C" w:rsidR="00BD73B4" w:rsidRDefault="00BD73B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BD73B4">
        <w:rPr>
          <w:rFonts w:ascii="Trebuchet MS" w:hAnsi="Trebuchet MS" w:cs="Segoe UI"/>
          <w:lang w:val="en-US" w:eastAsia="ro-RO"/>
        </w:rPr>
        <w:t>Domeniu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BD73B4">
        <w:rPr>
          <w:rFonts w:ascii="Trebuchet MS" w:hAnsi="Trebuchet MS" w:cs="Segoe UI"/>
          <w:lang w:val="en-US" w:eastAsia="ro-RO"/>
        </w:rPr>
        <w:t>studiu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sociale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BD73B4">
        <w:rPr>
          <w:rFonts w:ascii="Trebuchet MS" w:hAnsi="Trebuchet MS" w:cs="Segoe UI"/>
          <w:lang w:val="en-US" w:eastAsia="ro-RO"/>
        </w:rPr>
        <w:t>Ştiinţe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BD73B4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BD73B4">
        <w:rPr>
          <w:rFonts w:ascii="Trebuchet MS" w:hAnsi="Trebuchet MS" w:cs="Segoe UI"/>
          <w:lang w:val="en-US" w:eastAsia="ro-RO"/>
        </w:rPr>
        <w:t>Domeniul</w:t>
      </w:r>
      <w:proofErr w:type="spellEnd"/>
      <w:r w:rsidRPr="00BD73B4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9B7C2B5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E3893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58DF00D8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a) monitorizează respectarea de către beneficiari a prevderilor contractelor de finanțare;</w:t>
      </w:r>
    </w:p>
    <w:p w14:paraId="7E304857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b) poate iniția propuneri de modificări la contractul de finanțare, propuneri de încetare (inclusiv prin</w:t>
      </w:r>
    </w:p>
    <w:p w14:paraId="1D5424B3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reziliere) sau suspendare a prevederilor contractelor de finanțare;</w:t>
      </w:r>
    </w:p>
    <w:p w14:paraId="302E1929" w14:textId="0899D234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c) monitorizează periodic stadiul fizic și financiar al contractelor din cadrul proiectului, graficul de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implementare și gradul de îndeplinire a indicatorilor stabiliti la nivelul contractului de finanțare,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respectiv la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nivelul indicatorilor din CID , prin instrumente specifice (raportări, vizite la fata locului etc);</w:t>
      </w:r>
    </w:p>
    <w:p w14:paraId="7388081E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d) propune măsuri de remediere a deficiențelor și de sprijin a Beneficiarilor în implementarea proiectelor;</w:t>
      </w:r>
    </w:p>
    <w:p w14:paraId="44AC5904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e) gestionează procesul de monitorizare a îndeplinirii recomandărilor formulate în urma misiunilor de</w:t>
      </w:r>
    </w:p>
    <w:p w14:paraId="22DFBA82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verificare;</w:t>
      </w:r>
    </w:p>
    <w:p w14:paraId="7C02CEB6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f) efectuează vizite la locul de desfășurare a proiectului, prin eșantion, conform procedurii operaționale;</w:t>
      </w:r>
    </w:p>
    <w:p w14:paraId="12C112E2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g) asigură toate evidentele raportate de beneficiar, la nivel de proiect;</w:t>
      </w:r>
    </w:p>
    <w:p w14:paraId="15E514E8" w14:textId="7A8C55C4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h) întocmește la nivel de proiect raportări aferente activității desfășurate, cu sprijinul celorlalte structuri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relevante din DGPNRR;</w:t>
      </w:r>
    </w:p>
    <w:p w14:paraId="45C3BB5A" w14:textId="01232C30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i) asigură informarea periodică a conducerii DGPNRR cu privire la problemele identificate în implementarea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proiectelor și măsurile întreprinse pentru deblocarea acestora;</w:t>
      </w:r>
    </w:p>
    <w:p w14:paraId="00F74E15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j) monitorizează proiectele în perioada de durabilitate și verifică îndeplinirea indicatorilor postimplementare;</w:t>
      </w:r>
    </w:p>
    <w:p w14:paraId="2A7B1BB3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l) monitorizează realizarea țintelor și jaloanelor la nivelul componentelor PNRR;</w:t>
      </w:r>
    </w:p>
    <w:p w14:paraId="3D3B61E5" w14:textId="1594C019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m) asigură colectarea datelor și furnizarea datelor către serviciul responsabil cu .... întocmirii declarației de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gestiune;</w:t>
      </w:r>
    </w:p>
    <w:p w14:paraId="4072C910" w14:textId="75723063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n) realizează și actualizează registrul riscurilor pe tinte și jaloane de monitorizare conform procedurilor</w:t>
      </w:r>
      <w:r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operaționale aprobate</w:t>
      </w:r>
      <w:r w:rsidR="0023557F">
        <w:rPr>
          <w:rFonts w:ascii="Trebuchet MS" w:hAnsi="Trebuchet MS"/>
        </w:rPr>
        <w:t>;</w:t>
      </w:r>
    </w:p>
    <w:p w14:paraId="0E9853DE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p) elaborează și participă la elaborarea/ revizuirea procedurilor operaționale specifice activității serviciului;</w:t>
      </w:r>
    </w:p>
    <w:p w14:paraId="04D61217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r) Asigură implementarea obligațiilor Ministerului Mediului, Apelor și Pădurilor prevăzute în Acordul de</w:t>
      </w:r>
    </w:p>
    <w:p w14:paraId="1BF1A407" w14:textId="668AD9B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lastRenderedPageBreak/>
        <w:t>Finanțare privind implementarea reformelor și/sau investițiilor finanțate prin Planul național de redresare și</w:t>
      </w:r>
      <w:r w:rsidR="0023557F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reziliență nr. 26595/08.03.2022, pentru domeniul de responsabilitate;</w:t>
      </w:r>
    </w:p>
    <w:p w14:paraId="202E53F2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a) Urmărește depunerea Graficelor estimative și a cererilor de transfer de către beneficiari;</w:t>
      </w:r>
    </w:p>
    <w:p w14:paraId="2C57359E" w14:textId="77777777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s)urmărește depunerea graficelor estimative și a cererilor de transfer de către beneficiari;</w:t>
      </w:r>
    </w:p>
    <w:p w14:paraId="7E741268" w14:textId="2CA53106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ș) întocmește documentele în vederea programării verificării la locul investiției și/sau la sediul</w:t>
      </w:r>
      <w:r w:rsidR="007E1188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beneficiarului, efectuează verificări la locul investiției și/sau la sediul beneficiarului și elaborează</w:t>
      </w:r>
      <w:r w:rsidR="007E1188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rapoartele/listele/fișele de verificare specifice;</w:t>
      </w:r>
    </w:p>
    <w:p w14:paraId="1C218CA8" w14:textId="2D6432A4" w:rsidR="00BF2FB8" w:rsidRPr="00BF2FB8" w:rsidRDefault="00583803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BF2FB8" w:rsidRPr="00BF2FB8">
        <w:rPr>
          <w:rFonts w:ascii="Trebuchet MS" w:hAnsi="Trebuchet MS"/>
        </w:rPr>
        <w:t>) verifică procedurile de achiziţie publică/privată conform legislației în vigoare, și întocmește Raportul de</w:t>
      </w:r>
      <w:r>
        <w:rPr>
          <w:rFonts w:ascii="Trebuchet MS" w:hAnsi="Trebuchet MS"/>
        </w:rPr>
        <w:t xml:space="preserve"> </w:t>
      </w:r>
      <w:r w:rsidR="00BF2FB8" w:rsidRPr="00BF2FB8">
        <w:rPr>
          <w:rFonts w:ascii="Trebuchet MS" w:hAnsi="Trebuchet MS"/>
        </w:rPr>
        <w:t>verificare ex-post.</w:t>
      </w:r>
    </w:p>
    <w:p w14:paraId="68B857A9" w14:textId="092DE45B" w:rsidR="00BF2FB8" w:rsidRPr="00BF2FB8" w:rsidRDefault="00583803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ț</w:t>
      </w:r>
      <w:r w:rsidR="00BF2FB8" w:rsidRPr="00BF2FB8">
        <w:rPr>
          <w:rFonts w:ascii="Trebuchet MS" w:hAnsi="Trebuchet MS"/>
        </w:rPr>
        <w:t>) încărcarea în sistemul informatic ARACHNE a datelor în documente în format .xml i informarea</w:t>
      </w:r>
      <w:r w:rsidR="007E1188">
        <w:rPr>
          <w:rFonts w:ascii="Trebuchet MS" w:hAnsi="Trebuchet MS"/>
        </w:rPr>
        <w:t xml:space="preserve"> </w:t>
      </w:r>
      <w:r w:rsidR="00BF2FB8" w:rsidRPr="00BF2FB8">
        <w:rPr>
          <w:rFonts w:ascii="Trebuchet MS" w:hAnsi="Trebuchet MS"/>
        </w:rPr>
        <w:t>Coordonatorului național despre finalizarea procesului, prin intermediul poștei electronice, la adresa</w:t>
      </w:r>
    </w:p>
    <w:p w14:paraId="618D87AA" w14:textId="0D9A61D2" w:rsidR="00583803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preventie.pnrr@mfe.gov.ro conform instructiunii 11</w:t>
      </w:r>
      <w:r w:rsidR="00583803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DNSH</w:t>
      </w:r>
      <w:r w:rsidR="00583803">
        <w:rPr>
          <w:rFonts w:ascii="Trebuchet MS" w:hAnsi="Trebuchet MS"/>
        </w:rPr>
        <w:t xml:space="preserve">; </w:t>
      </w:r>
    </w:p>
    <w:p w14:paraId="56583350" w14:textId="12DA914E" w:rsidR="00BF2FB8" w:rsidRP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u) Verifică corespondența contractelor de achiziție/ actelor adiționale încheiate de solicitanți/ beneficiari cu</w:t>
      </w:r>
      <w:r w:rsidR="00583803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proiectul acceptat spre finanțare, conform procedurilor operaționale;</w:t>
      </w:r>
    </w:p>
    <w:p w14:paraId="552E362F" w14:textId="2ABBDBE8" w:rsidR="00F61C9D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BF2FB8">
        <w:rPr>
          <w:rFonts w:ascii="Trebuchet MS" w:hAnsi="Trebuchet MS"/>
        </w:rPr>
        <w:t>v) Centralizează și elaborează previziunile/ estimările trimestriale, anuale de fonduri, după caz, privind</w:t>
      </w:r>
      <w:r w:rsidR="00583803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sumele estimate a fi utilizate/ plătite în colaborare cu Serviciul verificare Cereri de Plată și le transmite către</w:t>
      </w:r>
      <w:r w:rsidR="00583803">
        <w:rPr>
          <w:rFonts w:ascii="Trebuchet MS" w:hAnsi="Trebuchet MS"/>
        </w:rPr>
        <w:t xml:space="preserve"> </w:t>
      </w:r>
      <w:r w:rsidRPr="00BF2FB8">
        <w:rPr>
          <w:rFonts w:ascii="Trebuchet MS" w:hAnsi="Trebuchet MS"/>
        </w:rPr>
        <w:t>SCP;</w:t>
      </w:r>
    </w:p>
    <w:p w14:paraId="29239904" w14:textId="77777777" w:rsidR="00BF2FB8" w:rsidRDefault="00BF2FB8" w:rsidP="00BF2FB8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2A3E87C8" w14:textId="5B8A7C4E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lastRenderedPageBreak/>
        <w:t xml:space="preserve">PUBLICAT ÎN DATA DE </w:t>
      </w:r>
      <w:r w:rsidR="00BF59E6">
        <w:rPr>
          <w:rFonts w:ascii="Trebuchet MS" w:eastAsia="MS Mincho" w:hAnsi="Trebuchet MS"/>
          <w:b/>
          <w:bCs/>
        </w:rPr>
        <w:t>2</w:t>
      </w:r>
      <w:r w:rsidR="00287A27">
        <w:rPr>
          <w:rFonts w:ascii="Trebuchet MS" w:eastAsia="MS Mincho" w:hAnsi="Trebuchet MS"/>
          <w:b/>
          <w:bCs/>
        </w:rPr>
        <w:t>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7B584506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FF6F49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FF63ED">
        <w:rPr>
          <w:rFonts w:ascii="Trebuchet MS" w:hAnsi="Trebuchet MS"/>
        </w:rPr>
        <w:t>25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D743D61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FF63ED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508E782C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1C7FE0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1C7FE0">
        <w:fldChar w:fldCharType="begin"/>
      </w:r>
      <w:r w:rsidR="001C7FE0">
        <w:instrText>HYPERLINK "mailto:andreea.budala@mmediu.ro"</w:instrText>
      </w:r>
      <w:r w:rsidR="001C7FE0">
        <w:fldChar w:fldCharType="separate"/>
      </w:r>
      <w:r w:rsidR="001C7FE0" w:rsidRPr="001C7980">
        <w:rPr>
          <w:rStyle w:val="Hyperlink"/>
          <w:rFonts w:ascii="Trebuchet MS" w:hAnsi="Trebuchet MS"/>
        </w:rPr>
        <w:t>andreea.budala@mmediu.ro</w:t>
      </w:r>
      <w:r w:rsidR="001C7FE0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5B3CE7D3" w14:textId="77777777" w:rsidR="0007118F" w:rsidRDefault="0007118F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D7AE" w14:textId="77777777" w:rsidR="00A65337" w:rsidRDefault="00A65337" w:rsidP="000235A4">
      <w:r>
        <w:separator/>
      </w:r>
    </w:p>
  </w:endnote>
  <w:endnote w:type="continuationSeparator" w:id="0">
    <w:p w14:paraId="75AA7499" w14:textId="77777777" w:rsidR="00A65337" w:rsidRDefault="00A65337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2263" w14:textId="77777777" w:rsidR="00A65337" w:rsidRDefault="00A65337" w:rsidP="000235A4">
      <w:r>
        <w:separator/>
      </w:r>
    </w:p>
  </w:footnote>
  <w:footnote w:type="continuationSeparator" w:id="0">
    <w:p w14:paraId="1262A17B" w14:textId="77777777" w:rsidR="00A65337" w:rsidRDefault="00A65337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32257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7A0"/>
    <w:rsid w:val="000C7D4B"/>
    <w:rsid w:val="000D07BC"/>
    <w:rsid w:val="000E4B74"/>
    <w:rsid w:val="000E54CC"/>
    <w:rsid w:val="000E5F62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0A7F"/>
    <w:rsid w:val="001A618B"/>
    <w:rsid w:val="001A62D3"/>
    <w:rsid w:val="001B0CA8"/>
    <w:rsid w:val="001B29D6"/>
    <w:rsid w:val="001C3E77"/>
    <w:rsid w:val="001C7FE0"/>
    <w:rsid w:val="001D25B4"/>
    <w:rsid w:val="001D6CD2"/>
    <w:rsid w:val="001D7FDC"/>
    <w:rsid w:val="001E094F"/>
    <w:rsid w:val="001E70A1"/>
    <w:rsid w:val="001F15DC"/>
    <w:rsid w:val="001F3787"/>
    <w:rsid w:val="00203B85"/>
    <w:rsid w:val="00214DFE"/>
    <w:rsid w:val="00216F9D"/>
    <w:rsid w:val="00217D0B"/>
    <w:rsid w:val="00224060"/>
    <w:rsid w:val="00224583"/>
    <w:rsid w:val="0023557F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87A27"/>
    <w:rsid w:val="0029022F"/>
    <w:rsid w:val="00290D26"/>
    <w:rsid w:val="00291B72"/>
    <w:rsid w:val="0029380D"/>
    <w:rsid w:val="00294EF9"/>
    <w:rsid w:val="002A2A3C"/>
    <w:rsid w:val="002A3246"/>
    <w:rsid w:val="002A4E85"/>
    <w:rsid w:val="002A602D"/>
    <w:rsid w:val="002B220D"/>
    <w:rsid w:val="002C08E5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13E80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473"/>
    <w:rsid w:val="003C3A7B"/>
    <w:rsid w:val="003D06EC"/>
    <w:rsid w:val="003D5F87"/>
    <w:rsid w:val="003E3893"/>
    <w:rsid w:val="003E5375"/>
    <w:rsid w:val="003E5751"/>
    <w:rsid w:val="003F0C0E"/>
    <w:rsid w:val="003F1099"/>
    <w:rsid w:val="003F277D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5D3E"/>
    <w:rsid w:val="004D0F94"/>
    <w:rsid w:val="004D3D57"/>
    <w:rsid w:val="004E5E50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42F4B"/>
    <w:rsid w:val="00556592"/>
    <w:rsid w:val="00560C00"/>
    <w:rsid w:val="00567699"/>
    <w:rsid w:val="00571AE6"/>
    <w:rsid w:val="00575136"/>
    <w:rsid w:val="00577AC6"/>
    <w:rsid w:val="00583803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54B80"/>
    <w:rsid w:val="00761F05"/>
    <w:rsid w:val="00764242"/>
    <w:rsid w:val="0077201D"/>
    <w:rsid w:val="00772931"/>
    <w:rsid w:val="00772A6D"/>
    <w:rsid w:val="00774184"/>
    <w:rsid w:val="00775D83"/>
    <w:rsid w:val="00782FA4"/>
    <w:rsid w:val="007910C7"/>
    <w:rsid w:val="0079258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E1188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A6550"/>
    <w:rsid w:val="008C183C"/>
    <w:rsid w:val="008C64C1"/>
    <w:rsid w:val="008D214D"/>
    <w:rsid w:val="008D440E"/>
    <w:rsid w:val="008E00B4"/>
    <w:rsid w:val="008E1F43"/>
    <w:rsid w:val="008E26B6"/>
    <w:rsid w:val="008E32CB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87CE1"/>
    <w:rsid w:val="00992357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ECC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65337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077AA"/>
    <w:rsid w:val="00B10ADF"/>
    <w:rsid w:val="00B152D8"/>
    <w:rsid w:val="00B260CE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022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BF2FB8"/>
    <w:rsid w:val="00BF59E6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1416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34F1"/>
    <w:rsid w:val="00DC54C0"/>
    <w:rsid w:val="00DD04B9"/>
    <w:rsid w:val="00DE0358"/>
    <w:rsid w:val="00DE2FE6"/>
    <w:rsid w:val="00DE3745"/>
    <w:rsid w:val="00DF21A8"/>
    <w:rsid w:val="00DF440E"/>
    <w:rsid w:val="00E03298"/>
    <w:rsid w:val="00E063AA"/>
    <w:rsid w:val="00E16FB5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1B71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2C32"/>
    <w:rsid w:val="00EB5797"/>
    <w:rsid w:val="00EC0B87"/>
    <w:rsid w:val="00EC4C75"/>
    <w:rsid w:val="00EC5388"/>
    <w:rsid w:val="00EC5648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8A3"/>
    <w:rsid w:val="00F96DE0"/>
    <w:rsid w:val="00FA16AE"/>
    <w:rsid w:val="00FA184F"/>
    <w:rsid w:val="00FA582C"/>
    <w:rsid w:val="00FB1301"/>
    <w:rsid w:val="00FB2503"/>
    <w:rsid w:val="00FC14BA"/>
    <w:rsid w:val="00FC5F27"/>
    <w:rsid w:val="00FC64C2"/>
    <w:rsid w:val="00FD0501"/>
    <w:rsid w:val="00FD142B"/>
    <w:rsid w:val="00FD1CFC"/>
    <w:rsid w:val="00FE075F"/>
    <w:rsid w:val="00FE2B5A"/>
    <w:rsid w:val="00FE5ADC"/>
    <w:rsid w:val="00FF13FD"/>
    <w:rsid w:val="00FF63ED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32</cp:revision>
  <cp:lastPrinted>2025-01-15T08:54:00Z</cp:lastPrinted>
  <dcterms:created xsi:type="dcterms:W3CDTF">2024-04-04T06:19:00Z</dcterms:created>
  <dcterms:modified xsi:type="dcterms:W3CDTF">2025-01-17T08:37:00Z</dcterms:modified>
</cp:coreProperties>
</file>