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4C46B4C6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3E3893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DC20B7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Serviciu</w:t>
      </w:r>
      <w:r w:rsidR="00244FBB">
        <w:rPr>
          <w:rFonts w:ascii="Trebuchet MS" w:eastAsia="MS Mincho" w:hAnsi="Trebuchet MS"/>
          <w:b/>
          <w:bCs/>
          <w:sz w:val="22"/>
          <w:szCs w:val="22"/>
        </w:rPr>
        <w:t>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>
        <w:rPr>
          <w:rFonts w:ascii="Trebuchet MS" w:eastAsia="MS Mincho" w:hAnsi="Trebuchet MS"/>
          <w:b/>
          <w:bCs/>
          <w:sz w:val="22"/>
          <w:szCs w:val="22"/>
        </w:rPr>
        <w:t>Gestionare</w:t>
      </w:r>
      <w:proofErr w:type="spellEnd"/>
      <w:r w:rsidR="005328E6">
        <w:rPr>
          <w:rFonts w:ascii="Trebuchet MS" w:eastAsia="MS Mincho" w:hAnsi="Trebuchet MS"/>
          <w:b/>
          <w:bCs/>
          <w:sz w:val="22"/>
          <w:szCs w:val="22"/>
        </w:rPr>
        <w:t xml:space="preserve"> Plan</w:t>
      </w:r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–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Programare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17CF0F1A" w:rsidR="00107BBB" w:rsidRPr="00CE1631" w:rsidRDefault="002C08E5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CE0800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3E3893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0C54F71E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D049B6" w:rsidRPr="00D049B6">
        <w:rPr>
          <w:rFonts w:ascii="Trebuchet MS" w:hAnsi="Trebuchet MS"/>
          <w:color w:val="000000"/>
        </w:rPr>
        <w:t>61205</w:t>
      </w:r>
      <w:r w:rsidR="003E3893">
        <w:rPr>
          <w:rFonts w:ascii="Trebuchet MS" w:hAnsi="Trebuchet MS"/>
          <w:color w:val="000000"/>
        </w:rPr>
        <w:t>6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39BEBEB9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C08E5">
        <w:rPr>
          <w:rFonts w:ascii="Trebuchet MS" w:hAnsi="Trebuchet MS" w:cs="Segoe UI"/>
          <w:lang w:val="en-US" w:eastAsia="ro-RO"/>
        </w:rPr>
        <w:t>21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274D8FD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C08E5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62B7BD1E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29B7C2B5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3E3893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70E92E99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a) gestionează procesul de programare a implementării PNRR 2020-2026;</w:t>
      </w:r>
    </w:p>
    <w:p w14:paraId="6AA25CA9" w14:textId="303F8779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b) gestionează activitatea de elaborare a procedurilor operaționale specifice activității de programare și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evaluare a proiectelor, precum și revizuirea/modificarea acestora;</w:t>
      </w:r>
    </w:p>
    <w:p w14:paraId="180E12DF" w14:textId="58D4DC4B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c) gestionează activitatea de elaborare a ghidurilor specifice {ghidului de contractare beneficiari menționați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în PNRR, pentru investițiile pentru care MMAP este desemnat coordonator de reformă/ investiții și asigură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transmiterea lor pentru a fi supuse dezbaterii publice și aprobării;</w:t>
      </w:r>
    </w:p>
    <w:p w14:paraId="084E6DB7" w14:textId="10E6A7BC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d) gestionează procesul de lansare a apelurilor de proiecte sau după caz, a transmiterii invitațiilor pentru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depunerea propunerilor de proiecte de către beneficiarii menționați în PNRR;</w:t>
      </w:r>
    </w:p>
    <w:p w14:paraId="2BA7E979" w14:textId="32F18F0D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e) coordonează și gestionează activitatea de evaluare/ selecție a cererilor de finanțare/propunerilor de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proiecte depuse de către solicitanți/beneficiari, conform prevederilor procedurii operaționale de evaluare;</w:t>
      </w:r>
    </w:p>
    <w:p w14:paraId="63B485AC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f) monitorizează activitățile specifice etapei de programare - evaluare aferente apelurilor de proiecte</w:t>
      </w:r>
    </w:p>
    <w:p w14:paraId="7DFFAC9F" w14:textId="24AB7B2A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derulate de către Administrația Fondului pentru Mediu, în baza acordurilor de implementare încheiate cu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aceasta;</w:t>
      </w:r>
    </w:p>
    <w:p w14:paraId="548E562F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g) monitorizează activitățile specifice etapei de programare - evaluare a proiectelor derulate de către</w:t>
      </w:r>
    </w:p>
    <w:p w14:paraId="60E1DD20" w14:textId="77777777" w:rsidR="000E4B74" w:rsidRPr="000E4B74" w:rsidRDefault="00F61C9D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unitățile de implementare a proiectelor, în baza ordinelor</w:t>
      </w:r>
      <w:r w:rsidR="000E4B74">
        <w:rPr>
          <w:rFonts w:ascii="Trebuchet MS" w:hAnsi="Trebuchet MS"/>
        </w:rPr>
        <w:t xml:space="preserve"> </w:t>
      </w:r>
      <w:r w:rsidR="000E4B74" w:rsidRPr="000E4B74">
        <w:rPr>
          <w:rFonts w:ascii="Trebuchet MS" w:hAnsi="Trebuchet MS"/>
        </w:rPr>
        <w:t>de finanțare;</w:t>
      </w:r>
    </w:p>
    <w:p w14:paraId="40259336" w14:textId="53ECFFB2" w:rsidR="00F61C9D" w:rsidRDefault="000E4B74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0E4B74">
        <w:rPr>
          <w:rFonts w:ascii="Trebuchet MS" w:hAnsi="Trebuchet MS"/>
        </w:rPr>
        <w:t>h) furnizează rapoarte pe baza datelor deținute.</w:t>
      </w:r>
    </w:p>
    <w:p w14:paraId="552E362F" w14:textId="77777777" w:rsid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lastRenderedPageBreak/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3E8B0818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6717D084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C08E5">
        <w:rPr>
          <w:rFonts w:ascii="Trebuchet MS" w:hAnsi="Trebuchet MS"/>
        </w:rPr>
        <w:t>21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6A4C44D9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C08E5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17748233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lastRenderedPageBreak/>
        <w:t xml:space="preserve">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EFFB" w14:textId="77777777" w:rsidR="00445E20" w:rsidRDefault="00445E20" w:rsidP="000235A4">
      <w:r>
        <w:separator/>
      </w:r>
    </w:p>
  </w:endnote>
  <w:endnote w:type="continuationSeparator" w:id="0">
    <w:p w14:paraId="76B53EE0" w14:textId="77777777" w:rsidR="00445E20" w:rsidRDefault="00445E20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9F46" w14:textId="77777777" w:rsidR="00445E20" w:rsidRDefault="00445E20" w:rsidP="000235A4">
      <w:r>
        <w:separator/>
      </w:r>
    </w:p>
  </w:footnote>
  <w:footnote w:type="continuationSeparator" w:id="0">
    <w:p w14:paraId="760A409D" w14:textId="77777777" w:rsidR="00445E20" w:rsidRDefault="00445E20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380D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3893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45E20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42F4B"/>
    <w:rsid w:val="00556592"/>
    <w:rsid w:val="00560C00"/>
    <w:rsid w:val="00564C1A"/>
    <w:rsid w:val="00567699"/>
    <w:rsid w:val="00571AE6"/>
    <w:rsid w:val="00577AC6"/>
    <w:rsid w:val="005911B0"/>
    <w:rsid w:val="005941D3"/>
    <w:rsid w:val="00596194"/>
    <w:rsid w:val="005A2639"/>
    <w:rsid w:val="005B22E2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910C7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357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11416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20B7"/>
    <w:rsid w:val="00DC34F1"/>
    <w:rsid w:val="00DC54C0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1B71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8A3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29</cp:revision>
  <cp:lastPrinted>2025-01-15T08:54:00Z</cp:lastPrinted>
  <dcterms:created xsi:type="dcterms:W3CDTF">2024-04-04T06:19:00Z</dcterms:created>
  <dcterms:modified xsi:type="dcterms:W3CDTF">2025-01-15T11:50:00Z</dcterms:modified>
</cp:coreProperties>
</file>