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CFBF" w14:textId="73582C67" w:rsidR="000024E1" w:rsidRPr="006407CD" w:rsidRDefault="00C05B96" w:rsidP="00C05B96">
      <w:pPr>
        <w:spacing w:after="120"/>
        <w:contextualSpacing/>
        <w:rPr>
          <w:rFonts w:ascii="Times New Roman" w:hAnsi="Times New Roman"/>
          <w:bCs/>
          <w:sz w:val="24"/>
          <w:szCs w:val="24"/>
        </w:rPr>
      </w:pPr>
      <w:r w:rsidRPr="006407CD">
        <w:rPr>
          <w:rFonts w:ascii="Times New Roman" w:hAnsi="Times New Roman"/>
          <w:bCs/>
          <w:sz w:val="24"/>
          <w:szCs w:val="24"/>
        </w:rPr>
        <w:t>Nr. ................/...........................2023</w:t>
      </w:r>
    </w:p>
    <w:p w14:paraId="29814652" w14:textId="77777777" w:rsidR="00C05B96" w:rsidRPr="006407CD" w:rsidRDefault="00C05B96" w:rsidP="00C05B96">
      <w:pPr>
        <w:spacing w:after="120"/>
        <w:contextualSpacing/>
        <w:rPr>
          <w:rFonts w:ascii="Times New Roman" w:hAnsi="Times New Roman"/>
          <w:b/>
          <w:sz w:val="24"/>
          <w:szCs w:val="24"/>
        </w:rPr>
      </w:pPr>
    </w:p>
    <w:p w14:paraId="74F3A242" w14:textId="77777777" w:rsidR="000024E1" w:rsidRPr="006407CD" w:rsidRDefault="00000000" w:rsidP="002B5F91">
      <w:pPr>
        <w:pStyle w:val="Heading1"/>
        <w:spacing w:before="0" w:after="120"/>
        <w:contextualSpacing/>
        <w:jc w:val="center"/>
        <w:rPr>
          <w:rFonts w:ascii="Times New Roman" w:hAnsi="Times New Roman" w:cs="Times New Roman"/>
          <w:color w:val="auto"/>
          <w:sz w:val="24"/>
          <w:szCs w:val="24"/>
        </w:rPr>
      </w:pPr>
      <w:r w:rsidRPr="006407CD">
        <w:rPr>
          <w:rFonts w:ascii="Times New Roman" w:hAnsi="Times New Roman" w:cs="Times New Roman"/>
          <w:color w:val="auto"/>
          <w:sz w:val="24"/>
          <w:szCs w:val="24"/>
        </w:rPr>
        <w:t>REFERAT DE APROBARE</w:t>
      </w:r>
    </w:p>
    <w:p w14:paraId="41A4AFF1" w14:textId="7283F769" w:rsidR="000024E1" w:rsidRPr="006407CD" w:rsidRDefault="00000000" w:rsidP="002B5F91">
      <w:pPr>
        <w:autoSpaceDE w:val="0"/>
        <w:autoSpaceDN w:val="0"/>
        <w:adjustRightInd w:val="0"/>
        <w:spacing w:after="120"/>
        <w:contextualSpacing/>
        <w:jc w:val="center"/>
        <w:rPr>
          <w:rFonts w:ascii="Times New Roman" w:hAnsi="Times New Roman"/>
          <w:b/>
          <w:bCs/>
          <w:i/>
          <w:color w:val="000000"/>
          <w:sz w:val="24"/>
          <w:szCs w:val="24"/>
          <w:lang w:eastAsia="ro-RO"/>
        </w:rPr>
      </w:pPr>
      <w:r w:rsidRPr="006407CD">
        <w:rPr>
          <w:rFonts w:ascii="Times New Roman" w:hAnsi="Times New Roman"/>
          <w:b/>
          <w:i/>
          <w:sz w:val="24"/>
          <w:szCs w:val="24"/>
        </w:rPr>
        <w:t xml:space="preserve">a </w:t>
      </w:r>
      <w:r w:rsidR="00F27DBE" w:rsidRPr="006407CD">
        <w:rPr>
          <w:rFonts w:ascii="Times New Roman" w:hAnsi="Times New Roman"/>
          <w:b/>
          <w:i/>
          <w:sz w:val="24"/>
          <w:szCs w:val="24"/>
        </w:rPr>
        <w:t>Procedurii privind cesiunea creanţelor bugetare datorate de debitorii la Fondul pentru mediu aflaţi în procedura insolvenţei</w:t>
      </w:r>
    </w:p>
    <w:p w14:paraId="65FE9507" w14:textId="77777777" w:rsidR="000024E1" w:rsidRPr="006407CD" w:rsidRDefault="000024E1" w:rsidP="002B5F91">
      <w:pPr>
        <w:autoSpaceDE w:val="0"/>
        <w:autoSpaceDN w:val="0"/>
        <w:adjustRightInd w:val="0"/>
        <w:spacing w:after="120"/>
        <w:contextualSpacing/>
        <w:jc w:val="center"/>
        <w:rPr>
          <w:rFonts w:ascii="Times New Roman" w:hAnsi="Times New Roman"/>
          <w:b/>
          <w:iCs/>
          <w:sz w:val="24"/>
          <w:szCs w:val="24"/>
        </w:rPr>
      </w:pPr>
    </w:p>
    <w:p w14:paraId="07541D4B" w14:textId="77777777" w:rsidR="002B5F91" w:rsidRPr="006407CD" w:rsidRDefault="002B5F91" w:rsidP="002B5F91">
      <w:pPr>
        <w:autoSpaceDE w:val="0"/>
        <w:autoSpaceDN w:val="0"/>
        <w:adjustRightInd w:val="0"/>
        <w:spacing w:after="120"/>
        <w:contextualSpacing/>
        <w:jc w:val="center"/>
        <w:rPr>
          <w:rFonts w:ascii="Times New Roman" w:hAnsi="Times New Roman"/>
          <w:b/>
          <w:iCs/>
          <w:sz w:val="24"/>
          <w:szCs w:val="24"/>
        </w:rPr>
      </w:pPr>
    </w:p>
    <w:p w14:paraId="72A81DA2" w14:textId="1A6BDE41" w:rsidR="000024E1" w:rsidRPr="006407CD" w:rsidRDefault="00000000" w:rsidP="002B5F91">
      <w:pPr>
        <w:autoSpaceDE w:val="0"/>
        <w:autoSpaceDN w:val="0"/>
        <w:adjustRightInd w:val="0"/>
        <w:spacing w:after="120"/>
        <w:ind w:firstLine="720"/>
        <w:jc w:val="both"/>
        <w:rPr>
          <w:rFonts w:ascii="Times New Roman" w:hAnsi="Times New Roman"/>
          <w:b/>
          <w:i/>
          <w:sz w:val="24"/>
          <w:szCs w:val="24"/>
        </w:rPr>
      </w:pPr>
      <w:r w:rsidRPr="006407CD">
        <w:rPr>
          <w:rFonts w:ascii="Times New Roman" w:hAnsi="Times New Roman"/>
          <w:sz w:val="24"/>
          <w:szCs w:val="24"/>
        </w:rPr>
        <w:t xml:space="preserve">Prezentul referat de aprobare este elaborat în conformitate cu prevederile </w:t>
      </w:r>
      <w:r w:rsidRPr="006407CD">
        <w:rPr>
          <w:rFonts w:ascii="Times New Roman" w:hAnsi="Times New Roman"/>
          <w:sz w:val="24"/>
          <w:szCs w:val="24"/>
        </w:rPr>
        <w:br/>
        <w:t xml:space="preserve">art. 6 alin. (3) și art. 30 alin. (1) lit. c) și alin. (2) din Legea nr. 24/2000 privind normele de tehnică legislativă pentru elaborarea actelor normative, republicată, cu modificările și completările ulterioare, reprezentând instrumentul de prezentare și motivare a </w:t>
      </w:r>
      <w:r w:rsidRPr="006407CD">
        <w:rPr>
          <w:rFonts w:ascii="Times New Roman" w:hAnsi="Times New Roman"/>
          <w:b/>
          <w:i/>
          <w:sz w:val="24"/>
          <w:szCs w:val="24"/>
        </w:rPr>
        <w:t xml:space="preserve">proiectului de Ordin </w:t>
      </w:r>
      <w:r w:rsidRPr="006407CD">
        <w:rPr>
          <w:rFonts w:ascii="Times New Roman" w:hAnsi="Times New Roman"/>
          <w:b/>
          <w:bCs/>
          <w:i/>
          <w:color w:val="000000"/>
          <w:sz w:val="24"/>
          <w:szCs w:val="24"/>
          <w:lang w:eastAsia="ro-RO"/>
        </w:rPr>
        <w:t>p</w:t>
      </w:r>
      <w:r w:rsidR="00C646DE" w:rsidRPr="006407CD">
        <w:rPr>
          <w:rFonts w:ascii="Times New Roman" w:hAnsi="Times New Roman"/>
          <w:b/>
          <w:bCs/>
          <w:i/>
          <w:color w:val="000000"/>
          <w:sz w:val="24"/>
          <w:szCs w:val="24"/>
          <w:lang w:eastAsia="ro-RO"/>
        </w:rPr>
        <w:t>entru</w:t>
      </w:r>
      <w:r w:rsidR="00F63F30" w:rsidRPr="006407CD">
        <w:rPr>
          <w:rFonts w:ascii="Times New Roman" w:hAnsi="Times New Roman"/>
          <w:b/>
          <w:bCs/>
          <w:i/>
          <w:color w:val="000000"/>
          <w:sz w:val="24"/>
          <w:szCs w:val="24"/>
          <w:lang w:eastAsia="ro-RO"/>
        </w:rPr>
        <w:t xml:space="preserve"> aprobarea</w:t>
      </w:r>
      <w:r w:rsidRPr="006407CD">
        <w:rPr>
          <w:rFonts w:ascii="Times New Roman" w:hAnsi="Times New Roman"/>
          <w:b/>
          <w:bCs/>
          <w:i/>
          <w:color w:val="000000"/>
          <w:sz w:val="24"/>
          <w:szCs w:val="24"/>
          <w:lang w:eastAsia="ro-RO"/>
        </w:rPr>
        <w:t xml:space="preserve"> </w:t>
      </w:r>
      <w:r w:rsidR="00F63F30" w:rsidRPr="006407CD">
        <w:rPr>
          <w:rFonts w:ascii="Times New Roman" w:hAnsi="Times New Roman"/>
          <w:b/>
          <w:i/>
          <w:sz w:val="24"/>
          <w:szCs w:val="24"/>
        </w:rPr>
        <w:t>Procedurii privind cesiunea creanţelor bugetare datorate de debitorii la Fondul pentru mediu aflaţi în procedura insolvenţei</w:t>
      </w:r>
      <w:r w:rsidRPr="006407CD">
        <w:rPr>
          <w:rFonts w:ascii="Times New Roman" w:hAnsi="Times New Roman"/>
          <w:b/>
          <w:i/>
          <w:sz w:val="24"/>
          <w:szCs w:val="24"/>
        </w:rPr>
        <w:t xml:space="preserve">.  </w:t>
      </w:r>
    </w:p>
    <w:p w14:paraId="3685C5DD" w14:textId="45732281" w:rsidR="000024E1" w:rsidRPr="006407CD" w:rsidRDefault="00000000" w:rsidP="00852815">
      <w:pPr>
        <w:autoSpaceDE w:val="0"/>
        <w:autoSpaceDN w:val="0"/>
        <w:adjustRightInd w:val="0"/>
        <w:spacing w:after="120"/>
        <w:ind w:firstLine="720"/>
        <w:jc w:val="both"/>
        <w:rPr>
          <w:rFonts w:ascii="Times New Roman" w:hAnsi="Times New Roman"/>
          <w:sz w:val="24"/>
          <w:szCs w:val="24"/>
        </w:rPr>
      </w:pPr>
      <w:r w:rsidRPr="006407CD">
        <w:rPr>
          <w:rFonts w:ascii="Times New Roman" w:hAnsi="Times New Roman"/>
          <w:sz w:val="24"/>
          <w:szCs w:val="24"/>
        </w:rPr>
        <w:t>Proiectul de ordin a fost elaborat ținând cont de</w:t>
      </w:r>
      <w:r w:rsidR="00852815" w:rsidRPr="006407CD">
        <w:rPr>
          <w:rFonts w:ascii="Times New Roman" w:hAnsi="Times New Roman"/>
          <w:sz w:val="24"/>
          <w:szCs w:val="24"/>
        </w:rPr>
        <w:t xml:space="preserve"> preveder</w:t>
      </w:r>
      <w:r w:rsidR="004249A1" w:rsidRPr="006407CD">
        <w:rPr>
          <w:rFonts w:ascii="Times New Roman" w:hAnsi="Times New Roman"/>
          <w:sz w:val="24"/>
          <w:szCs w:val="24"/>
        </w:rPr>
        <w:t>ea</w:t>
      </w:r>
      <w:r w:rsidR="00B52E14" w:rsidRPr="006407CD">
        <w:rPr>
          <w:rFonts w:ascii="Times New Roman" w:hAnsi="Times New Roman"/>
          <w:sz w:val="24"/>
          <w:szCs w:val="24"/>
        </w:rPr>
        <w:t xml:space="preserve"> de la</w:t>
      </w:r>
      <w:r w:rsidR="00852815" w:rsidRPr="006407CD">
        <w:rPr>
          <w:rFonts w:ascii="Times New Roman" w:hAnsi="Times New Roman"/>
          <w:sz w:val="24"/>
          <w:szCs w:val="24"/>
        </w:rPr>
        <w:t xml:space="preserve"> art. 5 lit. i) din anexa la Hotărârea Guvernului nr. 277/2023 pentru aprobarea Regulamentului de organizare şi funcţionare a Administraţiei Fondului pentru Mediu</w:t>
      </w:r>
      <w:r w:rsidR="00B52E14" w:rsidRPr="006407CD">
        <w:rPr>
          <w:rFonts w:ascii="Times New Roman" w:hAnsi="Times New Roman"/>
          <w:sz w:val="24"/>
          <w:szCs w:val="24"/>
        </w:rPr>
        <w:t>, potrivit căreia Administrația ”</w:t>
      </w:r>
      <w:r w:rsidR="00B52E14" w:rsidRPr="006407CD">
        <w:rPr>
          <w:rFonts w:ascii="Times New Roman" w:hAnsi="Times New Roman"/>
          <w:i/>
          <w:iCs/>
          <w:sz w:val="24"/>
          <w:szCs w:val="24"/>
        </w:rPr>
        <w:t>urmăreşte colectarea veniturilor Fondului pentru mediu, reprezentând taxe şi contribuţii datorate de către plătitori, persoane juridice şi persoane fizice, conform prevederilor art. 9 alin. (1) din Ordonanţa de urgenţă a Guvernului nr. 196/2005, aprobată cu modificări şi completări prin Legea nr. 105/2006, cu modificările şi completările ulterioare”</w:t>
      </w:r>
      <w:r w:rsidR="00852815" w:rsidRPr="006407CD">
        <w:rPr>
          <w:rFonts w:ascii="Times New Roman" w:hAnsi="Times New Roman"/>
          <w:sz w:val="24"/>
          <w:szCs w:val="24"/>
        </w:rPr>
        <w:t xml:space="preserve"> și în temeiul art. 11 alin. (4) şi art. 12 din Ordonanţa de urgenţă a Guvernului nr. 196/2005 privind Fondul pentru mediu, aprobată cu modificări şi completări prin Legea nr. 105/2006, cu modificările şi completările ulterioare, </w:t>
      </w:r>
      <w:r w:rsidR="002C1B22" w:rsidRPr="006407CD">
        <w:rPr>
          <w:rFonts w:ascii="Times New Roman" w:hAnsi="Times New Roman"/>
          <w:sz w:val="24"/>
          <w:szCs w:val="24"/>
        </w:rPr>
        <w:t>al art. 264^1 și art. 342 alin. (3) din Legea nr. 207/2015 privind Codul de procedură fiscală, cu modificările şi completările ulterioare,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 cu modificările şi completările ulterioare.</w:t>
      </w:r>
    </w:p>
    <w:p w14:paraId="5EDF4483" w14:textId="5BBB0761" w:rsidR="006407CD" w:rsidRPr="00657D0D" w:rsidRDefault="00000000" w:rsidP="00691B73">
      <w:pPr>
        <w:spacing w:after="0"/>
        <w:ind w:left="-15" w:firstLine="735"/>
        <w:jc w:val="both"/>
        <w:rPr>
          <w:rFonts w:ascii="Times New Roman" w:hAnsi="Times New Roman"/>
          <w:bCs/>
          <w:i/>
          <w:iCs/>
          <w:sz w:val="24"/>
          <w:szCs w:val="24"/>
        </w:rPr>
      </w:pPr>
      <w:r w:rsidRPr="006407CD">
        <w:rPr>
          <w:rFonts w:ascii="Times New Roman" w:hAnsi="Times New Roman"/>
          <w:b/>
          <w:sz w:val="24"/>
          <w:szCs w:val="24"/>
        </w:rPr>
        <w:t xml:space="preserve">Baza legală a proiectului de ordin supus aprobării </w:t>
      </w:r>
      <w:r w:rsidRPr="006407CD">
        <w:rPr>
          <w:rFonts w:ascii="Times New Roman" w:hAnsi="Times New Roman"/>
          <w:bCs/>
          <w:sz w:val="24"/>
          <w:szCs w:val="24"/>
        </w:rPr>
        <w:t>o constituie prevederile art. 11 alin. (4) din Ordonanţa de urgenţă a Guvernului nr. 196/2005 privind Fondul pentru mediu, aprobată cu modificări şi completări prin Legea nr. 105/2006, cu modificările şi completările ulterioare, conform cărora ”</w:t>
      </w:r>
      <w:r w:rsidRPr="006407CD">
        <w:rPr>
          <w:rFonts w:ascii="Times New Roman" w:hAnsi="Times New Roman"/>
          <w:bCs/>
          <w:i/>
          <w:iCs/>
          <w:sz w:val="24"/>
          <w:szCs w:val="24"/>
        </w:rPr>
        <w:t>Formularele şi instrucţiunile de utilizare a acestora privind administrarea creanţelor datorate bugetului Fondului pentru mediu se aprobă prin ordin al conducătorului autorităţii publice centrale pentru protecţia mediului</w:t>
      </w:r>
      <w:r w:rsidRPr="006407CD">
        <w:rPr>
          <w:rFonts w:ascii="Times New Roman" w:hAnsi="Times New Roman"/>
          <w:bCs/>
          <w:sz w:val="24"/>
          <w:szCs w:val="24"/>
        </w:rPr>
        <w:t>”.</w:t>
      </w:r>
      <w:r w:rsidR="006407CD" w:rsidRPr="006407CD">
        <w:rPr>
          <w:rFonts w:ascii="Times New Roman" w:hAnsi="Times New Roman"/>
          <w:sz w:val="24"/>
          <w:szCs w:val="24"/>
        </w:rPr>
        <w:t xml:space="preserve"> Conform art. 12 alin. </w:t>
      </w:r>
      <w:r w:rsidR="006407CD" w:rsidRPr="006407CD">
        <w:rPr>
          <w:rFonts w:ascii="Times New Roman" w:hAnsi="Times New Roman"/>
          <w:bCs/>
          <w:sz w:val="24"/>
          <w:szCs w:val="24"/>
        </w:rPr>
        <w:t xml:space="preserve">(1) și (2) din același act normativ, </w:t>
      </w:r>
      <w:r w:rsidR="00657D0D" w:rsidRPr="00657D0D">
        <w:rPr>
          <w:rFonts w:ascii="Times New Roman" w:hAnsi="Times New Roman"/>
          <w:bCs/>
          <w:i/>
          <w:iCs/>
          <w:sz w:val="24"/>
          <w:szCs w:val="24"/>
        </w:rPr>
        <w:t xml:space="preserve">”(1) </w:t>
      </w:r>
      <w:r w:rsidR="006407CD" w:rsidRPr="00657D0D">
        <w:rPr>
          <w:rFonts w:ascii="Times New Roman" w:hAnsi="Times New Roman"/>
          <w:bCs/>
          <w:i/>
          <w:iCs/>
          <w:sz w:val="24"/>
          <w:szCs w:val="24"/>
        </w:rPr>
        <w:t>Contribuţiile, taxele, penalităţile şi alte sume ce constituie venit la bugetul Fondului pentru mediu se gestionează de Administraţia Fondului şi urmează regimul juridic al impozitelor, taxelor, contribuţiilor şi al altor sume datorate bugetului general consolidat, reglementat de Legea nr. 207/2015, cu modificările şi completările ulterioare.</w:t>
      </w:r>
    </w:p>
    <w:p w14:paraId="45048C6C" w14:textId="3116F007" w:rsidR="000024E1" w:rsidRPr="006407CD" w:rsidRDefault="006407CD" w:rsidP="00691B73">
      <w:pPr>
        <w:spacing w:after="0"/>
        <w:ind w:left="-15" w:firstLine="735"/>
        <w:jc w:val="both"/>
        <w:rPr>
          <w:rFonts w:ascii="Times New Roman" w:hAnsi="Times New Roman"/>
          <w:bCs/>
          <w:sz w:val="24"/>
          <w:szCs w:val="24"/>
        </w:rPr>
      </w:pPr>
      <w:r w:rsidRPr="00657D0D">
        <w:rPr>
          <w:rFonts w:ascii="Times New Roman" w:hAnsi="Times New Roman"/>
          <w:bCs/>
          <w:i/>
          <w:iCs/>
          <w:sz w:val="24"/>
          <w:szCs w:val="24"/>
        </w:rPr>
        <w:t xml:space="preserve">(2) Administrarea contribuţiilor, taxelor, penalităţilor şi a altor sume ce constituie venituri ale Fondului pentru mediu, inclusiv declararea, stabilirea, controlul, colectarea, soluţionarea contestaţiilor, precum şi îndeplinirea măsurilor asigurătorii şi procedura de executare silită se </w:t>
      </w:r>
      <w:r w:rsidRPr="00657D0D">
        <w:rPr>
          <w:rFonts w:ascii="Times New Roman" w:hAnsi="Times New Roman"/>
          <w:bCs/>
          <w:i/>
          <w:iCs/>
          <w:sz w:val="24"/>
          <w:szCs w:val="24"/>
        </w:rPr>
        <w:lastRenderedPageBreak/>
        <w:t>realizează de Administraţia Fondului în conformitate cu dispoziţiile Legii nr. 207/2015, cu modificările şi completările ulterioare, care se aplică în mod corespunzător</w:t>
      </w:r>
      <w:r w:rsidRPr="006407CD">
        <w:rPr>
          <w:rFonts w:ascii="Times New Roman" w:hAnsi="Times New Roman"/>
          <w:bCs/>
          <w:sz w:val="24"/>
          <w:szCs w:val="24"/>
        </w:rPr>
        <w:t>.</w:t>
      </w:r>
      <w:r w:rsidR="00657D0D">
        <w:rPr>
          <w:rFonts w:ascii="Times New Roman" w:hAnsi="Times New Roman"/>
          <w:bCs/>
          <w:sz w:val="24"/>
          <w:szCs w:val="24"/>
        </w:rPr>
        <w:t>”</w:t>
      </w:r>
    </w:p>
    <w:p w14:paraId="5A8BDC9B" w14:textId="3C228F8A" w:rsidR="000024E1" w:rsidRPr="006407CD" w:rsidRDefault="00000000" w:rsidP="00E940DB">
      <w:pPr>
        <w:autoSpaceDE w:val="0"/>
        <w:autoSpaceDN w:val="0"/>
        <w:adjustRightInd w:val="0"/>
        <w:spacing w:after="0"/>
        <w:ind w:firstLine="720"/>
        <w:jc w:val="both"/>
        <w:rPr>
          <w:rFonts w:ascii="Times New Roman" w:hAnsi="Times New Roman"/>
          <w:sz w:val="24"/>
          <w:szCs w:val="24"/>
        </w:rPr>
      </w:pPr>
      <w:r w:rsidRPr="006407CD">
        <w:rPr>
          <w:rFonts w:ascii="Times New Roman" w:hAnsi="Times New Roman"/>
          <w:b/>
          <w:sz w:val="24"/>
          <w:szCs w:val="24"/>
        </w:rPr>
        <w:t>Rațiunea juridică a</w:t>
      </w:r>
      <w:r w:rsidRPr="006407CD">
        <w:rPr>
          <w:rFonts w:ascii="Times New Roman" w:hAnsi="Times New Roman"/>
          <w:sz w:val="24"/>
          <w:szCs w:val="24"/>
        </w:rPr>
        <w:t xml:space="preserve"> </w:t>
      </w:r>
      <w:r w:rsidRPr="006407CD">
        <w:rPr>
          <w:rFonts w:ascii="Times New Roman" w:hAnsi="Times New Roman"/>
          <w:b/>
          <w:sz w:val="24"/>
          <w:szCs w:val="24"/>
        </w:rPr>
        <w:t>proiectului de ordin supus aprobării</w:t>
      </w:r>
      <w:r w:rsidRPr="006407CD">
        <w:rPr>
          <w:rFonts w:ascii="Times New Roman" w:hAnsi="Times New Roman"/>
          <w:i/>
          <w:sz w:val="24"/>
          <w:szCs w:val="24"/>
        </w:rPr>
        <w:t xml:space="preserve"> </w:t>
      </w:r>
      <w:r w:rsidRPr="006407CD">
        <w:rPr>
          <w:rFonts w:ascii="Times New Roman" w:hAnsi="Times New Roman"/>
          <w:sz w:val="24"/>
          <w:szCs w:val="24"/>
        </w:rPr>
        <w:t xml:space="preserve">este determinată de  necesitatea asigurării </w:t>
      </w:r>
      <w:r w:rsidR="00146CB3" w:rsidRPr="006407CD">
        <w:rPr>
          <w:rFonts w:ascii="Times New Roman" w:hAnsi="Times New Roman"/>
          <w:sz w:val="24"/>
          <w:szCs w:val="24"/>
        </w:rPr>
        <w:t>unei proceduri</w:t>
      </w:r>
      <w:r w:rsidRPr="006407CD">
        <w:rPr>
          <w:rFonts w:ascii="Times New Roman" w:hAnsi="Times New Roman"/>
          <w:sz w:val="24"/>
          <w:szCs w:val="24"/>
        </w:rPr>
        <w:t xml:space="preserve"> aplicabil</w:t>
      </w:r>
      <w:r w:rsidR="00146CB3" w:rsidRPr="006407CD">
        <w:rPr>
          <w:rFonts w:ascii="Times New Roman" w:hAnsi="Times New Roman"/>
          <w:sz w:val="24"/>
          <w:szCs w:val="24"/>
        </w:rPr>
        <w:t>e</w:t>
      </w:r>
      <w:r w:rsidRPr="006407CD">
        <w:rPr>
          <w:rFonts w:ascii="Times New Roman" w:hAnsi="Times New Roman"/>
          <w:sz w:val="24"/>
          <w:szCs w:val="24"/>
        </w:rPr>
        <w:t xml:space="preserve"> în domeniul administrării fiscale a obligațiilor datorate bugetului Fondului pentru mediu, respectiv </w:t>
      </w:r>
      <w:r w:rsidR="006327D0" w:rsidRPr="006407CD">
        <w:rPr>
          <w:rFonts w:ascii="Times New Roman" w:hAnsi="Times New Roman"/>
          <w:sz w:val="24"/>
          <w:szCs w:val="24"/>
        </w:rPr>
        <w:t>colectarea contribuţiilor datorate la Fondul pentru mediu</w:t>
      </w:r>
      <w:r w:rsidR="00337689" w:rsidRPr="006407CD">
        <w:rPr>
          <w:rFonts w:ascii="Times New Roman" w:hAnsi="Times New Roman"/>
          <w:sz w:val="24"/>
          <w:szCs w:val="24"/>
        </w:rPr>
        <w:t xml:space="preserve">, </w:t>
      </w:r>
      <w:r w:rsidR="00337689" w:rsidRPr="006407CD">
        <w:rPr>
          <w:rFonts w:ascii="Times New Roman" w:hAnsi="Times New Roman"/>
          <w:b/>
          <w:bCs/>
          <w:sz w:val="24"/>
          <w:szCs w:val="24"/>
        </w:rPr>
        <w:t>în scopul</w:t>
      </w:r>
      <w:r w:rsidR="001D21FC" w:rsidRPr="006407CD">
        <w:rPr>
          <w:rFonts w:ascii="Times New Roman" w:hAnsi="Times New Roman"/>
          <w:b/>
          <w:bCs/>
          <w:sz w:val="24"/>
          <w:szCs w:val="24"/>
        </w:rPr>
        <w:t xml:space="preserve"> eficientizării mecanismelor de recuperare a creanţelor bugetare faţă de societăţile aflate în stare de insolvenţă</w:t>
      </w:r>
      <w:r w:rsidR="00AF63B2" w:rsidRPr="006407CD">
        <w:rPr>
          <w:rFonts w:ascii="Times New Roman" w:hAnsi="Times New Roman"/>
          <w:b/>
          <w:bCs/>
          <w:sz w:val="24"/>
          <w:szCs w:val="24"/>
        </w:rPr>
        <w:t>.</w:t>
      </w:r>
    </w:p>
    <w:p w14:paraId="664E2BE1" w14:textId="7E7BCEE6" w:rsidR="005D4728" w:rsidRPr="006407CD" w:rsidRDefault="005D4728" w:rsidP="00E940DB">
      <w:pPr>
        <w:autoSpaceDE w:val="0"/>
        <w:autoSpaceDN w:val="0"/>
        <w:adjustRightInd w:val="0"/>
        <w:spacing w:after="0"/>
        <w:ind w:firstLine="720"/>
        <w:jc w:val="both"/>
        <w:rPr>
          <w:rFonts w:ascii="Times New Roman" w:hAnsi="Times New Roman"/>
          <w:sz w:val="24"/>
          <w:szCs w:val="24"/>
        </w:rPr>
      </w:pPr>
      <w:r w:rsidRPr="006407CD">
        <w:rPr>
          <w:rFonts w:ascii="Times New Roman" w:hAnsi="Times New Roman"/>
          <w:sz w:val="24"/>
          <w:szCs w:val="24"/>
        </w:rPr>
        <w:t xml:space="preserve">Prin </w:t>
      </w:r>
      <w:r w:rsidR="00D978FE" w:rsidRPr="006407CD">
        <w:rPr>
          <w:rFonts w:ascii="Times New Roman" w:hAnsi="Times New Roman"/>
          <w:i/>
          <w:iCs/>
          <w:sz w:val="24"/>
          <w:szCs w:val="24"/>
        </w:rPr>
        <w:t>Ordonanţa de urgenţă a Guvernului nr. 88/2018 pentru modificarea şi completarea unor acte normative în domeniul insolvenţei  şi a altor acte normative</w:t>
      </w:r>
      <w:r w:rsidR="00D978FE" w:rsidRPr="006407CD">
        <w:rPr>
          <w:rFonts w:ascii="Times New Roman" w:hAnsi="Times New Roman"/>
          <w:sz w:val="24"/>
          <w:szCs w:val="24"/>
        </w:rPr>
        <w:t xml:space="preserve"> a fost introdus în Codul de procedură fiscală art. 264^1, articol care reglement</w:t>
      </w:r>
      <w:r w:rsidR="005F2F1C" w:rsidRPr="006407CD">
        <w:rPr>
          <w:rFonts w:ascii="Times New Roman" w:hAnsi="Times New Roman"/>
          <w:sz w:val="24"/>
          <w:szCs w:val="24"/>
        </w:rPr>
        <w:t>ează</w:t>
      </w:r>
      <w:r w:rsidR="00D978FE" w:rsidRPr="006407CD">
        <w:rPr>
          <w:rFonts w:ascii="Times New Roman" w:hAnsi="Times New Roman"/>
          <w:sz w:val="24"/>
          <w:szCs w:val="24"/>
        </w:rPr>
        <w:t xml:space="preserve"> cesiunea creanțelor bugetare. Ulterior, prin </w:t>
      </w:r>
      <w:r w:rsidRPr="006407CD">
        <w:rPr>
          <w:rFonts w:ascii="Times New Roman" w:hAnsi="Times New Roman"/>
          <w:i/>
          <w:iCs/>
          <w:sz w:val="24"/>
          <w:szCs w:val="24"/>
        </w:rPr>
        <w:t>Legea nr. 113/2020 privind aprobarea Ordonanţei de urgenţă a Guvernului nr. 88/2018 pentru modificarea şi completarea unor acte normative în domeniul insolvenţei  şi a altor acte normative</w:t>
      </w:r>
      <w:r w:rsidR="00D978FE" w:rsidRPr="006407CD">
        <w:rPr>
          <w:rFonts w:ascii="Times New Roman" w:hAnsi="Times New Roman"/>
          <w:b/>
          <w:bCs/>
          <w:i/>
          <w:iCs/>
          <w:sz w:val="24"/>
          <w:szCs w:val="24"/>
        </w:rPr>
        <w:t xml:space="preserve">, </w:t>
      </w:r>
      <w:r w:rsidR="00D978FE" w:rsidRPr="006407CD">
        <w:rPr>
          <w:rFonts w:ascii="Times New Roman" w:hAnsi="Times New Roman"/>
          <w:sz w:val="24"/>
          <w:szCs w:val="24"/>
        </w:rPr>
        <w:t>acest articol a fost modificat</w:t>
      </w:r>
      <w:r w:rsidR="00187AF5" w:rsidRPr="006407CD">
        <w:rPr>
          <w:rFonts w:ascii="Times New Roman" w:hAnsi="Times New Roman"/>
          <w:sz w:val="24"/>
          <w:szCs w:val="24"/>
        </w:rPr>
        <w:t>.</w:t>
      </w:r>
    </w:p>
    <w:p w14:paraId="696CC92D" w14:textId="3052D53A" w:rsidR="00774E3F" w:rsidRPr="00774E3F" w:rsidRDefault="00774E3F" w:rsidP="00E940DB">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În fapt, </w:t>
      </w:r>
      <w:r w:rsidRPr="00901BAC">
        <w:rPr>
          <w:rFonts w:ascii="Times New Roman" w:hAnsi="Times New Roman"/>
          <w:i/>
          <w:iCs/>
          <w:sz w:val="24"/>
          <w:szCs w:val="24"/>
        </w:rPr>
        <w:t xml:space="preserve">Procedura de cesiune a creanţelor bugetare </w:t>
      </w:r>
      <w:r w:rsidR="00901BAC" w:rsidRPr="00901BAC">
        <w:rPr>
          <w:rFonts w:ascii="Times New Roman" w:hAnsi="Times New Roman"/>
          <w:i/>
          <w:iCs/>
          <w:sz w:val="24"/>
          <w:szCs w:val="24"/>
        </w:rPr>
        <w:t>datorate de debitorii la Fondul pentru mediu aflaţi în procedura insolvenţei,</w:t>
      </w:r>
      <w:r w:rsidR="00901BAC" w:rsidRPr="00901BAC">
        <w:rPr>
          <w:rFonts w:ascii="Times New Roman" w:hAnsi="Times New Roman"/>
          <w:sz w:val="24"/>
          <w:szCs w:val="24"/>
        </w:rPr>
        <w:t xml:space="preserve"> </w:t>
      </w:r>
      <w:r w:rsidR="00D76A8E">
        <w:rPr>
          <w:rFonts w:ascii="Times New Roman" w:hAnsi="Times New Roman"/>
          <w:sz w:val="24"/>
          <w:szCs w:val="24"/>
        </w:rPr>
        <w:t>propusă pentru aprobare</w:t>
      </w:r>
      <w:r w:rsidR="00901BAC">
        <w:rPr>
          <w:rFonts w:ascii="Times New Roman" w:hAnsi="Times New Roman"/>
          <w:sz w:val="24"/>
          <w:szCs w:val="24"/>
        </w:rPr>
        <w:t>,</w:t>
      </w:r>
      <w:r w:rsidR="00D76A8E">
        <w:rPr>
          <w:rFonts w:ascii="Times New Roman" w:hAnsi="Times New Roman"/>
          <w:sz w:val="24"/>
          <w:szCs w:val="24"/>
        </w:rPr>
        <w:t xml:space="preserve"> stabilește modalitatea de cesionare a creanțelor bugetare</w:t>
      </w:r>
      <w:r w:rsidR="00A82A70">
        <w:rPr>
          <w:rFonts w:ascii="Times New Roman" w:hAnsi="Times New Roman"/>
          <w:sz w:val="24"/>
          <w:szCs w:val="24"/>
        </w:rPr>
        <w:t>,</w:t>
      </w:r>
      <w:r w:rsidR="00D76A8E">
        <w:rPr>
          <w:rFonts w:ascii="Times New Roman" w:hAnsi="Times New Roman"/>
          <w:sz w:val="24"/>
          <w:szCs w:val="24"/>
        </w:rPr>
        <w:t xml:space="preserve"> </w:t>
      </w:r>
      <w:r w:rsidR="00B55D3A">
        <w:rPr>
          <w:rFonts w:ascii="Times New Roman" w:hAnsi="Times New Roman"/>
          <w:sz w:val="24"/>
          <w:szCs w:val="24"/>
        </w:rPr>
        <w:t>începând de la condițiile cesiunii, continuând cu demarararea selecției cesionarului</w:t>
      </w:r>
      <w:r w:rsidR="002E1478">
        <w:rPr>
          <w:rFonts w:ascii="Times New Roman" w:hAnsi="Times New Roman"/>
          <w:sz w:val="24"/>
          <w:szCs w:val="24"/>
        </w:rPr>
        <w:t xml:space="preserve"> </w:t>
      </w:r>
      <w:r w:rsidR="00196D05">
        <w:rPr>
          <w:rFonts w:ascii="Times New Roman" w:hAnsi="Times New Roman"/>
          <w:sz w:val="24"/>
          <w:szCs w:val="24"/>
        </w:rPr>
        <w:t xml:space="preserve">și încheierea contractului de cesiune, stabilind apoi formularele necesare derulării </w:t>
      </w:r>
      <w:r w:rsidR="00E940DB">
        <w:rPr>
          <w:rFonts w:ascii="Times New Roman" w:hAnsi="Times New Roman"/>
          <w:sz w:val="24"/>
          <w:szCs w:val="24"/>
        </w:rPr>
        <w:t>p</w:t>
      </w:r>
      <w:r w:rsidR="00196D05">
        <w:rPr>
          <w:rFonts w:ascii="Times New Roman" w:hAnsi="Times New Roman"/>
          <w:sz w:val="24"/>
          <w:szCs w:val="24"/>
        </w:rPr>
        <w:t>rocedurii. Aceasta se</w:t>
      </w:r>
      <w:r w:rsidRPr="00774E3F">
        <w:rPr>
          <w:rFonts w:ascii="Times New Roman" w:hAnsi="Times New Roman"/>
          <w:sz w:val="24"/>
          <w:szCs w:val="24"/>
        </w:rPr>
        <w:t xml:space="preserve"> aplică debitorilor aflaţi în procedura insolvenţei potrivit </w:t>
      </w:r>
      <w:r w:rsidRPr="00196D05">
        <w:rPr>
          <w:rFonts w:ascii="Times New Roman" w:hAnsi="Times New Roman"/>
          <w:i/>
          <w:iCs/>
          <w:sz w:val="24"/>
          <w:szCs w:val="24"/>
        </w:rPr>
        <w:t xml:space="preserve">Legii nr. 85/2014 privind procedurile de prevenire a insolvenţei şi de insolvenţă, cu modificările şi completările ulterioare, </w:t>
      </w:r>
      <w:r w:rsidRPr="00774E3F">
        <w:rPr>
          <w:rFonts w:ascii="Times New Roman" w:hAnsi="Times New Roman"/>
          <w:sz w:val="24"/>
          <w:szCs w:val="24"/>
        </w:rPr>
        <w:t>precum şi altor acte normative în baza cărora s-a declanşat procedura insolvenţei.</w:t>
      </w:r>
    </w:p>
    <w:p w14:paraId="44848DCA" w14:textId="10FD5B47" w:rsidR="000024E1" w:rsidRDefault="005C15F9" w:rsidP="00E940DB">
      <w:pPr>
        <w:spacing w:after="0"/>
        <w:ind w:firstLine="720"/>
        <w:jc w:val="both"/>
        <w:rPr>
          <w:rFonts w:ascii="Times New Roman" w:hAnsi="Times New Roman"/>
          <w:sz w:val="24"/>
          <w:szCs w:val="24"/>
        </w:rPr>
      </w:pPr>
      <w:r>
        <w:rPr>
          <w:rFonts w:ascii="Times New Roman" w:hAnsi="Times New Roman"/>
          <w:sz w:val="24"/>
          <w:szCs w:val="24"/>
        </w:rPr>
        <w:t xml:space="preserve">Vor face </w:t>
      </w:r>
      <w:r w:rsidRPr="005C15F9">
        <w:rPr>
          <w:rFonts w:ascii="Times New Roman" w:hAnsi="Times New Roman"/>
          <w:sz w:val="24"/>
          <w:szCs w:val="24"/>
        </w:rPr>
        <w:t>obiectul cesiunii creanţele Administrației Fondului pentru Mediu înscrise la masa credală și creanțele curente pentru care s-a formulat cerere de plată, rămase nestinse la data încheierii contractului de cesiune.</w:t>
      </w:r>
      <w:r w:rsidR="002B5F91" w:rsidRPr="006407CD">
        <w:rPr>
          <w:rFonts w:ascii="Times New Roman" w:hAnsi="Times New Roman"/>
          <w:sz w:val="24"/>
          <w:szCs w:val="24"/>
        </w:rPr>
        <w:t xml:space="preserve"> </w:t>
      </w:r>
    </w:p>
    <w:p w14:paraId="2C405C32" w14:textId="31D56323" w:rsidR="000024E1" w:rsidRPr="006407CD" w:rsidRDefault="000664EE" w:rsidP="00E940DB">
      <w:pPr>
        <w:spacing w:after="0"/>
        <w:ind w:firstLine="720"/>
        <w:jc w:val="both"/>
        <w:rPr>
          <w:rFonts w:ascii="Times New Roman" w:hAnsi="Times New Roman"/>
          <w:sz w:val="24"/>
          <w:szCs w:val="24"/>
        </w:rPr>
      </w:pPr>
      <w:r>
        <w:rPr>
          <w:rFonts w:ascii="Times New Roman" w:hAnsi="Times New Roman"/>
          <w:sz w:val="24"/>
          <w:szCs w:val="24"/>
        </w:rPr>
        <w:t>Prin instituirea ac</w:t>
      </w:r>
      <w:r w:rsidR="00086D18">
        <w:rPr>
          <w:rFonts w:ascii="Times New Roman" w:hAnsi="Times New Roman"/>
          <w:sz w:val="24"/>
          <w:szCs w:val="24"/>
        </w:rPr>
        <w:t>e</w:t>
      </w:r>
      <w:r>
        <w:rPr>
          <w:rFonts w:ascii="Times New Roman" w:hAnsi="Times New Roman"/>
          <w:sz w:val="24"/>
          <w:szCs w:val="24"/>
        </w:rPr>
        <w:t xml:space="preserve">stei Proceduri, se vor crea premisele eficientizării </w:t>
      </w:r>
      <w:r w:rsidRPr="000664EE">
        <w:rPr>
          <w:rFonts w:ascii="Times New Roman" w:hAnsi="Times New Roman"/>
          <w:sz w:val="24"/>
          <w:szCs w:val="24"/>
        </w:rPr>
        <w:t>recuper</w:t>
      </w:r>
      <w:r>
        <w:rPr>
          <w:rFonts w:ascii="Times New Roman" w:hAnsi="Times New Roman"/>
          <w:sz w:val="24"/>
          <w:szCs w:val="24"/>
        </w:rPr>
        <w:t xml:space="preserve">ării </w:t>
      </w:r>
      <w:r w:rsidRPr="000664EE">
        <w:rPr>
          <w:rFonts w:ascii="Times New Roman" w:hAnsi="Times New Roman"/>
          <w:sz w:val="24"/>
          <w:szCs w:val="24"/>
        </w:rPr>
        <w:t>creanţelor bugetare</w:t>
      </w:r>
      <w:r w:rsidR="00086D18">
        <w:rPr>
          <w:rFonts w:ascii="Times New Roman" w:hAnsi="Times New Roman"/>
          <w:sz w:val="24"/>
          <w:szCs w:val="24"/>
        </w:rPr>
        <w:t xml:space="preserve"> și</w:t>
      </w:r>
      <w:r w:rsidRPr="000664EE">
        <w:rPr>
          <w:rFonts w:ascii="Times New Roman" w:hAnsi="Times New Roman"/>
          <w:sz w:val="24"/>
          <w:szCs w:val="24"/>
        </w:rPr>
        <w:t xml:space="preserve"> </w:t>
      </w:r>
      <w:r w:rsidR="003878DE" w:rsidRPr="003878DE">
        <w:rPr>
          <w:rFonts w:ascii="Times New Roman" w:hAnsi="Times New Roman"/>
          <w:sz w:val="24"/>
          <w:szCs w:val="24"/>
        </w:rPr>
        <w:t>recuper</w:t>
      </w:r>
      <w:r w:rsidR="001E589D">
        <w:rPr>
          <w:rFonts w:ascii="Times New Roman" w:hAnsi="Times New Roman"/>
          <w:sz w:val="24"/>
          <w:szCs w:val="24"/>
        </w:rPr>
        <w:t>ă</w:t>
      </w:r>
      <w:r w:rsidR="003878DE" w:rsidRPr="003878DE">
        <w:rPr>
          <w:rFonts w:ascii="Times New Roman" w:hAnsi="Times New Roman"/>
          <w:sz w:val="24"/>
          <w:szCs w:val="24"/>
        </w:rPr>
        <w:t>r</w:t>
      </w:r>
      <w:r w:rsidR="00302A19">
        <w:rPr>
          <w:rFonts w:ascii="Times New Roman" w:hAnsi="Times New Roman"/>
          <w:sz w:val="24"/>
          <w:szCs w:val="24"/>
        </w:rPr>
        <w:t>ii</w:t>
      </w:r>
      <w:r w:rsidR="003878DE" w:rsidRPr="003878DE">
        <w:rPr>
          <w:rFonts w:ascii="Times New Roman" w:hAnsi="Times New Roman"/>
          <w:sz w:val="24"/>
          <w:szCs w:val="24"/>
        </w:rPr>
        <w:t xml:space="preserve"> mai rapid</w:t>
      </w:r>
      <w:r w:rsidR="00302A19">
        <w:rPr>
          <w:rFonts w:ascii="Times New Roman" w:hAnsi="Times New Roman"/>
          <w:sz w:val="24"/>
          <w:szCs w:val="24"/>
        </w:rPr>
        <w:t>e</w:t>
      </w:r>
      <w:r w:rsidR="003878DE" w:rsidRPr="003878DE">
        <w:rPr>
          <w:rFonts w:ascii="Times New Roman" w:hAnsi="Times New Roman"/>
          <w:sz w:val="24"/>
          <w:szCs w:val="24"/>
        </w:rPr>
        <w:t xml:space="preserve"> a</w:t>
      </w:r>
      <w:r w:rsidR="005F31A5">
        <w:rPr>
          <w:rFonts w:ascii="Times New Roman" w:hAnsi="Times New Roman"/>
          <w:sz w:val="24"/>
          <w:szCs w:val="24"/>
        </w:rPr>
        <w:t xml:space="preserve"> acestora</w:t>
      </w:r>
      <w:r w:rsidR="00302A19">
        <w:rPr>
          <w:rFonts w:ascii="Times New Roman" w:hAnsi="Times New Roman"/>
          <w:sz w:val="24"/>
          <w:szCs w:val="24"/>
        </w:rPr>
        <w:t xml:space="preserve">, determinând, în același timp și </w:t>
      </w:r>
      <w:r w:rsidR="001E589D">
        <w:rPr>
          <w:rFonts w:ascii="Times New Roman" w:hAnsi="Times New Roman"/>
          <w:sz w:val="24"/>
          <w:szCs w:val="24"/>
        </w:rPr>
        <w:t xml:space="preserve">creșterea </w:t>
      </w:r>
      <w:r w:rsidR="00302A19">
        <w:rPr>
          <w:rFonts w:ascii="Times New Roman" w:hAnsi="Times New Roman"/>
          <w:sz w:val="24"/>
          <w:szCs w:val="24"/>
        </w:rPr>
        <w:t>șansel</w:t>
      </w:r>
      <w:r w:rsidR="001E589D">
        <w:rPr>
          <w:rFonts w:ascii="Times New Roman" w:hAnsi="Times New Roman"/>
          <w:sz w:val="24"/>
          <w:szCs w:val="24"/>
        </w:rPr>
        <w:t>or</w:t>
      </w:r>
      <w:r w:rsidR="00302A19">
        <w:rPr>
          <w:rFonts w:ascii="Times New Roman" w:hAnsi="Times New Roman"/>
          <w:sz w:val="24"/>
          <w:szCs w:val="24"/>
        </w:rPr>
        <w:t xml:space="preserve"> de redresare a societăților în insolvență</w:t>
      </w:r>
      <w:r w:rsidR="001E589D">
        <w:rPr>
          <w:rFonts w:ascii="Times New Roman" w:hAnsi="Times New Roman"/>
          <w:sz w:val="24"/>
          <w:szCs w:val="24"/>
        </w:rPr>
        <w:t>;</w:t>
      </w:r>
      <w:r w:rsidR="005F31A5">
        <w:rPr>
          <w:rFonts w:ascii="Times New Roman" w:hAnsi="Times New Roman"/>
          <w:sz w:val="24"/>
          <w:szCs w:val="24"/>
        </w:rPr>
        <w:t xml:space="preserve"> </w:t>
      </w:r>
      <w:r w:rsidR="0066490C">
        <w:rPr>
          <w:rFonts w:ascii="Times New Roman" w:hAnsi="Times New Roman"/>
          <w:sz w:val="24"/>
          <w:szCs w:val="24"/>
        </w:rPr>
        <w:t xml:space="preserve">aceste consecințe sunt </w:t>
      </w:r>
      <w:r w:rsidR="003878DE" w:rsidRPr="003878DE">
        <w:rPr>
          <w:rFonts w:ascii="Times New Roman" w:hAnsi="Times New Roman"/>
          <w:sz w:val="24"/>
          <w:szCs w:val="24"/>
        </w:rPr>
        <w:t>în concordanţă atât cu interesul bugetar,</w:t>
      </w:r>
      <w:r w:rsidR="00302A19">
        <w:rPr>
          <w:rFonts w:ascii="Times New Roman" w:hAnsi="Times New Roman"/>
          <w:sz w:val="24"/>
          <w:szCs w:val="24"/>
        </w:rPr>
        <w:t xml:space="preserve"> </w:t>
      </w:r>
      <w:r w:rsidR="00302A19" w:rsidRPr="00302A19">
        <w:rPr>
          <w:rFonts w:ascii="Times New Roman" w:hAnsi="Times New Roman"/>
          <w:sz w:val="24"/>
          <w:szCs w:val="24"/>
        </w:rPr>
        <w:t>de creştere a nivelului de colectare a veniturilor bugetare,</w:t>
      </w:r>
      <w:r w:rsidR="00302A19" w:rsidRPr="00302A19">
        <w:t xml:space="preserve"> </w:t>
      </w:r>
      <w:r w:rsidR="00302A19">
        <w:t xml:space="preserve">cât </w:t>
      </w:r>
      <w:r w:rsidR="00302A19" w:rsidRPr="00302A19">
        <w:rPr>
          <w:rFonts w:ascii="Times New Roman" w:hAnsi="Times New Roman"/>
          <w:sz w:val="24"/>
          <w:szCs w:val="24"/>
        </w:rPr>
        <w:t>și cu cel</w:t>
      </w:r>
      <w:r w:rsidR="00302A19">
        <w:t xml:space="preserve"> </w:t>
      </w:r>
      <w:r w:rsidR="00302A19" w:rsidRPr="00302A19">
        <w:rPr>
          <w:rFonts w:ascii="Times New Roman" w:hAnsi="Times New Roman"/>
          <w:sz w:val="24"/>
          <w:szCs w:val="24"/>
        </w:rPr>
        <w:t>de îmbunătăţire a mediului de afaceri</w:t>
      </w:r>
      <w:r w:rsidR="005D084B">
        <w:rPr>
          <w:rFonts w:ascii="Times New Roman" w:hAnsi="Times New Roman"/>
          <w:sz w:val="24"/>
          <w:szCs w:val="24"/>
        </w:rPr>
        <w:t xml:space="preserve"> și </w:t>
      </w:r>
      <w:r w:rsidR="00E44507">
        <w:rPr>
          <w:rFonts w:ascii="Times New Roman" w:hAnsi="Times New Roman"/>
          <w:sz w:val="24"/>
          <w:szCs w:val="24"/>
        </w:rPr>
        <w:t xml:space="preserve">de </w:t>
      </w:r>
      <w:r w:rsidR="005D084B">
        <w:rPr>
          <w:rFonts w:ascii="Times New Roman" w:hAnsi="Times New Roman"/>
          <w:sz w:val="24"/>
          <w:szCs w:val="24"/>
        </w:rPr>
        <w:t>redresare</w:t>
      </w:r>
      <w:r w:rsidR="00E44507">
        <w:rPr>
          <w:rFonts w:ascii="Times New Roman" w:hAnsi="Times New Roman"/>
          <w:sz w:val="24"/>
          <w:szCs w:val="24"/>
        </w:rPr>
        <w:t xml:space="preserve"> a</w:t>
      </w:r>
      <w:r w:rsidR="005D084B">
        <w:rPr>
          <w:rFonts w:ascii="Times New Roman" w:hAnsi="Times New Roman"/>
          <w:sz w:val="24"/>
          <w:szCs w:val="24"/>
        </w:rPr>
        <w:t xml:space="preserve"> afacerilor viabile.</w:t>
      </w:r>
    </w:p>
    <w:p w14:paraId="5D31CC31" w14:textId="13C79116" w:rsidR="00D86BF6" w:rsidRDefault="00000000" w:rsidP="00E940DB">
      <w:pPr>
        <w:spacing w:after="0"/>
        <w:ind w:firstLine="720"/>
        <w:jc w:val="both"/>
        <w:rPr>
          <w:rFonts w:ascii="Times New Roman" w:hAnsi="Times New Roman"/>
          <w:b/>
          <w:bCs/>
          <w:i/>
          <w:iCs/>
          <w:sz w:val="24"/>
          <w:szCs w:val="24"/>
        </w:rPr>
      </w:pPr>
      <w:r w:rsidRPr="006407CD">
        <w:rPr>
          <w:rFonts w:ascii="Times New Roman" w:hAnsi="Times New Roman"/>
          <w:sz w:val="24"/>
          <w:szCs w:val="24"/>
        </w:rPr>
        <w:t xml:space="preserve">Pentru motivele invocate, vă rugăm să aprobați emiterea </w:t>
      </w:r>
      <w:r w:rsidRPr="00A20AC2">
        <w:rPr>
          <w:rFonts w:ascii="Times New Roman" w:hAnsi="Times New Roman"/>
          <w:b/>
          <w:bCs/>
          <w:i/>
          <w:iCs/>
          <w:sz w:val="24"/>
          <w:szCs w:val="24"/>
        </w:rPr>
        <w:t xml:space="preserve">Ordinului </w:t>
      </w:r>
      <w:r w:rsidR="00A20AC2" w:rsidRPr="00A20AC2">
        <w:rPr>
          <w:rFonts w:ascii="Times New Roman" w:hAnsi="Times New Roman"/>
          <w:b/>
          <w:bCs/>
          <w:i/>
          <w:iCs/>
          <w:sz w:val="24"/>
          <w:szCs w:val="24"/>
        </w:rPr>
        <w:t xml:space="preserve">pentru aprobarea Procedurii privind cesiunea creanţelor bugetare datorate de debitorii la Fondul pentru mediu aflaţi în procedura insolvenţei.  </w:t>
      </w:r>
    </w:p>
    <w:p w14:paraId="2E9BCCAD" w14:textId="77777777" w:rsidR="004C5F28" w:rsidRPr="006407CD" w:rsidRDefault="004C5F28" w:rsidP="00E940DB">
      <w:pPr>
        <w:spacing w:after="0"/>
        <w:ind w:firstLine="720"/>
        <w:jc w:val="both"/>
        <w:rPr>
          <w:rFonts w:ascii="Times New Roman" w:hAnsi="Times New Roman"/>
          <w:sz w:val="24"/>
          <w:szCs w:val="24"/>
        </w:rPr>
      </w:pPr>
    </w:p>
    <w:p w14:paraId="743217A5" w14:textId="77777777" w:rsidR="00D86BF6" w:rsidRPr="006407CD" w:rsidRDefault="00D86BF6" w:rsidP="00D86BF6">
      <w:pPr>
        <w:spacing w:after="0"/>
        <w:jc w:val="center"/>
        <w:rPr>
          <w:rFonts w:ascii="Times New Roman" w:eastAsia="Calibri" w:hAnsi="Times New Roman"/>
          <w:b/>
          <w:bCs/>
          <w:sz w:val="24"/>
          <w:szCs w:val="24"/>
        </w:rPr>
      </w:pPr>
      <w:r w:rsidRPr="006407CD">
        <w:rPr>
          <w:rFonts w:ascii="Times New Roman" w:eastAsia="Calibri" w:hAnsi="Times New Roman"/>
          <w:b/>
          <w:bCs/>
          <w:sz w:val="24"/>
          <w:szCs w:val="24"/>
        </w:rPr>
        <w:t>PREȘEDINTE,</w:t>
      </w:r>
    </w:p>
    <w:p w14:paraId="40C1FF44" w14:textId="77777777" w:rsidR="00D86BF6" w:rsidRPr="00792B83" w:rsidRDefault="00D86BF6" w:rsidP="00D86BF6">
      <w:pPr>
        <w:spacing w:after="0"/>
        <w:jc w:val="center"/>
        <w:rPr>
          <w:rFonts w:ascii="Times New Roman" w:eastAsia="Calibri" w:hAnsi="Times New Roman"/>
          <w:sz w:val="24"/>
          <w:szCs w:val="24"/>
        </w:rPr>
      </w:pPr>
      <w:r w:rsidRPr="00792B83">
        <w:rPr>
          <w:rFonts w:ascii="Times New Roman" w:eastAsia="Calibri" w:hAnsi="Times New Roman"/>
          <w:b/>
          <w:bCs/>
          <w:sz w:val="24"/>
          <w:szCs w:val="24"/>
        </w:rPr>
        <w:t>Laurențiu Adrian NECULAESCU</w:t>
      </w:r>
    </w:p>
    <w:p w14:paraId="6D6AA3F3" w14:textId="77777777" w:rsidR="00D86BF6" w:rsidRPr="00792B83" w:rsidRDefault="00D86BF6" w:rsidP="00D86BF6">
      <w:pPr>
        <w:spacing w:after="0"/>
        <w:rPr>
          <w:rFonts w:ascii="Times New Roman" w:eastAsia="Calibri" w:hAnsi="Times New Roman"/>
          <w:sz w:val="24"/>
          <w:szCs w:val="24"/>
        </w:rPr>
      </w:pPr>
    </w:p>
    <w:p w14:paraId="0A446C97" w14:textId="77777777" w:rsidR="00D86BF6" w:rsidRPr="00792B83" w:rsidRDefault="00D86BF6" w:rsidP="00D86BF6">
      <w:pPr>
        <w:spacing w:after="0"/>
        <w:rPr>
          <w:rFonts w:ascii="Times New Roman" w:eastAsia="Calibri" w:hAnsi="Times New Roman"/>
          <w:sz w:val="24"/>
          <w:szCs w:val="24"/>
        </w:rPr>
      </w:pPr>
    </w:p>
    <w:p w14:paraId="5DBEF455" w14:textId="21A6C460" w:rsidR="00D86BF6" w:rsidRPr="004C5F28" w:rsidRDefault="00D86BF6" w:rsidP="005E5D13">
      <w:pPr>
        <w:spacing w:after="0"/>
        <w:jc w:val="center"/>
        <w:rPr>
          <w:rFonts w:ascii="Times New Roman" w:eastAsia="Calibri" w:hAnsi="Times New Roman"/>
          <w:b/>
          <w:bCs/>
          <w:color w:val="FFFFFF" w:themeColor="background1"/>
          <w:sz w:val="24"/>
          <w:szCs w:val="24"/>
        </w:rPr>
      </w:pPr>
      <w:r w:rsidRPr="004C5F28">
        <w:rPr>
          <w:rFonts w:ascii="Times New Roman" w:eastAsia="Calibri" w:hAnsi="Times New Roman"/>
          <w:b/>
          <w:bCs/>
          <w:color w:val="FFFFFF" w:themeColor="background1"/>
          <w:sz w:val="24"/>
          <w:szCs w:val="24"/>
        </w:rPr>
        <w:t>Direc</w:t>
      </w:r>
      <w:r w:rsidR="00226507" w:rsidRPr="004C5F28">
        <w:rPr>
          <w:rFonts w:ascii="Times New Roman" w:eastAsia="Calibri" w:hAnsi="Times New Roman"/>
          <w:b/>
          <w:bCs/>
          <w:color w:val="FFFFFF" w:themeColor="background1"/>
          <w:sz w:val="24"/>
          <w:szCs w:val="24"/>
        </w:rPr>
        <w:t>tor</w:t>
      </w:r>
      <w:r w:rsidRPr="004C5F28">
        <w:rPr>
          <w:rFonts w:ascii="Times New Roman" w:eastAsia="Calibri" w:hAnsi="Times New Roman"/>
          <w:b/>
          <w:bCs/>
          <w:color w:val="FFFFFF" w:themeColor="background1"/>
          <w:sz w:val="24"/>
          <w:szCs w:val="24"/>
        </w:rPr>
        <w:t xml:space="preserve"> </w:t>
      </w:r>
      <w:r w:rsidR="004448A9" w:rsidRPr="004C5F28">
        <w:rPr>
          <w:rFonts w:ascii="Times New Roman" w:eastAsia="Calibri" w:hAnsi="Times New Roman"/>
          <w:b/>
          <w:bCs/>
          <w:color w:val="FFFFFF" w:themeColor="background1"/>
          <w:sz w:val="24"/>
          <w:szCs w:val="24"/>
        </w:rPr>
        <w:t xml:space="preserve">General </w:t>
      </w:r>
      <w:r w:rsidRPr="004C5F28">
        <w:rPr>
          <w:rFonts w:ascii="Times New Roman" w:eastAsia="Calibri" w:hAnsi="Times New Roman"/>
          <w:b/>
          <w:bCs/>
          <w:color w:val="FFFFFF" w:themeColor="background1"/>
          <w:sz w:val="24"/>
          <w:szCs w:val="24"/>
        </w:rPr>
        <w:t>Juridic</w:t>
      </w:r>
    </w:p>
    <w:p w14:paraId="3CDFCAD4" w14:textId="77A11D61" w:rsidR="00226507" w:rsidRPr="004C5F28" w:rsidRDefault="00226507" w:rsidP="005E5D13">
      <w:pPr>
        <w:spacing w:after="0"/>
        <w:jc w:val="center"/>
        <w:rPr>
          <w:rFonts w:ascii="Times New Roman" w:eastAsia="Calibri" w:hAnsi="Times New Roman"/>
          <w:b/>
          <w:bCs/>
          <w:color w:val="FFFFFF" w:themeColor="background1"/>
          <w:sz w:val="24"/>
          <w:szCs w:val="24"/>
        </w:rPr>
      </w:pPr>
      <w:r w:rsidRPr="004C5F28">
        <w:rPr>
          <w:rFonts w:ascii="Times New Roman" w:eastAsia="Calibri" w:hAnsi="Times New Roman"/>
          <w:b/>
          <w:bCs/>
          <w:color w:val="FFFFFF" w:themeColor="background1"/>
          <w:sz w:val="24"/>
          <w:szCs w:val="24"/>
        </w:rPr>
        <w:t>Răzvan Florin ALECU</w:t>
      </w:r>
    </w:p>
    <w:p w14:paraId="21045A84" w14:textId="77777777" w:rsidR="00123392" w:rsidRPr="004C5F28" w:rsidRDefault="00123392" w:rsidP="005E5D13">
      <w:pPr>
        <w:spacing w:after="0"/>
        <w:jc w:val="center"/>
        <w:rPr>
          <w:rFonts w:ascii="Times New Roman" w:eastAsia="Calibri" w:hAnsi="Times New Roman"/>
          <w:b/>
          <w:bCs/>
          <w:color w:val="FFFFFF" w:themeColor="background1"/>
          <w:sz w:val="24"/>
          <w:szCs w:val="24"/>
        </w:rPr>
      </w:pPr>
    </w:p>
    <w:p w14:paraId="0A552DB8" w14:textId="77777777" w:rsidR="00226507" w:rsidRPr="004C5F28" w:rsidRDefault="00226507" w:rsidP="00D86BF6">
      <w:pPr>
        <w:spacing w:after="0"/>
        <w:rPr>
          <w:rFonts w:ascii="Times New Roman" w:eastAsia="Calibri" w:hAnsi="Times New Roman"/>
          <w:color w:val="FFFFFF" w:themeColor="background1"/>
        </w:rPr>
      </w:pPr>
    </w:p>
    <w:p w14:paraId="14A71CAE" w14:textId="4CD96A28" w:rsidR="005E5D13" w:rsidRPr="004C5F28" w:rsidRDefault="00226507" w:rsidP="005E5D13">
      <w:pPr>
        <w:spacing w:after="0"/>
        <w:rPr>
          <w:rFonts w:ascii="Times New Roman" w:eastAsia="Calibri" w:hAnsi="Times New Roman"/>
          <w:color w:val="FFFFFF" w:themeColor="background1"/>
        </w:rPr>
      </w:pPr>
      <w:r w:rsidRPr="004C5F28">
        <w:rPr>
          <w:rFonts w:ascii="Times New Roman" w:eastAsia="Calibri" w:hAnsi="Times New Roman"/>
          <w:color w:val="FFFFFF" w:themeColor="background1"/>
        </w:rPr>
        <w:t>p. Director General Adjunct,</w:t>
      </w:r>
      <w:r w:rsidR="005E5D13" w:rsidRPr="004C5F28">
        <w:rPr>
          <w:rFonts w:ascii="Times New Roman" w:eastAsia="Calibri" w:hAnsi="Times New Roman"/>
          <w:color w:val="FFFFFF" w:themeColor="background1"/>
        </w:rPr>
        <w:t xml:space="preserve"> </w:t>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t>Șef Birou Analiză și Avizare,</w:t>
      </w:r>
    </w:p>
    <w:p w14:paraId="182DD372" w14:textId="5F825139" w:rsidR="00D86BF6" w:rsidRPr="004C5F28" w:rsidRDefault="00226507" w:rsidP="005E5D13">
      <w:pPr>
        <w:spacing w:after="0"/>
        <w:rPr>
          <w:rFonts w:ascii="Times New Roman" w:eastAsia="Calibri" w:hAnsi="Times New Roman"/>
          <w:color w:val="FFFFFF" w:themeColor="background1"/>
        </w:rPr>
      </w:pPr>
      <w:r w:rsidRPr="004C5F28">
        <w:rPr>
          <w:rFonts w:ascii="Times New Roman" w:eastAsia="Calibri" w:hAnsi="Times New Roman"/>
          <w:color w:val="FFFFFF" w:themeColor="background1"/>
        </w:rPr>
        <w:t>Andreea Coman</w:t>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005E5D13" w:rsidRPr="004C5F28">
        <w:rPr>
          <w:rFonts w:ascii="Times New Roman" w:eastAsia="Calibri" w:hAnsi="Times New Roman"/>
          <w:color w:val="FFFFFF" w:themeColor="background1"/>
        </w:rPr>
        <w:tab/>
      </w:r>
      <w:r w:rsidRPr="004C5F28">
        <w:rPr>
          <w:rFonts w:ascii="Times New Roman" w:eastAsia="Calibri" w:hAnsi="Times New Roman"/>
          <w:color w:val="FFFFFF" w:themeColor="background1"/>
        </w:rPr>
        <w:t>Emilia Pavel</w:t>
      </w:r>
    </w:p>
    <w:sectPr w:rsidR="00D86BF6" w:rsidRPr="004C5F28" w:rsidSect="003928AC">
      <w:headerReference w:type="even" r:id="rId8"/>
      <w:headerReference w:type="default" r:id="rId9"/>
      <w:footerReference w:type="even" r:id="rId10"/>
      <w:footerReference w:type="default" r:id="rId11"/>
      <w:headerReference w:type="first" r:id="rId12"/>
      <w:footerReference w:type="first" r:id="rId13"/>
      <w:pgSz w:w="11906" w:h="16838"/>
      <w:pgMar w:top="2127" w:right="851" w:bottom="1134" w:left="1134"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F5DD" w14:textId="77777777" w:rsidR="00440C11" w:rsidRDefault="00440C11">
      <w:pPr>
        <w:spacing w:after="0" w:line="240" w:lineRule="auto"/>
      </w:pPr>
      <w:r>
        <w:separator/>
      </w:r>
    </w:p>
  </w:endnote>
  <w:endnote w:type="continuationSeparator" w:id="0">
    <w:p w14:paraId="1B044E5D" w14:textId="77777777" w:rsidR="00440C11" w:rsidRDefault="0044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D74A" w14:textId="77777777" w:rsidR="00EB2D3C" w:rsidRDefault="00EB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noProof w:val="0"/>
      </w:rPr>
      <w:id w:val="943111864"/>
      <w:docPartObj>
        <w:docPartGallery w:val="Page Numbers (Bottom of Page)"/>
        <w:docPartUnique/>
      </w:docPartObj>
    </w:sdtPr>
    <w:sdtEndPr>
      <w:rPr>
        <w:rFonts w:ascii="Trebuchet MS" w:hAnsi="Trebuchet MS"/>
        <w:sz w:val="18"/>
        <w:szCs w:val="18"/>
      </w:rPr>
    </w:sdtEndPr>
    <w:sdtContent>
      <w:sdt>
        <w:sdtPr>
          <w:rPr>
            <w:rFonts w:ascii="Trebuchet MS" w:eastAsiaTheme="minorHAnsi" w:hAnsi="Trebuchet MS" w:cstheme="minorBidi"/>
            <w:noProof w:val="0"/>
            <w:sz w:val="18"/>
            <w:szCs w:val="18"/>
          </w:rPr>
          <w:id w:val="-1705238520"/>
          <w:docPartObj>
            <w:docPartGallery w:val="Page Numbers (Top of Page)"/>
            <w:docPartUnique/>
          </w:docPartObj>
        </w:sdtPr>
        <w:sdtContent>
          <w:p w14:paraId="77489BC9" w14:textId="77777777" w:rsidR="000024E1" w:rsidRDefault="00000000">
            <w:pPr>
              <w:spacing w:after="0"/>
              <w:jc w:val="center"/>
              <w:rPr>
                <w:rFonts w:ascii="Trebuchet MS" w:hAnsi="Trebuchet MS"/>
                <w:color w:val="404040"/>
                <w:sz w:val="18"/>
                <w:szCs w:val="18"/>
              </w:rPr>
            </w:pPr>
            <w:r>
              <w:rPr>
                <w:rFonts w:ascii="Trebuchet MS" w:hAnsi="Trebuchet MS"/>
                <w:sz w:val="18"/>
                <w:szCs w:val="18"/>
                <w:lang w:eastAsia="ro-RO"/>
              </w:rPr>
              <mc:AlternateContent>
                <mc:Choice Requires="wps">
                  <w:drawing>
                    <wp:anchor distT="4294967293" distB="4294967293" distL="114300" distR="114300" simplePos="0" relativeHeight="251658240" behindDoc="0" locked="0" layoutInCell="1" allowOverlap="1" wp14:anchorId="32CFEAD3" wp14:editId="6D7081C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217CD04"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78D5DAA" w14:textId="77777777" w:rsidR="000024E1"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454F0F1C" w14:textId="77777777" w:rsidR="000024E1" w:rsidRDefault="00000000">
            <w:pPr>
              <w:pStyle w:val="Footer"/>
              <w:jc w:val="right"/>
              <w:rPr>
                <w:rFonts w:ascii="Trebuchet MS" w:hAnsi="Trebuchet MS"/>
                <w:sz w:val="18"/>
                <w:szCs w:val="18"/>
              </w:rPr>
            </w:pPr>
            <w:r>
              <w:rPr>
                <w:rFonts w:ascii="Trebuchet MS" w:hAnsi="Trebuchet MS"/>
                <w:sz w:val="18"/>
                <w:szCs w:val="18"/>
              </w:rPr>
              <w:t xml:space="preserve">Page </w:t>
            </w:r>
            <w:r>
              <w:rPr>
                <w:rFonts w:ascii="Trebuchet MS" w:hAnsi="Trebuchet MS"/>
                <w:b/>
                <w:bCs/>
                <w:sz w:val="18"/>
                <w:szCs w:val="18"/>
              </w:rPr>
              <w:fldChar w:fldCharType="begin"/>
            </w:r>
            <w:r>
              <w:rPr>
                <w:rFonts w:ascii="Trebuchet MS" w:hAnsi="Trebuchet MS"/>
                <w:b/>
                <w:bCs/>
                <w:sz w:val="18"/>
                <w:szCs w:val="18"/>
              </w:rPr>
              <w:instrText xml:space="preserve"> PAGE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r>
              <w:rPr>
                <w:rFonts w:ascii="Trebuchet MS" w:hAnsi="Trebuchet MS"/>
                <w:sz w:val="18"/>
                <w:szCs w:val="18"/>
              </w:rPr>
              <w:t xml:space="preserve"> of </w:t>
            </w:r>
            <w:r>
              <w:rPr>
                <w:rFonts w:ascii="Trebuchet MS" w:hAnsi="Trebuchet MS"/>
                <w:b/>
                <w:bCs/>
                <w:sz w:val="18"/>
                <w:szCs w:val="18"/>
              </w:rPr>
              <w:fldChar w:fldCharType="begin"/>
            </w:r>
            <w:r>
              <w:rPr>
                <w:rFonts w:ascii="Trebuchet MS" w:hAnsi="Trebuchet MS"/>
                <w:b/>
                <w:bCs/>
                <w:sz w:val="18"/>
                <w:szCs w:val="18"/>
              </w:rPr>
              <w:instrText xml:space="preserve"> NUMPAGES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p>
        </w:sdtContent>
      </w:sdt>
    </w:sdtContent>
  </w:sdt>
  <w:p w14:paraId="05038289" w14:textId="77777777" w:rsidR="000024E1" w:rsidRDefault="00002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F53D" w14:textId="77777777" w:rsidR="00EB2D3C" w:rsidRDefault="00EB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F315" w14:textId="77777777" w:rsidR="00440C11" w:rsidRDefault="00440C11">
      <w:pPr>
        <w:spacing w:after="0" w:line="240" w:lineRule="auto"/>
      </w:pPr>
      <w:r>
        <w:separator/>
      </w:r>
    </w:p>
  </w:footnote>
  <w:footnote w:type="continuationSeparator" w:id="0">
    <w:p w14:paraId="7210A802" w14:textId="77777777" w:rsidR="00440C11" w:rsidRDefault="0044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43E9" w14:textId="6679699C" w:rsidR="00EB2D3C" w:rsidRDefault="00000000">
    <w:pPr>
      <w:pStyle w:val="Header"/>
    </w:pPr>
    <w:r>
      <w:rPr>
        <w:noProof/>
      </w:rPr>
      <w:pict w14:anchorId="62836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2" o:spid="_x0000_s1026" type="#_x0000_t136" style="position:absolute;margin-left:0;margin-top:0;width:475.5pt;height:203.8pt;rotation:315;z-index:-25165056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E5C1" w14:textId="49CE2D15" w:rsidR="000024E1" w:rsidRDefault="00000000">
    <w:pPr>
      <w:pStyle w:val="Header"/>
      <w:ind w:left="-851"/>
    </w:pPr>
    <w:r>
      <w:rPr>
        <w:noProof/>
      </w:rPr>
      <w:pict w14:anchorId="675F3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3" o:spid="_x0000_s1027" type="#_x0000_t136" style="position:absolute;left:0;text-align:left;margin-left:0;margin-top:0;width:475.5pt;height:203.8pt;rotation:315;z-index:-25164851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B2D3C">
      <w:rPr>
        <w:rFonts w:ascii="Times New Roman" w:hAnsi="Times New Roman"/>
        <w:b/>
        <w:noProof/>
        <w:sz w:val="28"/>
        <w:szCs w:val="28"/>
        <w:lang w:eastAsia="ro-RO"/>
      </w:rPr>
      <w:drawing>
        <wp:anchor distT="0" distB="0" distL="114300" distR="114300" simplePos="0" relativeHeight="251660288" behindDoc="1" locked="0" layoutInCell="1" allowOverlap="1" wp14:anchorId="18F4C831" wp14:editId="01B0BF92">
          <wp:simplePos x="0" y="0"/>
          <wp:positionH relativeFrom="column">
            <wp:posOffset>4819460</wp:posOffset>
          </wp:positionH>
          <wp:positionV relativeFrom="paragraph">
            <wp:posOffset>-97790</wp:posOffset>
          </wp:positionV>
          <wp:extent cx="1113155" cy="793115"/>
          <wp:effectExtent l="0" t="0" r="0" b="6985"/>
          <wp:wrapNone/>
          <wp:docPr id="758492241" name="Picture 758492241"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D3C">
      <w:rPr>
        <w:noProof/>
        <w:lang w:eastAsia="ro-RO"/>
      </w:rPr>
      <w:drawing>
        <wp:anchor distT="0" distB="0" distL="114300" distR="114300" simplePos="0" relativeHeight="251656192" behindDoc="0" locked="0" layoutInCell="1" allowOverlap="1" wp14:anchorId="74B1E741" wp14:editId="680190B0">
          <wp:simplePos x="0" y="0"/>
          <wp:positionH relativeFrom="column">
            <wp:posOffset>-338455</wp:posOffset>
          </wp:positionH>
          <wp:positionV relativeFrom="paragraph">
            <wp:posOffset>-102870</wp:posOffset>
          </wp:positionV>
          <wp:extent cx="866775" cy="866775"/>
          <wp:effectExtent l="0" t="0" r="9525" b="9525"/>
          <wp:wrapNone/>
          <wp:docPr id="153412065" name="Picture 153412065"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D59CCB2" w14:textId="77777777" w:rsidR="000024E1" w:rsidRDefault="00000000">
    <w:pPr>
      <w:pStyle w:val="Header"/>
      <w:ind w:left="-851"/>
    </w:pPr>
    <w:r>
      <w:rPr>
        <w:rFonts w:ascii="Trajan Pro" w:hAnsi="Trajan Pro" w:cs="Times New Roman"/>
        <w:sz w:val="20"/>
        <w:szCs w:val="20"/>
      </w:rPr>
      <w:t xml:space="preserve">                                    MINISTERUL MEDIULUI, APELOR ȘI PĂDURILOR</w:t>
    </w:r>
  </w:p>
  <w:p w14:paraId="690E8940" w14:textId="77777777" w:rsidR="000024E1"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DB44C1E" w14:textId="77777777" w:rsidR="000024E1" w:rsidRDefault="00000000">
    <w:pPr>
      <w:pStyle w:val="Header"/>
    </w:pPr>
    <w:r>
      <w:rPr>
        <w:noProof/>
        <w:lang w:eastAsia="ro-RO"/>
      </w:rPr>
      <mc:AlternateContent>
        <mc:Choice Requires="wps">
          <w:drawing>
            <wp:anchor distT="4294967295" distB="4294967295" distL="114300" distR="114300" simplePos="0" relativeHeight="251654144" behindDoc="0" locked="0" layoutInCell="1" allowOverlap="1" wp14:anchorId="1F18AC3F" wp14:editId="1094AD7A">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377EC7" id="Straight Connector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CE39" w14:textId="19C82DF0" w:rsidR="00EB2D3C" w:rsidRDefault="00000000">
    <w:pPr>
      <w:pStyle w:val="Header"/>
    </w:pPr>
    <w:r>
      <w:rPr>
        <w:noProof/>
      </w:rPr>
      <w:pict w14:anchorId="533B0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1" o:spid="_x0000_s1025" type="#_x0000_t136" style="position:absolute;margin-left:0;margin-top:0;width:475.5pt;height:203.8pt;rotation:315;z-index:-25165260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042"/>
    <w:multiLevelType w:val="hybridMultilevel"/>
    <w:tmpl w:val="B36A8A3C"/>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67B5E"/>
    <w:multiLevelType w:val="hybridMultilevel"/>
    <w:tmpl w:val="4B1E29D8"/>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03122977">
    <w:abstractNumId w:val="0"/>
  </w:num>
  <w:num w:numId="2" w16cid:durableId="80199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4E1"/>
    <w:rsid w:val="000024E1"/>
    <w:rsid w:val="000664EE"/>
    <w:rsid w:val="00081077"/>
    <w:rsid w:val="0008383E"/>
    <w:rsid w:val="00086D18"/>
    <w:rsid w:val="000973F5"/>
    <w:rsid w:val="000A0E82"/>
    <w:rsid w:val="000D4A5C"/>
    <w:rsid w:val="000F46AF"/>
    <w:rsid w:val="000F6D74"/>
    <w:rsid w:val="00116197"/>
    <w:rsid w:val="00123392"/>
    <w:rsid w:val="00146CB3"/>
    <w:rsid w:val="00187AF5"/>
    <w:rsid w:val="00196D05"/>
    <w:rsid w:val="001D21FC"/>
    <w:rsid w:val="001E589D"/>
    <w:rsid w:val="002120A8"/>
    <w:rsid w:val="00226507"/>
    <w:rsid w:val="002549F1"/>
    <w:rsid w:val="00280EE2"/>
    <w:rsid w:val="002B3778"/>
    <w:rsid w:val="002B5F91"/>
    <w:rsid w:val="002C1B22"/>
    <w:rsid w:val="002D6186"/>
    <w:rsid w:val="002E1478"/>
    <w:rsid w:val="002F551E"/>
    <w:rsid w:val="00302A19"/>
    <w:rsid w:val="00304B4D"/>
    <w:rsid w:val="00316EF4"/>
    <w:rsid w:val="00323867"/>
    <w:rsid w:val="00337689"/>
    <w:rsid w:val="003878DE"/>
    <w:rsid w:val="003928AC"/>
    <w:rsid w:val="00395BD8"/>
    <w:rsid w:val="003A51A3"/>
    <w:rsid w:val="003D2676"/>
    <w:rsid w:val="003E7E33"/>
    <w:rsid w:val="004249A1"/>
    <w:rsid w:val="004327CD"/>
    <w:rsid w:val="00440C11"/>
    <w:rsid w:val="004448A9"/>
    <w:rsid w:val="004619E5"/>
    <w:rsid w:val="00485092"/>
    <w:rsid w:val="00493462"/>
    <w:rsid w:val="004A43F1"/>
    <w:rsid w:val="004C5F28"/>
    <w:rsid w:val="0056102F"/>
    <w:rsid w:val="005611D5"/>
    <w:rsid w:val="00585AF6"/>
    <w:rsid w:val="005A59AF"/>
    <w:rsid w:val="005C15F9"/>
    <w:rsid w:val="005D084B"/>
    <w:rsid w:val="005D4728"/>
    <w:rsid w:val="005E5D13"/>
    <w:rsid w:val="005F2F1C"/>
    <w:rsid w:val="005F31A5"/>
    <w:rsid w:val="005F5CE6"/>
    <w:rsid w:val="00625703"/>
    <w:rsid w:val="006327D0"/>
    <w:rsid w:val="006367AB"/>
    <w:rsid w:val="006407CD"/>
    <w:rsid w:val="00655E5C"/>
    <w:rsid w:val="00657D0D"/>
    <w:rsid w:val="0066490C"/>
    <w:rsid w:val="00691B73"/>
    <w:rsid w:val="0069450E"/>
    <w:rsid w:val="0069557F"/>
    <w:rsid w:val="006C5861"/>
    <w:rsid w:val="006D00C0"/>
    <w:rsid w:val="00774E3F"/>
    <w:rsid w:val="00792B83"/>
    <w:rsid w:val="007F7C3F"/>
    <w:rsid w:val="00840AA3"/>
    <w:rsid w:val="00850DB6"/>
    <w:rsid w:val="00852815"/>
    <w:rsid w:val="008F054B"/>
    <w:rsid w:val="00901BAC"/>
    <w:rsid w:val="009A68D2"/>
    <w:rsid w:val="009B4E7D"/>
    <w:rsid w:val="009C1E4A"/>
    <w:rsid w:val="009D46FC"/>
    <w:rsid w:val="00A20AC2"/>
    <w:rsid w:val="00A8028F"/>
    <w:rsid w:val="00A80FFD"/>
    <w:rsid w:val="00A82A70"/>
    <w:rsid w:val="00AC6630"/>
    <w:rsid w:val="00AF63B2"/>
    <w:rsid w:val="00B52E14"/>
    <w:rsid w:val="00B55D3A"/>
    <w:rsid w:val="00B94CB1"/>
    <w:rsid w:val="00BC7ECF"/>
    <w:rsid w:val="00BF09EA"/>
    <w:rsid w:val="00C04710"/>
    <w:rsid w:val="00C05B96"/>
    <w:rsid w:val="00C43D46"/>
    <w:rsid w:val="00C45ACB"/>
    <w:rsid w:val="00C646DE"/>
    <w:rsid w:val="00CB72C2"/>
    <w:rsid w:val="00CC3A46"/>
    <w:rsid w:val="00D509BA"/>
    <w:rsid w:val="00D76A8E"/>
    <w:rsid w:val="00D86BF6"/>
    <w:rsid w:val="00D978FE"/>
    <w:rsid w:val="00DA55FA"/>
    <w:rsid w:val="00DD1C28"/>
    <w:rsid w:val="00DD57E6"/>
    <w:rsid w:val="00E44507"/>
    <w:rsid w:val="00E65254"/>
    <w:rsid w:val="00E8752F"/>
    <w:rsid w:val="00E940DB"/>
    <w:rsid w:val="00EA612C"/>
    <w:rsid w:val="00EB2D3C"/>
    <w:rsid w:val="00ED678C"/>
    <w:rsid w:val="00F15712"/>
    <w:rsid w:val="00F253DF"/>
    <w:rsid w:val="00F27DBE"/>
    <w:rsid w:val="00F332C1"/>
    <w:rsid w:val="00F63F30"/>
    <w:rsid w:val="00F71780"/>
    <w:rsid w:val="00FD7893"/>
    <w:rsid w:val="00FE47D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3DF45"/>
  <w15:docId w15:val="{BF5A4DAF-02CA-4758-95C2-21C716C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10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pubbdy1">
    <w:name w:val="s_pub_bdy1"/>
    <w:rPr>
      <w:rFonts w:ascii="Verdana" w:hAnsi="Verdana" w:hint="default"/>
      <w:b/>
      <w:bCs/>
      <w:color w:val="24689B"/>
      <w:sz w:val="21"/>
      <w:szCs w:val="21"/>
      <w:shd w:val="clear" w:color="auto" w:fill="FFFFFF"/>
    </w:rPr>
  </w:style>
  <w:style w:type="character" w:styleId="UnresolvedMention">
    <w:name w:val="Unresolved Mention"/>
    <w:basedOn w:val="DefaultParagraphFont"/>
    <w:uiPriority w:val="99"/>
    <w:semiHidden/>
    <w:unhideWhenUsed/>
    <w:rsid w:val="00E8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CBF4-3F20-421F-98B9-DC0F4D34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896</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275</cp:revision>
  <cp:lastPrinted>2023-09-21T13:55:00Z</cp:lastPrinted>
  <dcterms:created xsi:type="dcterms:W3CDTF">2019-11-11T10:58:00Z</dcterms:created>
  <dcterms:modified xsi:type="dcterms:W3CDTF">2023-09-21T13:55:00Z</dcterms:modified>
</cp:coreProperties>
</file>