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val="ru-RU" w:eastAsia="ar-SA"/>
        </w:rPr>
      </w:pPr>
      <w:r w:rsidRPr="00D42496">
        <w:rPr>
          <w:rFonts w:ascii="Times New Roman" w:eastAsia="Calibri" w:hAnsi="Times New Roman"/>
          <w:b/>
          <w:color w:val="000000" w:themeColor="text1"/>
          <w:sz w:val="24"/>
          <w:szCs w:val="24"/>
          <w:lang w:val="ru-RU" w:eastAsia="ar-SA"/>
        </w:rPr>
        <w:t>MINISTERUL</w:t>
      </w:r>
      <w:r w:rsidRPr="00D42496">
        <w:rPr>
          <w:rFonts w:ascii="Times New Roman" w:eastAsia="Calibri" w:hAnsi="Times New Roman"/>
          <w:b/>
          <w:color w:val="000000" w:themeColor="text1"/>
          <w:sz w:val="24"/>
          <w:szCs w:val="24"/>
          <w:lang w:eastAsia="ar-SA"/>
        </w:rPr>
        <w:t xml:space="preserve"> MEDIULUI,</w:t>
      </w:r>
      <w:r w:rsidRPr="00D42496">
        <w:rPr>
          <w:rFonts w:ascii="Times New Roman" w:eastAsia="Calibri" w:hAnsi="Times New Roman"/>
          <w:b/>
          <w:color w:val="000000" w:themeColor="text1"/>
          <w:sz w:val="24"/>
          <w:szCs w:val="24"/>
          <w:lang w:val="ru-RU" w:eastAsia="ar-SA"/>
        </w:rPr>
        <w:t xml:space="preserve"> APELOR  ŞI PĂDURILOR</w:t>
      </w: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42496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DC45F" wp14:editId="22833885">
            <wp:simplePos x="0" y="0"/>
            <wp:positionH relativeFrom="column">
              <wp:posOffset>3276600</wp:posOffset>
            </wp:positionH>
            <wp:positionV relativeFrom="paragraph">
              <wp:posOffset>112395</wp:posOffset>
            </wp:positionV>
            <wp:extent cx="677545" cy="914400"/>
            <wp:effectExtent l="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0419B" w:rsidRDefault="0060419B" w:rsidP="00101B21">
      <w:pPr>
        <w:pStyle w:val="PlainText"/>
        <w:tabs>
          <w:tab w:val="left" w:pos="851"/>
        </w:tabs>
        <w:ind w:left="567" w:firstLine="567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60419B" w:rsidRDefault="0060419B" w:rsidP="00101B21">
      <w:pPr>
        <w:pStyle w:val="PlainText"/>
        <w:tabs>
          <w:tab w:val="left" w:pos="851"/>
        </w:tabs>
        <w:ind w:left="567" w:firstLine="567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60419B">
      <w:pPr>
        <w:pStyle w:val="PlainText"/>
        <w:tabs>
          <w:tab w:val="left" w:pos="851"/>
          <w:tab w:val="left" w:pos="4678"/>
        </w:tabs>
        <w:ind w:left="567" w:firstLine="567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D4249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  <w:t>ORDIN</w:t>
      </w:r>
    </w:p>
    <w:p w:rsidR="00101B21" w:rsidRPr="00D42496" w:rsidRDefault="00101B21" w:rsidP="00101B21">
      <w:pPr>
        <w:pStyle w:val="PlainText"/>
        <w:tabs>
          <w:tab w:val="left" w:pos="851"/>
        </w:tabs>
        <w:ind w:left="567" w:firstLine="567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D4249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u-RU"/>
        </w:rPr>
        <w:t>Nr. .............din ......................20</w:t>
      </w:r>
      <w:r w:rsidRPr="00D42496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>20</w:t>
      </w:r>
    </w:p>
    <w:p w:rsidR="00E000FB" w:rsidRPr="00E000FB" w:rsidRDefault="004C4DB6" w:rsidP="00C54BA6">
      <w:pPr>
        <w:pStyle w:val="shdr"/>
        <w:spacing w:before="0" w:after="0"/>
        <w:ind w:left="567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pentru aprobarea </w:t>
      </w:r>
      <w:r w:rsidR="00E000FB" w:rsidRPr="00E000F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Metodologi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ei</w:t>
      </w:r>
      <w:r w:rsidR="00E000FB" w:rsidRPr="00E000F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privind organizarea și funcționarea aplicațiilor SUMAL 2.0, obligațiile utilizatorilor SUMAL 2.0, structura și modalitatea de transmitere a informațiilor standardizate și costurile serviciilor de emitere a avizelor de însoțire pentru situațiile prevăzute la art. 11 din Normele r</w:t>
      </w:r>
      <w:r w:rsidR="00E000FB" w:rsidRPr="00E000FB">
        <w:rPr>
          <w:rFonts w:ascii="Times New Roman" w:hAnsi="Times New Roman"/>
          <w:bCs w:val="0"/>
          <w:color w:val="000000" w:themeColor="text1"/>
          <w:sz w:val="24"/>
          <w:szCs w:val="24"/>
          <w:shd w:val="clear" w:color="auto" w:fill="FFFFFF"/>
        </w:rPr>
        <w:t>eferitoare la proveniența, circulația și comercializarea materialelor lemnoase, la regimul spațiilor de depozitare a materialelor lemnoase și al instalațiilor de prelucrat lemn rotund, precum și cele privind proveniența și circulația materialelor lemnoase destinate consumului propriu al proprietarului și unele măsuri de aplicare a prevederilor Regulamentului (UE) nr. 995/2010 al Parlamentului European și al Consiliului din 20 octombrie 2010 de stabilire a obligațiilor care revin operatorilor care introduc pe piață lemn și produse din lemn</w:t>
      </w:r>
    </w:p>
    <w:p w:rsidR="00E000FB" w:rsidRPr="00E000FB" w:rsidRDefault="00E000FB" w:rsidP="00C54BA6">
      <w:pPr>
        <w:pStyle w:val="shdr"/>
        <w:spacing w:before="0" w:after="0"/>
        <w:ind w:left="567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01B21" w:rsidRPr="00D42496" w:rsidRDefault="00101B21" w:rsidP="00101B21">
      <w:pPr>
        <w:tabs>
          <w:tab w:val="left" w:pos="851"/>
          <w:tab w:val="left" w:pos="4545"/>
        </w:tabs>
        <w:adjustRightInd w:val="0"/>
        <w:ind w:left="567"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101B21">
      <w:pPr>
        <w:pStyle w:val="alignmentlprefix0suffix2type23"/>
        <w:tabs>
          <w:tab w:val="left" w:pos="851"/>
        </w:tabs>
        <w:spacing w:before="0" w:beforeAutospacing="0" w:after="0" w:afterAutospacing="0"/>
        <w:ind w:left="567" w:firstLine="567"/>
        <w:jc w:val="both"/>
        <w:rPr>
          <w:color w:val="000000" w:themeColor="text1"/>
          <w:lang w:val="ru-RU"/>
        </w:rPr>
      </w:pPr>
      <w:r w:rsidRPr="00D42496">
        <w:rPr>
          <w:color w:val="000000" w:themeColor="text1"/>
          <w:lang w:val="ru-RU"/>
        </w:rPr>
        <w:t xml:space="preserve"> Având în vedere Referatul de aprobare nr. </w:t>
      </w:r>
      <w:r w:rsidR="008D746C">
        <w:rPr>
          <w:color w:val="000000" w:themeColor="text1"/>
          <w:lang w:val="ro-RO"/>
        </w:rPr>
        <w:t>…</w:t>
      </w:r>
      <w:r w:rsidR="0060419B">
        <w:rPr>
          <w:color w:val="000000" w:themeColor="text1"/>
          <w:lang w:val="ro-RO"/>
        </w:rPr>
        <w:t>..</w:t>
      </w:r>
      <w:r w:rsidRPr="00D42496">
        <w:rPr>
          <w:color w:val="000000" w:themeColor="text1"/>
          <w:lang w:val="ro-RO"/>
        </w:rPr>
        <w:t>……/DI/</w:t>
      </w:r>
      <w:r w:rsidRPr="00D42496">
        <w:rPr>
          <w:color w:val="000000" w:themeColor="text1"/>
          <w:lang w:val="ru-RU"/>
        </w:rPr>
        <w:t>20</w:t>
      </w:r>
      <w:r w:rsidRPr="00D42496">
        <w:rPr>
          <w:color w:val="000000" w:themeColor="text1"/>
        </w:rPr>
        <w:t>20</w:t>
      </w:r>
      <w:r w:rsidRPr="00D42496">
        <w:rPr>
          <w:color w:val="000000" w:themeColor="text1"/>
          <w:lang w:val="ru-RU"/>
        </w:rPr>
        <w:t xml:space="preserve"> al Direcţiei </w:t>
      </w:r>
      <w:r w:rsidRPr="00D42496">
        <w:rPr>
          <w:color w:val="000000" w:themeColor="text1"/>
          <w:lang w:val="ro-RO"/>
        </w:rPr>
        <w:t>P</w:t>
      </w:r>
      <w:r w:rsidRPr="00D42496">
        <w:rPr>
          <w:color w:val="000000" w:themeColor="text1"/>
          <w:lang w:val="ru-RU"/>
        </w:rPr>
        <w:t xml:space="preserve">olitici şi </w:t>
      </w:r>
      <w:r w:rsidRPr="00D42496">
        <w:rPr>
          <w:color w:val="000000" w:themeColor="text1"/>
          <w:lang w:val="ro-RO"/>
        </w:rPr>
        <w:t>S</w:t>
      </w:r>
      <w:r w:rsidRPr="00D42496">
        <w:rPr>
          <w:color w:val="000000" w:themeColor="text1"/>
          <w:lang w:val="ru-RU"/>
        </w:rPr>
        <w:t xml:space="preserve">trategii în </w:t>
      </w:r>
      <w:r w:rsidRPr="00D42496">
        <w:rPr>
          <w:color w:val="000000" w:themeColor="text1"/>
          <w:lang w:val="ro-RO"/>
        </w:rPr>
        <w:t>S</w:t>
      </w:r>
      <w:r w:rsidRPr="00D42496">
        <w:rPr>
          <w:color w:val="000000" w:themeColor="text1"/>
          <w:lang w:val="ru-RU"/>
        </w:rPr>
        <w:t xml:space="preserve">ilvicultură, </w:t>
      </w:r>
    </w:p>
    <w:p w:rsidR="00101B21" w:rsidRPr="00D42496" w:rsidRDefault="0060419B" w:rsidP="00101B21">
      <w:pPr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uând în considerare 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  <w:lang w:val="ru-RU"/>
        </w:rPr>
        <w:t>prevederil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CC1FCB">
        <w:rPr>
          <w:rFonts w:ascii="Times New Roman" w:hAnsi="Times New Roman"/>
          <w:color w:val="000000" w:themeColor="text1"/>
          <w:sz w:val="24"/>
          <w:szCs w:val="24"/>
        </w:rPr>
        <w:t xml:space="preserve">5 alin. (10) 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din </w:t>
      </w:r>
      <w:hyperlink r:id="rId7" w:history="1">
        <w:r w:rsidR="00CC1FCB" w:rsidRPr="00D42496">
          <w:rPr>
            <w:rFonts w:ascii="Times New Roman" w:hAnsi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Normel</w:t>
        </w:r>
        <w:r w:rsidR="00CC1FCB">
          <w:rPr>
            <w:rFonts w:ascii="Times New Roman" w:hAnsi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</w:t>
        </w:r>
      </w:hyperlink>
      <w:r w:rsidR="00CC1FCB" w:rsidRPr="00D42496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referitoare la proveniența, circulația și comercializarea materialelor lemnoase, la regimul spațiilor de depozitare a materialelor lemnoase și al instalațiilor de prelucrat lemn rotund, precum și a celor privind proveniența și circulația materialelor lemnoase destinate consumului propriu al proprietarului și a unor măsuri de aplicare a prevederilor Regulamentului (UE) nr. 995/2010 al Parlamentului European și al Consiliului din 20 octombrie 2010 de stabilire a obligațiilor care revin operatorilor care introduc pe piață lemn și produse din lemn,</w:t>
      </w:r>
      <w:r w:rsidR="00CC1FC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aprobate prin </w:t>
      </w:r>
      <w:r w:rsidR="00CC1FCB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>otărârea Guvernului nr. 497/2020</w:t>
      </w:r>
      <w:r w:rsidR="00CC1FC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01B21" w:rsidRPr="00D42496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101B21" w:rsidRPr="00D42496" w:rsidRDefault="0060419B" w:rsidP="00101B21">
      <w:pPr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î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>n temeiul art. 57 alin. (1) din Ordonanța de urgență a Guvernului nr. 57/2019 privind Codul administrativ, cu modificările și completările ulterioare,</w:t>
      </w:r>
      <w:r w:rsidR="00101B21" w:rsidRPr="00D424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01B21" w:rsidRPr="00D42496">
        <w:rPr>
          <w:rFonts w:ascii="Times New Roman" w:hAnsi="Times New Roman"/>
          <w:color w:val="000000" w:themeColor="text1"/>
          <w:sz w:val="24"/>
          <w:szCs w:val="24"/>
        </w:rPr>
        <w:t>precum</w:t>
      </w:r>
      <w:r w:rsidR="00101B21" w:rsidRPr="00D424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 art. 13 alin. (4) din Hotărârea Guvernului nr. 43/2020 privind organizarea şi funcţionarea Ministerului Mediului, Apelor şi Pădurilor,</w:t>
      </w:r>
    </w:p>
    <w:p w:rsidR="00101B21" w:rsidRPr="00D42496" w:rsidRDefault="00101B21" w:rsidP="00101B21">
      <w:pPr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101B21" w:rsidRPr="00D42496" w:rsidRDefault="00101B21" w:rsidP="00101B21">
      <w:pPr>
        <w:pStyle w:val="BodyTextIndent2"/>
        <w:tabs>
          <w:tab w:val="left" w:pos="851"/>
        </w:tabs>
        <w:spacing w:after="0" w:line="240" w:lineRule="auto"/>
        <w:ind w:left="567" w:firstLine="567"/>
        <w:jc w:val="both"/>
        <w:rPr>
          <w:b/>
          <w:color w:val="000000" w:themeColor="text1"/>
          <w:lang w:val="ru-RU"/>
        </w:rPr>
      </w:pPr>
    </w:p>
    <w:p w:rsidR="00101B21" w:rsidRPr="00D42496" w:rsidRDefault="00101B21" w:rsidP="00101B21">
      <w:pPr>
        <w:pStyle w:val="BodyTextIndent2"/>
        <w:tabs>
          <w:tab w:val="left" w:pos="851"/>
        </w:tabs>
        <w:spacing w:after="0" w:line="240" w:lineRule="auto"/>
        <w:ind w:left="567" w:firstLine="567"/>
        <w:jc w:val="both"/>
        <w:rPr>
          <w:b/>
          <w:color w:val="000000" w:themeColor="text1"/>
          <w:lang w:val="ru-RU"/>
        </w:rPr>
      </w:pPr>
      <w:r w:rsidRPr="00D42496">
        <w:rPr>
          <w:b/>
          <w:color w:val="000000" w:themeColor="text1"/>
          <w:lang w:val="ru-RU"/>
        </w:rPr>
        <w:t xml:space="preserve">ministrul  </w:t>
      </w:r>
      <w:r w:rsidRPr="00D42496">
        <w:rPr>
          <w:b/>
          <w:color w:val="000000" w:themeColor="text1"/>
          <w:lang w:val="ro-RO"/>
        </w:rPr>
        <w:t xml:space="preserve">mediului, </w:t>
      </w:r>
      <w:r w:rsidRPr="00D42496">
        <w:rPr>
          <w:b/>
          <w:color w:val="000000" w:themeColor="text1"/>
          <w:lang w:val="ru-RU"/>
        </w:rPr>
        <w:t xml:space="preserve">apelor şi pădurilor </w:t>
      </w:r>
      <w:r w:rsidRPr="00D42496">
        <w:rPr>
          <w:color w:val="000000" w:themeColor="text1"/>
          <w:lang w:val="ru-RU"/>
        </w:rPr>
        <w:t>emite următorul</w:t>
      </w:r>
    </w:p>
    <w:p w:rsidR="00101B21" w:rsidRPr="00D42496" w:rsidRDefault="00101B21" w:rsidP="00101B21">
      <w:pPr>
        <w:tabs>
          <w:tab w:val="left" w:pos="851"/>
        </w:tabs>
        <w:ind w:left="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1B21" w:rsidRPr="00D42496" w:rsidRDefault="00101B21" w:rsidP="00101B21">
      <w:pPr>
        <w:tabs>
          <w:tab w:val="left" w:pos="851"/>
        </w:tabs>
        <w:ind w:left="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D4249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ORDIN</w:t>
      </w:r>
      <w:r w:rsidRPr="00D42496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:</w:t>
      </w:r>
    </w:p>
    <w:p w:rsidR="00101B21" w:rsidRPr="00D42496" w:rsidRDefault="00101B21" w:rsidP="00101B21">
      <w:pPr>
        <w:tabs>
          <w:tab w:val="left" w:pos="851"/>
        </w:tabs>
        <w:ind w:left="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1B21" w:rsidRPr="00E000FB" w:rsidRDefault="00101B21" w:rsidP="00E000FB">
      <w:pPr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6659" w:rsidRPr="00D42496" w:rsidRDefault="00196659" w:rsidP="00E000FB">
      <w:pPr>
        <w:pStyle w:val="shdr"/>
        <w:spacing w:before="0" w:after="0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00FB">
        <w:rPr>
          <w:rFonts w:ascii="Times New Roman" w:hAnsi="Times New Roman"/>
          <w:color w:val="000000" w:themeColor="text1"/>
          <w:sz w:val="24"/>
          <w:szCs w:val="24"/>
        </w:rPr>
        <w:t>Art</w:t>
      </w:r>
      <w:r w:rsidR="00101B21" w:rsidRPr="00E000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000F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1B21" w:rsidRPr="00E000F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1B21" w:rsidRPr="00E000F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- </w:t>
      </w:r>
      <w:r w:rsidRPr="00E000FB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 xml:space="preserve">Se aprobă </w:t>
      </w:r>
      <w:r w:rsidR="00E000FB" w:rsidRPr="00E000FB">
        <w:rPr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Metodologia privind organizarea și funcționarea aplicațiilor SUMAL 2.0, obligațiile utilizatorilor SUMAL 2.0, structura și modalitatea de transmitere a informațiilor standardizate și costurile serviciilor de emitere a avizelor de însoțire pentru situațiile prevăzute la art. 11 din Normele r</w:t>
      </w:r>
      <w:r w:rsidR="00E000FB" w:rsidRPr="00E000FB">
        <w:rPr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eferitoare la proveniența, circulația și comercializarea materialelor lemnoase, la regimul spațiilor de depozitare a materialelor lemnoase și al instalațiilor de prelucrat lemn rotund, precum și cele privind proveniența și circulația materialelor lemnoase destinate consumului propriu al proprietarului și unele măsuri de aplicare a prevederilor Regulamentului (UE) nr. 995/2010 al Parlamentului European și al Consiliului din 20 octombrie 2010 de stabilire a obligațiilor care revin operatorilor care introduc pe piață lemn și produse din lemn</w:t>
      </w:r>
      <w:r w:rsidRPr="00D42496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 xml:space="preserve">, prevăzută în </w:t>
      </w:r>
      <w:r w:rsidRPr="0060419B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>anexa c</w:t>
      </w:r>
      <w:r w:rsidRPr="00D42496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>are face parte integrantă din prezentul ordin.</w:t>
      </w:r>
    </w:p>
    <w:p w:rsidR="00196659" w:rsidRPr="00D42496" w:rsidRDefault="00196659" w:rsidP="00C340A3">
      <w:pPr>
        <w:pStyle w:val="sartttl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496">
        <w:rPr>
          <w:rFonts w:ascii="Times New Roman" w:hAnsi="Times New Roman"/>
          <w:color w:val="000000" w:themeColor="text1"/>
          <w:sz w:val="24"/>
          <w:szCs w:val="24"/>
        </w:rPr>
        <w:lastRenderedPageBreak/>
        <w:t>Art</w:t>
      </w:r>
      <w:r w:rsidR="00C340A3" w:rsidRPr="00D424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C340A3"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r w:rsidRPr="00D42496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>La data intrării în vigoare a prezentului ordin, Ordinul ministrului delegat pentru ape, păduri și piscicultură nr. 837/2014 pentru aprobarea Metodologiei privind organizarea şi funcţionarea sistemului informaţional integrat de urmărire a materialelor lemnoase (SUMAL) şi obligaţiile operatorilor economici legate de acesta,</w:t>
      </w:r>
      <w:r w:rsidR="0060419B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 xml:space="preserve"> cu modificările și completările </w:t>
      </w:r>
      <w:r w:rsidRPr="00D42496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 xml:space="preserve"> </w:t>
      </w:r>
      <w:r w:rsidR="0060419B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 xml:space="preserve">ulterioare, </w:t>
      </w:r>
      <w:r w:rsidRPr="00D42496">
        <w:rPr>
          <w:rStyle w:val="spar3"/>
          <w:rFonts w:ascii="Times New Roman" w:hAnsi="Times New Roman"/>
          <w:b w:val="0"/>
          <w:bCs w:val="0"/>
          <w:color w:val="000000" w:themeColor="text1"/>
          <w:sz w:val="24"/>
          <w:szCs w:val="24"/>
          <w:specVanish w:val="0"/>
        </w:rPr>
        <w:t>publicat în Monitorul Oficial al României, Partea I, nr. 761 din 13 noiembrie 2014, se abrogă.</w:t>
      </w:r>
    </w:p>
    <w:p w:rsidR="00196659" w:rsidRPr="00D42496" w:rsidRDefault="00196659" w:rsidP="00C340A3">
      <w:pPr>
        <w:pStyle w:val="sartttl"/>
        <w:ind w:left="567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42496">
        <w:rPr>
          <w:rFonts w:ascii="Times New Roman" w:hAnsi="Times New Roman"/>
          <w:color w:val="000000" w:themeColor="text1"/>
          <w:sz w:val="24"/>
          <w:szCs w:val="24"/>
        </w:rPr>
        <w:t>Art</w:t>
      </w:r>
      <w:r w:rsidR="00C340A3" w:rsidRPr="00D424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C340A3" w:rsidRPr="00D4249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340A3" w:rsidRPr="00D4249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Pr="00D42496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Prezentul ordin se publică în Monitorul Oficial al României, Partea I.</w:t>
      </w:r>
    </w:p>
    <w:p w:rsidR="00CF1B2E" w:rsidRDefault="00CF1B2E" w:rsidP="00101B21">
      <w:pPr>
        <w:autoSpaceDE/>
        <w:ind w:left="56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C17EC" w:rsidRDefault="000C17EC" w:rsidP="00101B21">
      <w:pPr>
        <w:autoSpaceDE/>
        <w:ind w:left="56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C17EC" w:rsidRPr="00D42496" w:rsidRDefault="000C17EC" w:rsidP="00101B21">
      <w:pPr>
        <w:autoSpaceDE/>
        <w:ind w:left="56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96659" w:rsidRPr="00D42496" w:rsidRDefault="00196659" w:rsidP="00101B21">
      <w:pPr>
        <w:autoSpaceDE/>
        <w:ind w:left="56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424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Ministrul mediului, apelor și pădurilor</w:t>
      </w:r>
    </w:p>
    <w:p w:rsidR="00CF1B2E" w:rsidRPr="00D42496" w:rsidRDefault="00CF1B2E" w:rsidP="00101B21">
      <w:pPr>
        <w:autoSpaceDE/>
        <w:ind w:left="56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96659" w:rsidRPr="00D42496" w:rsidRDefault="00196659" w:rsidP="00C340A3">
      <w:pPr>
        <w:autoSpaceDE/>
        <w:ind w:left="567" w:firstLine="567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D424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  <w:r w:rsidR="00C340A3" w:rsidRPr="00D424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Costel ALEXE</w:t>
      </w:r>
    </w:p>
    <w:p w:rsidR="00C340A3" w:rsidRDefault="00C340A3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B1721" w:rsidRDefault="005B1721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B1721" w:rsidRDefault="005B1721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000FB" w:rsidRDefault="00E000FB" w:rsidP="00101B21">
      <w:pPr>
        <w:pStyle w:val="sanxttl"/>
        <w:ind w:left="567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2422D6" w:rsidRPr="00D42496" w:rsidRDefault="002422D6" w:rsidP="00EA7E53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422D6" w:rsidRPr="00D42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3" w:rsidRDefault="00401883" w:rsidP="006F29E3">
      <w:r>
        <w:separator/>
      </w:r>
    </w:p>
  </w:endnote>
  <w:endnote w:type="continuationSeparator" w:id="0">
    <w:p w:rsidR="00401883" w:rsidRDefault="00401883" w:rsidP="006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E3" w:rsidRDefault="006F2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E3" w:rsidRDefault="006F2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E3" w:rsidRDefault="006F2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3" w:rsidRDefault="00401883" w:rsidP="006F29E3">
      <w:r>
        <w:separator/>
      </w:r>
    </w:p>
  </w:footnote>
  <w:footnote w:type="continuationSeparator" w:id="0">
    <w:p w:rsidR="00401883" w:rsidRDefault="00401883" w:rsidP="006F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E3" w:rsidRDefault="006F2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149165"/>
      <w:docPartObj>
        <w:docPartGallery w:val="Watermarks"/>
        <w:docPartUnique/>
      </w:docPartObj>
    </w:sdtPr>
    <w:sdtEndPr/>
    <w:sdtContent>
      <w:p w:rsidR="006F29E3" w:rsidRDefault="0040188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8895252" o:spid="_x0000_s2049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E3" w:rsidRDefault="006F2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59"/>
    <w:rsid w:val="00002B80"/>
    <w:rsid w:val="00012112"/>
    <w:rsid w:val="000220EB"/>
    <w:rsid w:val="00022F14"/>
    <w:rsid w:val="000341E1"/>
    <w:rsid w:val="00045D80"/>
    <w:rsid w:val="0006283F"/>
    <w:rsid w:val="0008409A"/>
    <w:rsid w:val="000904BB"/>
    <w:rsid w:val="000C17EC"/>
    <w:rsid w:val="000D4381"/>
    <w:rsid w:val="000F4AC3"/>
    <w:rsid w:val="00101B21"/>
    <w:rsid w:val="001022B6"/>
    <w:rsid w:val="0010269F"/>
    <w:rsid w:val="00114305"/>
    <w:rsid w:val="001151D3"/>
    <w:rsid w:val="0012045C"/>
    <w:rsid w:val="0012078D"/>
    <w:rsid w:val="001369FB"/>
    <w:rsid w:val="00137176"/>
    <w:rsid w:val="001539F3"/>
    <w:rsid w:val="00177FB3"/>
    <w:rsid w:val="00181997"/>
    <w:rsid w:val="00195E75"/>
    <w:rsid w:val="00196659"/>
    <w:rsid w:val="001C4C76"/>
    <w:rsid w:val="001C72C0"/>
    <w:rsid w:val="001D14C6"/>
    <w:rsid w:val="001F4919"/>
    <w:rsid w:val="00202822"/>
    <w:rsid w:val="00211C50"/>
    <w:rsid w:val="002262DA"/>
    <w:rsid w:val="00231037"/>
    <w:rsid w:val="00236A16"/>
    <w:rsid w:val="002422D6"/>
    <w:rsid w:val="00243992"/>
    <w:rsid w:val="00253D91"/>
    <w:rsid w:val="00270126"/>
    <w:rsid w:val="00280009"/>
    <w:rsid w:val="0028293B"/>
    <w:rsid w:val="00291436"/>
    <w:rsid w:val="00296EA7"/>
    <w:rsid w:val="002A3C55"/>
    <w:rsid w:val="002B23B1"/>
    <w:rsid w:val="002C3DBA"/>
    <w:rsid w:val="002C5999"/>
    <w:rsid w:val="002D4BA0"/>
    <w:rsid w:val="002E61F1"/>
    <w:rsid w:val="002F3183"/>
    <w:rsid w:val="00301B1E"/>
    <w:rsid w:val="003121D8"/>
    <w:rsid w:val="00321DE7"/>
    <w:rsid w:val="00326A75"/>
    <w:rsid w:val="0034508F"/>
    <w:rsid w:val="00346A4F"/>
    <w:rsid w:val="003A43B1"/>
    <w:rsid w:val="003D5D41"/>
    <w:rsid w:val="00401883"/>
    <w:rsid w:val="00401DB1"/>
    <w:rsid w:val="0040632D"/>
    <w:rsid w:val="00410894"/>
    <w:rsid w:val="00421FA9"/>
    <w:rsid w:val="00425F97"/>
    <w:rsid w:val="00426611"/>
    <w:rsid w:val="00434234"/>
    <w:rsid w:val="00441551"/>
    <w:rsid w:val="00454538"/>
    <w:rsid w:val="004C4DB6"/>
    <w:rsid w:val="004C665F"/>
    <w:rsid w:val="004E58EC"/>
    <w:rsid w:val="004F77FD"/>
    <w:rsid w:val="00506DAC"/>
    <w:rsid w:val="00512955"/>
    <w:rsid w:val="005166DE"/>
    <w:rsid w:val="0053414F"/>
    <w:rsid w:val="00552538"/>
    <w:rsid w:val="00574221"/>
    <w:rsid w:val="0057626E"/>
    <w:rsid w:val="00586275"/>
    <w:rsid w:val="005961E9"/>
    <w:rsid w:val="005A2B8B"/>
    <w:rsid w:val="005B1721"/>
    <w:rsid w:val="005B3F93"/>
    <w:rsid w:val="005C4D13"/>
    <w:rsid w:val="005D2009"/>
    <w:rsid w:val="005E2C8A"/>
    <w:rsid w:val="005E7761"/>
    <w:rsid w:val="005F6DD4"/>
    <w:rsid w:val="0060419B"/>
    <w:rsid w:val="00635B64"/>
    <w:rsid w:val="006477D6"/>
    <w:rsid w:val="00665503"/>
    <w:rsid w:val="00680B4A"/>
    <w:rsid w:val="00682A43"/>
    <w:rsid w:val="0068461C"/>
    <w:rsid w:val="00694DDF"/>
    <w:rsid w:val="006A4D9A"/>
    <w:rsid w:val="006A775B"/>
    <w:rsid w:val="006C028D"/>
    <w:rsid w:val="006C303B"/>
    <w:rsid w:val="006F29E3"/>
    <w:rsid w:val="006F5C7B"/>
    <w:rsid w:val="00707C34"/>
    <w:rsid w:val="007132E3"/>
    <w:rsid w:val="0071769B"/>
    <w:rsid w:val="007570D5"/>
    <w:rsid w:val="007825B7"/>
    <w:rsid w:val="00796C01"/>
    <w:rsid w:val="007B42CB"/>
    <w:rsid w:val="007C00B6"/>
    <w:rsid w:val="007C487C"/>
    <w:rsid w:val="007C60D1"/>
    <w:rsid w:val="007C6BA6"/>
    <w:rsid w:val="007D3C6A"/>
    <w:rsid w:val="007E1805"/>
    <w:rsid w:val="007F0C9B"/>
    <w:rsid w:val="00820674"/>
    <w:rsid w:val="0084661D"/>
    <w:rsid w:val="00863996"/>
    <w:rsid w:val="00884BDE"/>
    <w:rsid w:val="00884F6F"/>
    <w:rsid w:val="008856AA"/>
    <w:rsid w:val="008902FC"/>
    <w:rsid w:val="00891665"/>
    <w:rsid w:val="008A03B0"/>
    <w:rsid w:val="008B1037"/>
    <w:rsid w:val="008B22FD"/>
    <w:rsid w:val="008B4AFF"/>
    <w:rsid w:val="008C4AAA"/>
    <w:rsid w:val="008C4ABA"/>
    <w:rsid w:val="008D2270"/>
    <w:rsid w:val="008D35E1"/>
    <w:rsid w:val="008D746C"/>
    <w:rsid w:val="008E2368"/>
    <w:rsid w:val="008E2F73"/>
    <w:rsid w:val="0090312B"/>
    <w:rsid w:val="00930E8E"/>
    <w:rsid w:val="00943E9E"/>
    <w:rsid w:val="00964789"/>
    <w:rsid w:val="00967270"/>
    <w:rsid w:val="009719D2"/>
    <w:rsid w:val="00997CD9"/>
    <w:rsid w:val="009A65B5"/>
    <w:rsid w:val="009B526C"/>
    <w:rsid w:val="009E255A"/>
    <w:rsid w:val="009F2663"/>
    <w:rsid w:val="00A04162"/>
    <w:rsid w:val="00A1130F"/>
    <w:rsid w:val="00A279AC"/>
    <w:rsid w:val="00A538CF"/>
    <w:rsid w:val="00A90E29"/>
    <w:rsid w:val="00A91149"/>
    <w:rsid w:val="00A97651"/>
    <w:rsid w:val="00AA277B"/>
    <w:rsid w:val="00AA31B9"/>
    <w:rsid w:val="00AC15A5"/>
    <w:rsid w:val="00AC3314"/>
    <w:rsid w:val="00AD4633"/>
    <w:rsid w:val="00AF47B3"/>
    <w:rsid w:val="00B03A41"/>
    <w:rsid w:val="00B05984"/>
    <w:rsid w:val="00B21EF0"/>
    <w:rsid w:val="00B300E1"/>
    <w:rsid w:val="00B32D30"/>
    <w:rsid w:val="00B40B4E"/>
    <w:rsid w:val="00B74579"/>
    <w:rsid w:val="00B759D4"/>
    <w:rsid w:val="00B83D42"/>
    <w:rsid w:val="00BA0614"/>
    <w:rsid w:val="00BA3445"/>
    <w:rsid w:val="00BA704D"/>
    <w:rsid w:val="00BB2561"/>
    <w:rsid w:val="00BC13D1"/>
    <w:rsid w:val="00BC2F3B"/>
    <w:rsid w:val="00BC2FFF"/>
    <w:rsid w:val="00BC778A"/>
    <w:rsid w:val="00BE42D1"/>
    <w:rsid w:val="00C0678E"/>
    <w:rsid w:val="00C340A3"/>
    <w:rsid w:val="00C54BA6"/>
    <w:rsid w:val="00C64CD1"/>
    <w:rsid w:val="00C669CA"/>
    <w:rsid w:val="00C81786"/>
    <w:rsid w:val="00C8415A"/>
    <w:rsid w:val="00CA0585"/>
    <w:rsid w:val="00CA3784"/>
    <w:rsid w:val="00CB3C53"/>
    <w:rsid w:val="00CC153C"/>
    <w:rsid w:val="00CC1FCB"/>
    <w:rsid w:val="00CC27CB"/>
    <w:rsid w:val="00CF1B2E"/>
    <w:rsid w:val="00CF61C4"/>
    <w:rsid w:val="00D03455"/>
    <w:rsid w:val="00D17789"/>
    <w:rsid w:val="00D22F2F"/>
    <w:rsid w:val="00D23C26"/>
    <w:rsid w:val="00D333BA"/>
    <w:rsid w:val="00D35D2D"/>
    <w:rsid w:val="00D37CF0"/>
    <w:rsid w:val="00D42496"/>
    <w:rsid w:val="00D53F43"/>
    <w:rsid w:val="00D61F8F"/>
    <w:rsid w:val="00D640F4"/>
    <w:rsid w:val="00D6465D"/>
    <w:rsid w:val="00D65DEF"/>
    <w:rsid w:val="00D9787D"/>
    <w:rsid w:val="00DA6A09"/>
    <w:rsid w:val="00DA7E80"/>
    <w:rsid w:val="00DB191F"/>
    <w:rsid w:val="00DC5C4E"/>
    <w:rsid w:val="00DC7CC1"/>
    <w:rsid w:val="00DD0DF3"/>
    <w:rsid w:val="00DD4D4C"/>
    <w:rsid w:val="00DE1CC2"/>
    <w:rsid w:val="00DF7A54"/>
    <w:rsid w:val="00E000FB"/>
    <w:rsid w:val="00E327B4"/>
    <w:rsid w:val="00E4047C"/>
    <w:rsid w:val="00E40C8A"/>
    <w:rsid w:val="00E41D74"/>
    <w:rsid w:val="00E528F4"/>
    <w:rsid w:val="00E75088"/>
    <w:rsid w:val="00E90C24"/>
    <w:rsid w:val="00E92BBC"/>
    <w:rsid w:val="00E92D91"/>
    <w:rsid w:val="00EA1B88"/>
    <w:rsid w:val="00EA7E53"/>
    <w:rsid w:val="00EC1652"/>
    <w:rsid w:val="00EC2450"/>
    <w:rsid w:val="00ED0C7D"/>
    <w:rsid w:val="00ED61A6"/>
    <w:rsid w:val="00ED7F65"/>
    <w:rsid w:val="00EE3DDE"/>
    <w:rsid w:val="00EF59D5"/>
    <w:rsid w:val="00F11836"/>
    <w:rsid w:val="00F20CA8"/>
    <w:rsid w:val="00F32AE4"/>
    <w:rsid w:val="00F36291"/>
    <w:rsid w:val="00F5409D"/>
    <w:rsid w:val="00F6602E"/>
    <w:rsid w:val="00F9789C"/>
    <w:rsid w:val="00FD4AD0"/>
    <w:rsid w:val="00FE4820"/>
    <w:rsid w:val="00FE7D15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AD6BEF-43EA-4BD9-BA60-73C1884C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5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59"/>
    <w:rPr>
      <w:rFonts w:ascii="Segoe UI" w:eastAsia="Verdan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59"/>
    <w:rPr>
      <w:rFonts w:ascii="Segoe UI" w:hAnsi="Segoe UI" w:cs="Segoe UI"/>
      <w:szCs w:val="18"/>
    </w:rPr>
  </w:style>
  <w:style w:type="character" w:customStyle="1" w:styleId="sden1">
    <w:name w:val="s_den1"/>
    <w:basedOn w:val="DefaultParagraphFont"/>
    <w:rsid w:val="00196659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hdr">
    <w:name w:val="s_hdr"/>
    <w:basedOn w:val="Normal"/>
    <w:uiPriority w:val="99"/>
    <w:semiHidden/>
    <w:rsid w:val="00196659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character" w:customStyle="1" w:styleId="semtttl1">
    <w:name w:val="s_emt_ttl1"/>
    <w:basedOn w:val="DefaultParagraphFont"/>
    <w:rsid w:val="00196659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paragraph" w:customStyle="1" w:styleId="sartden">
    <w:name w:val="s_art_den"/>
    <w:basedOn w:val="Normal"/>
    <w:uiPriority w:val="99"/>
    <w:semiHidden/>
    <w:rsid w:val="00196659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19665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196659"/>
    <w:rPr>
      <w:color w:val="0000FF"/>
      <w:u w:val="single"/>
    </w:rPr>
  </w:style>
  <w:style w:type="paragraph" w:customStyle="1" w:styleId="spar">
    <w:name w:val="s_par"/>
    <w:basedOn w:val="Normal"/>
    <w:uiPriority w:val="99"/>
    <w:semiHidden/>
    <w:rsid w:val="00196659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rtttl">
    <w:name w:val="s_art_ttl"/>
    <w:basedOn w:val="Normal"/>
    <w:uiPriority w:val="99"/>
    <w:semiHidden/>
    <w:rsid w:val="00196659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smn">
    <w:name w:val="s_smn"/>
    <w:basedOn w:val="Normal"/>
    <w:uiPriority w:val="99"/>
    <w:semiHidden/>
    <w:rsid w:val="00196659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uiPriority w:val="99"/>
    <w:semiHidden/>
    <w:rsid w:val="00196659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anxbdy">
    <w:name w:val="s_anx_bdy"/>
    <w:basedOn w:val="DefaultParagraphFont"/>
    <w:rsid w:val="0019665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capttl">
    <w:name w:val="s_cap_ttl"/>
    <w:basedOn w:val="Normal"/>
    <w:uiPriority w:val="99"/>
    <w:semiHidden/>
    <w:rsid w:val="00196659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semiHidden/>
    <w:rsid w:val="00196659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character" w:customStyle="1" w:styleId="slitttl1">
    <w:name w:val="s_lit_ttl1"/>
    <w:basedOn w:val="DefaultParagraphFont"/>
    <w:rsid w:val="0019665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9665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196659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19665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196659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ctttl1">
    <w:name w:val="s_pct_ttl1"/>
    <w:basedOn w:val="DefaultParagraphFont"/>
    <w:rsid w:val="0019665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19665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secttl">
    <w:name w:val="s_sec_ttl"/>
    <w:basedOn w:val="Normal"/>
    <w:uiPriority w:val="99"/>
    <w:semiHidden/>
    <w:rsid w:val="00196659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semiHidden/>
    <w:rsid w:val="00196659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196659"/>
    <w:rPr>
      <w:b/>
      <w:bCs/>
    </w:rPr>
  </w:style>
  <w:style w:type="paragraph" w:styleId="NormalWeb">
    <w:name w:val="Normal (Web)"/>
    <w:basedOn w:val="Normal"/>
    <w:uiPriority w:val="99"/>
    <w:unhideWhenUsed/>
    <w:rsid w:val="00196659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101B21"/>
    <w:pPr>
      <w:autoSpaceDE/>
      <w:autoSpaceDN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01B21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01B21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01B21"/>
    <w:rPr>
      <w:rFonts w:ascii="Times New Roman" w:eastAsia="Times New Roman" w:hAnsi="Times New Roman" w:cs="Times New Roman"/>
      <w:sz w:val="24"/>
      <w:szCs w:val="24"/>
    </w:rPr>
  </w:style>
  <w:style w:type="paragraph" w:customStyle="1" w:styleId="alignmentlprefix0suffix2type23">
    <w:name w:val="alignment_l prefix_0 suffix_2 type_23"/>
    <w:basedOn w:val="Normal"/>
    <w:rsid w:val="00101B21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E3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F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E3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747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Jitaru</cp:lastModifiedBy>
  <cp:revision>140</cp:revision>
  <cp:lastPrinted>2020-10-14T06:10:00Z</cp:lastPrinted>
  <dcterms:created xsi:type="dcterms:W3CDTF">2020-09-30T13:20:00Z</dcterms:created>
  <dcterms:modified xsi:type="dcterms:W3CDTF">2020-10-14T13:01:00Z</dcterms:modified>
</cp:coreProperties>
</file>