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659 din 16 aprilie 2013</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modificarea Procedurii de emitere a autorizaţiei privind emisiile de gaze cu efect de seră pentru perioada 2013 - 2020, aprobată prin Ordinul ministrului mediului şi pădurilor nr. 3.420/2012</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MEDIULUI ŞI SCHIMBĂRILOR CLIMATICE</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251 din 30 aprilie 2013</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nr. 164.861/DGSC din 10 aprilie 2013 întocmit de Direcţia generală schimbări climatice,</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art. 13 alin. (3) şi art. 18 alin. (2) din Hotărârea Guvernului nr. 48/2013 privind organizarea şi funcţionarea Ministerului Mediului şi Schimbărilor Climatice şi pentru modificarea unor acte normative în domeniul mediului şi schimbărilor climatice, prevederilor Ordonanţei de urgenţă a Guvernului nr. 96/2012 privind stabilirea unor măsuri de reorganizare în cadrul administraţiei publice centrale şi pentru modificarea unor acte normative, aprobată cu modificări şi completări prin Legea nr. 71/2013, precum şi al prevederilor Ordonanţei de urgenţă a Guvernului nr. 58/2012 privind modificarea unor acte normative din domeniul protecţiei mediului şi pădurilor,</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schimbărilor climatice emite următorul ordin:</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emitere a autorizaţiei privind emisiile de gaze cu efect de seră pentru perioada 2013 - 2020, aprobată prin Ordinul ministrului mediului şi pădurilor nr. 3.420/2012, publicat în Monitorul Oficial al României, Partea I, nr. 680 şi 680 bis din 1 octombrie 2012, se modifică după cum urmează:</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cuprinsul procedurii, denumirea Agenţia Naţională pentru Protecţia Mediului se înlocuieşte cu sintagma "autoritatea publică centrală pentru protecţia mediului şi schimbărilor climatice", iar sintagma "agenţie regională/locală" se înlocuieşte cu sintagma "agenţie judeţeană".</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Anexa nr. 4 se modifică cu anexa care face parte integrantă din prezentul ordin.</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schimbărilor climatice,</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Rovana Plumb</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16 aprilie 2013.</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659.</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nr. 4 la procedură)</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SCHIMBĂRILOR CLIMATICE</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AUTORIZAŢIE Nr. ............/...................</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privind emisiile de gaze cu efect de seră pentru perioada 2013 - 2020</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Date de identificare</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A.1.1. Date de identificare ale operatorului (titularului)</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Numele operatorului (titularului)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Forma de organizare a societăţii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Nr. de înregistrare în Registrul Comerţului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Cod unic de înregistrare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Cont bancar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Banca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Adresa sediului social | Strada, numărul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Localitatea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Judeţul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Codul poştal       |                                |</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A.1.2. Date de identificare ale instalaţiei/instalaţiilor şi ale amplasamentului</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Numele instalaţiei/instalaţiilor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Activitatea principală a instalaţiei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Categoria de activitate/activităţi din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anexa nr. 1 la procedură*1)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Codul sub care operatorul a raportat date şi|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informaţii statistice: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1. Codul CAEN raportat pentru anul 2007,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utilizând clasificarea CAEN rev. 1.1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2. Codul CAEN raportat pentru anul 2010,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utilizând clasificarea CAEN rev. 2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Codul de identificare al instalaţiei din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Registrul Unic Consolidat al Uniunii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Europene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lastRenderedPageBreak/>
        <w:t>| Punctul de lucru (amplasament)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Adresa amplasamentului | Strada, numărul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Localitatea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Judeţul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Codul poştal       |                                |</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emitere a autorizaţiei privind emisiile de gaze cu efect de seră pentru perioada 2013 - 2020, aprobată prin Ordinul ministrului mediului şi pădurilor nr. 3.420/2012, cu modificările ulterioare.</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A.1.3. Date privind situaţia autorizării din punct de vedere al protecţiei mediului şi alocării certificatelor de emisii de gaze cu efect de seră</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Situaţia        | Tipul          |Nr.         |Data    |Emitent|Revizuire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autorizării din | autorizaţiei   |autorizaţiei|emiterii|       |(nr. şi dată)|</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punct de vedere |________________|____________|________|_______|_____________|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al protecţiei   | Autorizaţie    |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mediului        | integrată de   |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mediu          |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Autorizaţie de |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mediu          |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lastRenderedPageBreak/>
        <w:t>| Situaţia        |     Alocare iniţială*)      | Din Rezerva pentru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alocării        |                             | instalaţiile nou-intrate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certificatelor  |                             | în perioada 2013 - 2020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de emisii de    |_____________________________|______________________________|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gaze cu efect de|           DA/NU             |            DA/NU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seră în perioada|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2013 - 2020     |                             |                              |</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Alocare stabilită prin Măsurile Naţionale de Implementare elaborate conform art. 11 din Directiva 2009/29/CE, notificate de România la Comisia Europeană.</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A.1.4. Informaţii privind emiterea autorizaţiei privind emisiile de gaze cu efect de seră</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Autorizaţie   |      Data emiterii       | Motivul revizuirii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Ziua  |  Luna  |  Anul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Iniţială (nr.)  |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Revizuire I     |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Revizuire II    |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Revizuire ... n |        |        |        |                    |</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Durata de valabilitate a autorizaţiei privind emisiile de gaze cu efect de seră</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Autorizaţia privind emisiile de gaze cu efect de seră pentru perioada 2013 - 2020 este valabilă atât timp cât activitatea desfăşurată de operator în instalaţie se realizează la nivelul instalaţiei în conformitate cu autorizaţia emisă conform procedurii. Autoritatea competentă revizuieşte autorizaţia privind emisiile de gaze cu efect de seră, în termen de până la 5 ani de la începutul perioadei 2013 - 2020. În vederea realizării unor modificări planificate la nivelul instalaţiei, operatorul solicită autorităţii competente pentru protecţia mediului revizuirea autorizaţiei, conform prevederilor prezentei proceduri.</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Date tehnice despre amplasamentul şi instalaţia/instalaţiile autorizată(e)</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A.3.1. Scurtă descriere a amplasamentului şi a instalaţiei/instalaţiilor (fişa de prezentare)</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datelor din documentaţia prezentată.</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A.3.2. Categoria activităţii şi instalaţiei</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completa de către autoritatea competentă pentru protecţia mediului în funcţie de activitatea/activităţile din anexa nr. 1 la procedură, care se desfăşoară la nivelul instalaţiei.</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A.3.3. Date tehnice despre fiecare activitate identificată din anexa nr. 1 la procedură</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|Categoria de  | Capacitatea | UM |Perioada de| Tipul | Punct de  | Referinţa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|activitate din| proiectată a|    |funcţionare| de    | descărcare| pentru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|anexa nr. 1   | instalaţiei |    |           | produs| a         | punctul de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|la procedură  | (tone/zi,   |    |           |       | emisiilor | descărcare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|desfăşurată în| MW etc.)    |    |           |       |           | a emisiilor|</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|instalaţie    |             |    |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A.3.4. Combustibili/Materii prime şi materiale auxiliare a căror utilizare generează emisii de gaze cu efect de seră</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Categoria de activitate | Tipul           | Procesul care generează| Gazul cu|</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din anexa nr. 1 la      | combustibilului/| emisii de gaze cu efect| efect de|</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lastRenderedPageBreak/>
        <w:t>| procedură desfăşurată   | materiei prime  | de seră                | seră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în instalaţie           |                 |                        | generat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                 |                        |         |</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Cerinţe legale privind obligaţiile operatorului</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A.4.1. Cerinţe privind monitorizarea emisiilor de gaze cu efect de seră</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emisiilor de gaze cu efect de seră de către operator, inclusiv metodologia şi frecvenţa de monitorizare, se realizează de către operator cu respectarea planului de monitorizare şi raportare a emisiilor de gaze cu efect de seră aprobat de către autoritatea publică centrală pentru protecţia mediului şi ataşat la prezenta autorizaţie.</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A.4.2. Cerinţe privind raportarea emisiilor de gaze cu efect de seră</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Raportul de monitorizare a emisiilor de gaze cu efect de seră se întocmeşte de către operator pe baza planului de monitorizare şi raportare a emisiilor de gaze cu efect de seră şi a metodologiei de monitorizare aprobată de autoritatea publică centrală pentru protecţia mediului, cu respectarea cerinţelor din Regulamentul (UE) nr. 601/2012 al Comisiei din 12 iunie 2012 privind monitorizarea şi raportarea emisiilor de gaze cu efect de seră în conformitate cu Directiva 2003/87/CE a Parlamentului European şi a Consiliului.</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primul trimestru al fiecărui an consecutiv anului pentru care s-a realizat monitorizarea emisiilor de gaze cu efect de seră, operatorul are obligaţia să depună la autoritatea publică centrală pentru protecţia mediului raportul de monitorizare privind emisiile de gaze cu efect de seră generate în anul precedent, verificat de către un verificator acreditat conform prevederilor legale în vigoare în domeniul schemei de comercializare a certificatelor de emisii de gaze cu efect de seră pentru perioada 2013 - 2020.</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în primul trimestru al fiecărui an din perioadă raportul de monitorizare privind emisiile de gaze cu efect de seră din anul precedent nu este declarat satisfăcător, potrivit criteriilor din Directiva 2003/87/CE a Parlamentului European şi a Consiliului din 13 octombrie 2003 de stabilire a unui sistem de comercializare a cotelor de emisie de gaze cu efect de seră în cadrul Comunităţii şi de modificare a Directivei 96/61/CE a Consiliului, cu modificările şi completările ulterioare, operatorul nu poate transfera certificatele de emisii de gaze cu efect de seră, ca urmare a suspendării accesului operatorului la cont. Ridicarea suspendării accesului la cont se face la data la care raportul de monitorizare privind emisiile de gaze cu efect de seră este declarat satisfăcător şi predat la autoritatea publică centrală pentru protecţia mediului.</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A.4.3. Cerinţe privind restituirea certificatelor de emisii de gaze cu efect de seră</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are obligaţia de a restitui, până cel mai târziu la data de 30 aprilie a fiecărui an, un număr de certificate de emisii de gaze cu efect de seră egal cu numărul total de emisii de gaze cu efect de seră provenite de la instalaţia respectivă în anul calendaristic anterior, prezentate în raportul anual de monitorizare a emisiilor de gaze cu efect de seră verificat de un verificator acreditat, conform prevederilor legale în vigoare în domeniul schemei de comercializare a certificatelor de emisii de gaze cu efect de seră pentru perioada 2013 - 2020.</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A.4.4. Cerinţe privind informarea autorităţii competente pentru protecţia mediului asupra modificărilor la nivelul instalaţiei</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are obligaţia să informeze în scris autoritatea publică centrală pentru protecţia mediului cu privire la orice modificări planificate la nivelul instalaţiei, care pot determina revizuirea planului de monitorizare şi raportare a emisiilor de gaze cu efect de seră şi a autorizaţiei privind emisiile de gaze cu efect de seră.</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w:t>
      </w:r>
    </w:p>
    <w:p w:rsidR="003F319D" w:rsidRDefault="003F319D" w:rsidP="003F319D">
      <w:pPr>
        <w:autoSpaceDE w:val="0"/>
        <w:autoSpaceDN w:val="0"/>
        <w:adjustRightInd w:val="0"/>
        <w:spacing w:after="0" w:line="240" w:lineRule="auto"/>
        <w:rPr>
          <w:rFonts w:ascii="Courier New" w:hAnsi="Courier New" w:cs="Courier New"/>
        </w:rPr>
      </w:pP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şi ştampila)</w:t>
      </w:r>
    </w:p>
    <w:p w:rsidR="003F319D" w:rsidRDefault="003F319D" w:rsidP="003F319D">
      <w:pPr>
        <w:autoSpaceDE w:val="0"/>
        <w:autoSpaceDN w:val="0"/>
        <w:adjustRightInd w:val="0"/>
        <w:spacing w:after="0" w:line="240" w:lineRule="auto"/>
        <w:rPr>
          <w:rFonts w:ascii="Courier New" w:hAnsi="Courier New" w:cs="Courier New"/>
        </w:rPr>
      </w:pP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general,                                 Şef serviciu</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(numele şi prenumele)</w:t>
      </w:r>
    </w:p>
    <w:p w:rsidR="003F319D" w:rsidRDefault="003F319D" w:rsidP="003F319D">
      <w:pPr>
        <w:autoSpaceDE w:val="0"/>
        <w:autoSpaceDN w:val="0"/>
        <w:adjustRightInd w:val="0"/>
        <w:spacing w:after="0" w:line="240" w:lineRule="auto"/>
        <w:rPr>
          <w:rFonts w:ascii="Courier New" w:hAnsi="Courier New" w:cs="Courier New"/>
        </w:rPr>
      </w:pP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(semnătura şi ştampila)                               (semnătura)</w:t>
      </w:r>
    </w:p>
    <w:p w:rsidR="003F319D" w:rsidRDefault="003F319D" w:rsidP="003F319D">
      <w:pPr>
        <w:autoSpaceDE w:val="0"/>
        <w:autoSpaceDN w:val="0"/>
        <w:adjustRightInd w:val="0"/>
        <w:spacing w:after="0" w:line="240" w:lineRule="auto"/>
        <w:rPr>
          <w:rFonts w:ascii="Courier New" w:hAnsi="Courier New" w:cs="Courier New"/>
        </w:rPr>
      </w:pP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Întocmit</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w:t>
      </w:r>
    </w:p>
    <w:p w:rsidR="003F319D" w:rsidRDefault="003F319D" w:rsidP="003F319D">
      <w:pPr>
        <w:autoSpaceDE w:val="0"/>
        <w:autoSpaceDN w:val="0"/>
        <w:adjustRightInd w:val="0"/>
        <w:spacing w:after="0" w:line="240" w:lineRule="auto"/>
        <w:rPr>
          <w:rFonts w:ascii="Courier New" w:hAnsi="Courier New" w:cs="Courier New"/>
        </w:rPr>
      </w:pPr>
    </w:p>
    <w:p w:rsidR="003F319D" w:rsidRDefault="003F319D" w:rsidP="003F319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(semnătura)</w:t>
      </w:r>
    </w:p>
    <w:p w:rsidR="003F319D" w:rsidRDefault="003F319D" w:rsidP="003F319D">
      <w:pPr>
        <w:autoSpaceDE w:val="0"/>
        <w:autoSpaceDN w:val="0"/>
        <w:adjustRightInd w:val="0"/>
        <w:spacing w:after="0" w:line="240" w:lineRule="auto"/>
        <w:rPr>
          <w:rFonts w:ascii="Times New Roman" w:hAnsi="Times New Roman" w:cs="Times New Roman"/>
          <w:sz w:val="28"/>
          <w:szCs w:val="28"/>
        </w:rPr>
      </w:pPr>
    </w:p>
    <w:p w:rsidR="00011BC8" w:rsidRDefault="003F319D" w:rsidP="003F319D">
      <w:r>
        <w:rPr>
          <w:rFonts w:ascii="Times New Roman" w:hAnsi="Times New Roman" w:cs="Times New Roman"/>
          <w:sz w:val="28"/>
          <w:szCs w:val="28"/>
        </w:rPr>
        <w:t xml:space="preserve">                              ---------------</w:t>
      </w:r>
      <w:bookmarkStart w:id="0" w:name="_GoBack"/>
      <w:bookmarkEnd w:id="0"/>
    </w:p>
    <w:sectPr w:rsidR="0001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B4"/>
    <w:rsid w:val="00011BC8"/>
    <w:rsid w:val="003F319D"/>
    <w:rsid w:val="005E4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2644</Words>
  <Characters>15074</Characters>
  <Application>Microsoft Office Word</Application>
  <DocSecurity>0</DocSecurity>
  <Lines>125</Lines>
  <Paragraphs>35</Paragraphs>
  <ScaleCrop>false</ScaleCrop>
  <Company>anpm</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stanescu</dc:creator>
  <cp:keywords/>
  <dc:description/>
  <cp:lastModifiedBy>mihaela stanescu</cp:lastModifiedBy>
  <cp:revision>2</cp:revision>
  <dcterms:created xsi:type="dcterms:W3CDTF">2013-05-07T09:06:00Z</dcterms:created>
  <dcterms:modified xsi:type="dcterms:W3CDTF">2013-05-07T09:07:00Z</dcterms:modified>
</cp:coreProperties>
</file>