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A18FD" w14:textId="77777777" w:rsidR="00BC34F6" w:rsidRDefault="00BC34F6" w:rsidP="00475994">
      <w:pPr>
        <w:spacing w:after="0" w:line="360" w:lineRule="auto"/>
        <w:ind w:left="3600" w:firstLine="720"/>
        <w:contextualSpacing/>
        <w:rPr>
          <w:b/>
        </w:rPr>
      </w:pPr>
    </w:p>
    <w:p w14:paraId="63B5CDB1" w14:textId="4FF7ECF3" w:rsidR="004A2C5D" w:rsidRPr="00475994" w:rsidRDefault="00673F22" w:rsidP="00475994">
      <w:pPr>
        <w:spacing w:after="0" w:line="360" w:lineRule="auto"/>
        <w:ind w:left="3600" w:firstLine="720"/>
        <w:contextualSpacing/>
        <w:rPr>
          <w:b/>
        </w:rPr>
      </w:pPr>
      <w:r w:rsidRPr="00475994">
        <w:rPr>
          <w:b/>
        </w:rPr>
        <w:t>COMUNICAT DE PRESĂ</w:t>
      </w:r>
    </w:p>
    <w:p w14:paraId="50A0E56D" w14:textId="77777777" w:rsidR="004A2C5D" w:rsidRPr="00475994" w:rsidRDefault="004A2C5D" w:rsidP="00475994">
      <w:pPr>
        <w:spacing w:after="0" w:line="360" w:lineRule="auto"/>
        <w:ind w:left="0"/>
        <w:contextualSpacing/>
      </w:pPr>
    </w:p>
    <w:p w14:paraId="478E768A" w14:textId="77777777" w:rsidR="004A2C5D" w:rsidRPr="00475994" w:rsidRDefault="00673F22" w:rsidP="00475994">
      <w:pPr>
        <w:spacing w:after="0" w:line="360" w:lineRule="auto"/>
        <w:ind w:left="0"/>
        <w:contextualSpacing/>
      </w:pPr>
      <w:r w:rsidRPr="00475994">
        <w:tab/>
      </w:r>
      <w:r w:rsidRPr="00475994">
        <w:tab/>
      </w:r>
      <w:r w:rsidRPr="00475994">
        <w:tab/>
      </w:r>
      <w:r w:rsidRPr="00475994">
        <w:tab/>
      </w:r>
      <w:r w:rsidRPr="00475994">
        <w:tab/>
      </w:r>
      <w:r w:rsidRPr="00475994">
        <w:tab/>
      </w:r>
      <w:r w:rsidRPr="00475994">
        <w:tab/>
      </w:r>
      <w:r w:rsidRPr="00475994">
        <w:tab/>
        <w:t xml:space="preserve">                           </w:t>
      </w:r>
    </w:p>
    <w:p w14:paraId="3F667435" w14:textId="27905A36" w:rsidR="004A2C5D" w:rsidRPr="00475994" w:rsidRDefault="00673F22" w:rsidP="00475994">
      <w:pPr>
        <w:spacing w:after="0" w:line="360" w:lineRule="auto"/>
        <w:ind w:left="7200" w:firstLine="720"/>
        <w:contextualSpacing/>
      </w:pPr>
      <w:r w:rsidRPr="00475994">
        <w:t xml:space="preserve"> București, </w:t>
      </w:r>
      <w:r w:rsidR="002C6477" w:rsidRPr="00475994">
        <w:t xml:space="preserve"> </w:t>
      </w:r>
      <w:r w:rsidR="00D34098" w:rsidRPr="00475994">
        <w:t>10 iunie</w:t>
      </w:r>
      <w:r w:rsidRPr="00475994">
        <w:t xml:space="preserve"> 2022</w:t>
      </w:r>
    </w:p>
    <w:p w14:paraId="5884FA8E" w14:textId="439A08E8" w:rsidR="004A2C5D" w:rsidRDefault="004A2C5D" w:rsidP="00475994">
      <w:pPr>
        <w:spacing w:after="0" w:line="360" w:lineRule="auto"/>
        <w:ind w:left="0"/>
        <w:contextualSpacing/>
      </w:pPr>
    </w:p>
    <w:p w14:paraId="0754817A" w14:textId="77777777" w:rsidR="00BC34F6" w:rsidRPr="00475994" w:rsidRDefault="00BC34F6" w:rsidP="00475994">
      <w:pPr>
        <w:spacing w:after="0" w:line="360" w:lineRule="auto"/>
        <w:ind w:left="0"/>
        <w:contextualSpacing/>
      </w:pPr>
    </w:p>
    <w:p w14:paraId="008D099C" w14:textId="42FF740C" w:rsidR="004A2C5D" w:rsidRPr="00475994" w:rsidRDefault="00673F22" w:rsidP="00BC34F6">
      <w:pPr>
        <w:spacing w:after="0" w:line="360" w:lineRule="auto"/>
        <w:ind w:left="426"/>
        <w:contextualSpacing/>
        <w:rPr>
          <w:b/>
        </w:rPr>
      </w:pPr>
      <w:r w:rsidRPr="00475994">
        <w:rPr>
          <w:b/>
        </w:rPr>
        <w:t>R</w:t>
      </w:r>
      <w:r w:rsidR="00D34098" w:rsidRPr="00475994">
        <w:rPr>
          <w:b/>
        </w:rPr>
        <w:t>ef.</w:t>
      </w:r>
      <w:r w:rsidRPr="00475994">
        <w:rPr>
          <w:b/>
        </w:rPr>
        <w:t>: Ministrul Barna Tánczo</w:t>
      </w:r>
      <w:r w:rsidR="00087EBD" w:rsidRPr="00475994">
        <w:rPr>
          <w:b/>
        </w:rPr>
        <w:t>s</w:t>
      </w:r>
      <w:r w:rsidRPr="00475994">
        <w:rPr>
          <w:b/>
        </w:rPr>
        <w:t xml:space="preserve"> a anunțat astăzi lansarea ghidu</w:t>
      </w:r>
      <w:r w:rsidR="00BC34F6">
        <w:rPr>
          <w:b/>
        </w:rPr>
        <w:t>lui</w:t>
      </w:r>
      <w:r w:rsidRPr="00475994">
        <w:rPr>
          <w:b/>
        </w:rPr>
        <w:t xml:space="preserve"> </w:t>
      </w:r>
      <w:r w:rsidR="00962EDA" w:rsidRPr="00475994">
        <w:rPr>
          <w:b/>
        </w:rPr>
        <w:t xml:space="preserve">de finanțare din PNRR </w:t>
      </w:r>
      <w:r w:rsidR="00087EBD" w:rsidRPr="00475994">
        <w:rPr>
          <w:b/>
        </w:rPr>
        <w:t xml:space="preserve">pentru </w:t>
      </w:r>
      <w:r w:rsidR="00BC34F6">
        <w:rPr>
          <w:b/>
        </w:rPr>
        <w:t xml:space="preserve">programul Prima Conectare </w:t>
      </w:r>
    </w:p>
    <w:p w14:paraId="3DB647FD" w14:textId="512C49DF" w:rsidR="004A2C5D" w:rsidRPr="00475994" w:rsidRDefault="004A2C5D" w:rsidP="006446C2">
      <w:pPr>
        <w:spacing w:after="0" w:line="360" w:lineRule="auto"/>
        <w:ind w:left="0"/>
        <w:contextualSpacing/>
        <w:rPr>
          <w:rFonts w:eastAsia="SimSun"/>
        </w:rPr>
      </w:pPr>
    </w:p>
    <w:p w14:paraId="76D5A22F" w14:textId="5CE582E2" w:rsidR="00EA7B50" w:rsidRPr="0033408B" w:rsidRDefault="00673F22" w:rsidP="006446C2">
      <w:pPr>
        <w:spacing w:after="0" w:line="360" w:lineRule="auto"/>
        <w:ind w:left="426"/>
        <w:contextualSpacing/>
        <w:rPr>
          <w:rFonts w:eastAsia="SimSun"/>
        </w:rPr>
      </w:pPr>
      <w:r w:rsidRPr="0033408B">
        <w:rPr>
          <w:rFonts w:eastAsia="SimSun"/>
        </w:rPr>
        <w:t xml:space="preserve">Ministrul mediului, apelor </w:t>
      </w:r>
      <w:r w:rsidRPr="0033408B">
        <w:rPr>
          <w:rFonts w:eastAsia="SimSun" w:cs="Cambria"/>
        </w:rPr>
        <w:t>ș</w:t>
      </w:r>
      <w:r w:rsidRPr="0033408B">
        <w:rPr>
          <w:rFonts w:eastAsia="SimSun"/>
        </w:rPr>
        <w:t>i p</w:t>
      </w:r>
      <w:r w:rsidRPr="0033408B">
        <w:rPr>
          <w:rFonts w:eastAsia="SimSun" w:cs="Cambria"/>
        </w:rPr>
        <w:t>ă</w:t>
      </w:r>
      <w:r w:rsidRPr="0033408B">
        <w:rPr>
          <w:rFonts w:eastAsia="SimSun"/>
        </w:rPr>
        <w:t>durilor, Barna T</w:t>
      </w:r>
      <w:r w:rsidRPr="0033408B">
        <w:rPr>
          <w:rFonts w:eastAsia="SimSun" w:cs="SimSun"/>
        </w:rPr>
        <w:t>á</w:t>
      </w:r>
      <w:r w:rsidRPr="0033408B">
        <w:rPr>
          <w:rFonts w:eastAsia="SimSun"/>
        </w:rPr>
        <w:t>nczos, a sus</w:t>
      </w:r>
      <w:r w:rsidRPr="0033408B">
        <w:rPr>
          <w:rFonts w:eastAsia="SimSun" w:cs="Cambria"/>
        </w:rPr>
        <w:t>ț</w:t>
      </w:r>
      <w:r w:rsidRPr="0033408B">
        <w:rPr>
          <w:rFonts w:eastAsia="SimSun"/>
        </w:rPr>
        <w:t>inut ast</w:t>
      </w:r>
      <w:r w:rsidRPr="0033408B">
        <w:rPr>
          <w:rFonts w:eastAsia="SimSun" w:cs="Cambria"/>
        </w:rPr>
        <w:t>ă</w:t>
      </w:r>
      <w:r w:rsidRPr="0033408B">
        <w:rPr>
          <w:rFonts w:eastAsia="SimSun"/>
        </w:rPr>
        <w:t>zi o conferin</w:t>
      </w:r>
      <w:r w:rsidRPr="0033408B">
        <w:rPr>
          <w:rFonts w:eastAsia="SimSun" w:cs="Cambria"/>
        </w:rPr>
        <w:t>ță</w:t>
      </w:r>
      <w:r w:rsidRPr="0033408B">
        <w:rPr>
          <w:rFonts w:eastAsia="SimSun"/>
        </w:rPr>
        <w:t xml:space="preserve"> de pres</w:t>
      </w:r>
      <w:r w:rsidRPr="0033408B">
        <w:rPr>
          <w:rFonts w:eastAsia="SimSun" w:cs="Cambria"/>
        </w:rPr>
        <w:t>ă</w:t>
      </w:r>
      <w:r w:rsidRPr="0033408B">
        <w:rPr>
          <w:rFonts w:eastAsia="SimSun"/>
        </w:rPr>
        <w:t xml:space="preserve">, </w:t>
      </w:r>
      <w:r w:rsidRPr="0033408B">
        <w:rPr>
          <w:rFonts w:eastAsia="SimSun" w:cs="SimSun"/>
        </w:rPr>
        <w:t>î</w:t>
      </w:r>
      <w:r w:rsidRPr="0033408B">
        <w:rPr>
          <w:rFonts w:eastAsia="SimSun"/>
        </w:rPr>
        <w:t>n cadrul c</w:t>
      </w:r>
      <w:r w:rsidRPr="0033408B">
        <w:rPr>
          <w:rFonts w:eastAsia="SimSun" w:cs="Cambria"/>
        </w:rPr>
        <w:t>ă</w:t>
      </w:r>
      <w:r w:rsidRPr="0033408B">
        <w:rPr>
          <w:rFonts w:eastAsia="SimSun"/>
        </w:rPr>
        <w:t>reia a fost anun</w:t>
      </w:r>
      <w:r w:rsidRPr="0033408B">
        <w:rPr>
          <w:rFonts w:eastAsia="SimSun" w:cs="Cambria"/>
        </w:rPr>
        <w:t>ț</w:t>
      </w:r>
      <w:r w:rsidRPr="0033408B">
        <w:rPr>
          <w:rFonts w:eastAsia="SimSun"/>
        </w:rPr>
        <w:t>at</w:t>
      </w:r>
      <w:r w:rsidRPr="0033408B">
        <w:rPr>
          <w:rFonts w:eastAsia="SimSun" w:cs="Cambria"/>
        </w:rPr>
        <w:t>ă</w:t>
      </w:r>
      <w:r w:rsidRPr="0033408B">
        <w:rPr>
          <w:rFonts w:eastAsia="SimSun"/>
        </w:rPr>
        <w:t xml:space="preserve"> lansarea </w:t>
      </w:r>
      <w:r w:rsidRPr="0033408B">
        <w:rPr>
          <w:rFonts w:eastAsia="SimSun" w:cs="SimSun"/>
        </w:rPr>
        <w:t>î</w:t>
      </w:r>
      <w:r w:rsidRPr="0033408B">
        <w:rPr>
          <w:rFonts w:eastAsia="SimSun"/>
        </w:rPr>
        <w:t>n consultare public</w:t>
      </w:r>
      <w:r w:rsidRPr="0033408B">
        <w:rPr>
          <w:rFonts w:eastAsia="SimSun" w:cs="Cambria"/>
        </w:rPr>
        <w:t>ă</w:t>
      </w:r>
      <w:r w:rsidRPr="0033408B">
        <w:rPr>
          <w:rFonts w:eastAsia="SimSun"/>
        </w:rPr>
        <w:t xml:space="preserve"> a </w:t>
      </w:r>
      <w:r w:rsidR="00D34098" w:rsidRPr="0033408B">
        <w:rPr>
          <w:rFonts w:eastAsia="SimSun"/>
        </w:rPr>
        <w:t>ghidului de finan</w:t>
      </w:r>
      <w:r w:rsidR="00D34098" w:rsidRPr="0033408B">
        <w:rPr>
          <w:rFonts w:eastAsia="SimSun" w:cs="Cambria"/>
        </w:rPr>
        <w:t>ț</w:t>
      </w:r>
      <w:r w:rsidR="00D34098" w:rsidRPr="0033408B">
        <w:rPr>
          <w:rFonts w:eastAsia="SimSun"/>
        </w:rPr>
        <w:t>are pentru Programul Prima Conectare,  aferent Componentei 1 din PNRR -  Managementul</w:t>
      </w:r>
      <w:r w:rsidR="006446C2">
        <w:rPr>
          <w:rFonts w:eastAsia="SimSun"/>
        </w:rPr>
        <w:t xml:space="preserve"> </w:t>
      </w:r>
      <w:r w:rsidR="00D34098" w:rsidRPr="0033408B">
        <w:rPr>
          <w:rFonts w:eastAsia="SimSun"/>
        </w:rPr>
        <w:t>apei</w:t>
      </w:r>
      <w:r w:rsidR="00E71FE6" w:rsidRPr="0033408B">
        <w:rPr>
          <w:rFonts w:eastAsia="SimSun"/>
        </w:rPr>
        <w:t xml:space="preserve">. </w:t>
      </w:r>
    </w:p>
    <w:p w14:paraId="07128CFC" w14:textId="665D9A1E" w:rsidR="00CA6B64" w:rsidRPr="0033408B" w:rsidRDefault="00CA6B64" w:rsidP="006446C2">
      <w:pPr>
        <w:spacing w:after="0" w:line="360" w:lineRule="auto"/>
        <w:ind w:left="426"/>
        <w:contextualSpacing/>
        <w:rPr>
          <w:rFonts w:eastAsia="SimSun" w:cs="Times New Roman"/>
          <w:bCs/>
          <w:color w:val="000000"/>
        </w:rPr>
      </w:pPr>
      <w:r w:rsidRPr="0033408B">
        <w:rPr>
          <w:rFonts w:eastAsia="SimSun" w:cs="Times New Roman"/>
          <w:bCs/>
          <w:lang w:eastAsia="ro-RO"/>
        </w:rPr>
        <w:t>Programul “Prima conectare la sistemul public de alimentare cu ap</w:t>
      </w:r>
      <w:r w:rsidRPr="0033408B">
        <w:rPr>
          <w:rFonts w:eastAsia="SimSun" w:cs="Cambria"/>
          <w:bCs/>
          <w:lang w:eastAsia="ro-RO"/>
        </w:rPr>
        <w:t>ă</w:t>
      </w:r>
      <w:r w:rsidRPr="0033408B">
        <w:rPr>
          <w:rFonts w:eastAsia="SimSun" w:cs="Times New Roman"/>
          <w:bCs/>
          <w:lang w:eastAsia="ro-RO"/>
        </w:rPr>
        <w:t xml:space="preserve"> </w:t>
      </w:r>
      <w:r w:rsidRPr="0033408B">
        <w:rPr>
          <w:rFonts w:eastAsia="SimSun" w:cs="Cambria"/>
          <w:bCs/>
          <w:lang w:eastAsia="ro-RO"/>
        </w:rPr>
        <w:t>ș</w:t>
      </w:r>
      <w:r w:rsidRPr="0033408B">
        <w:rPr>
          <w:rFonts w:eastAsia="SimSun" w:cs="Times New Roman"/>
          <w:bCs/>
          <w:lang w:eastAsia="ro-RO"/>
        </w:rPr>
        <w:t xml:space="preserve">i de canalizare” </w:t>
      </w:r>
      <w:r w:rsidR="0033408B">
        <w:rPr>
          <w:rFonts w:eastAsia="SimSun" w:cs="Times New Roman"/>
          <w:bCs/>
          <w:lang w:eastAsia="ro-RO"/>
        </w:rPr>
        <w:t>are</w:t>
      </w:r>
      <w:r w:rsidRPr="0033408B">
        <w:rPr>
          <w:rFonts w:eastAsia="SimSun" w:cs="Times New Roman"/>
          <w:bCs/>
          <w:lang w:eastAsia="ro-RO"/>
        </w:rPr>
        <w:t xml:space="preserve"> un buget de 168 milioane</w:t>
      </w:r>
      <w:r w:rsidR="00684E3F">
        <w:rPr>
          <w:rFonts w:eastAsia="SimSun" w:cs="Times New Roman"/>
          <w:bCs/>
          <w:lang w:eastAsia="ro-RO"/>
        </w:rPr>
        <w:t xml:space="preserve"> de</w:t>
      </w:r>
      <w:r w:rsidRPr="0033408B">
        <w:rPr>
          <w:rFonts w:eastAsia="SimSun" w:cs="Times New Roman"/>
          <w:bCs/>
          <w:lang w:eastAsia="ro-RO"/>
        </w:rPr>
        <w:t xml:space="preserve"> Euro </w:t>
      </w:r>
      <w:r w:rsidRPr="0033408B">
        <w:rPr>
          <w:rFonts w:eastAsia="SimSun" w:cs="Cambria"/>
          <w:bCs/>
          <w:lang w:eastAsia="ro-RO"/>
        </w:rPr>
        <w:t>ș</w:t>
      </w:r>
      <w:r w:rsidRPr="0033408B">
        <w:rPr>
          <w:rFonts w:eastAsia="SimSun" w:cs="Times New Roman"/>
          <w:bCs/>
          <w:lang w:eastAsia="ro-RO"/>
        </w:rPr>
        <w:t>i va fi derulat de Administra</w:t>
      </w:r>
      <w:r w:rsidRPr="0033408B">
        <w:rPr>
          <w:rFonts w:eastAsia="SimSun" w:cs="Cambria"/>
          <w:bCs/>
          <w:lang w:eastAsia="ro-RO"/>
        </w:rPr>
        <w:t>ț</w:t>
      </w:r>
      <w:r w:rsidRPr="0033408B">
        <w:rPr>
          <w:rFonts w:eastAsia="SimSun" w:cs="Times New Roman"/>
          <w:bCs/>
          <w:lang w:eastAsia="ro-RO"/>
        </w:rPr>
        <w:t xml:space="preserve">ia Fondului pentru Mediu. Această subinvestiție are </w:t>
      </w:r>
      <w:r w:rsidRPr="0033408B">
        <w:rPr>
          <w:rFonts w:eastAsia="SimSun" w:cs="SimSun"/>
          <w:bCs/>
          <w:lang w:eastAsia="ro-RO"/>
        </w:rPr>
        <w:t>î</w:t>
      </w:r>
      <w:r w:rsidRPr="0033408B">
        <w:rPr>
          <w:rFonts w:eastAsia="SimSun" w:cs="Times New Roman"/>
          <w:bCs/>
          <w:lang w:eastAsia="ro-RO"/>
        </w:rPr>
        <w:t xml:space="preserve">n vedere </w:t>
      </w:r>
      <w:r w:rsidRPr="0033408B">
        <w:rPr>
          <w:rFonts w:eastAsia="SimSun" w:cs="Times New Roman"/>
          <w:bCs/>
          <w:color w:val="000000"/>
        </w:rPr>
        <w:t>sprijinirea conect</w:t>
      </w:r>
      <w:r w:rsidRPr="0033408B">
        <w:rPr>
          <w:rFonts w:eastAsia="SimSun" w:cs="Cambria"/>
          <w:bCs/>
          <w:color w:val="000000"/>
        </w:rPr>
        <w:t>ă</w:t>
      </w:r>
      <w:r w:rsidRPr="0033408B">
        <w:rPr>
          <w:rFonts w:eastAsia="SimSun" w:cs="Times New Roman"/>
          <w:bCs/>
          <w:color w:val="000000"/>
        </w:rPr>
        <w:t>rii popula</w:t>
      </w:r>
      <w:r w:rsidRPr="0033408B">
        <w:rPr>
          <w:rFonts w:eastAsia="SimSun" w:cs="Cambria"/>
          <w:bCs/>
          <w:color w:val="000000"/>
        </w:rPr>
        <w:t>ț</w:t>
      </w:r>
      <w:r w:rsidRPr="0033408B">
        <w:rPr>
          <w:rFonts w:eastAsia="SimSun" w:cs="Times New Roman"/>
          <w:bCs/>
          <w:color w:val="000000"/>
        </w:rPr>
        <w:t>iei cu venituri mici la re</w:t>
      </w:r>
      <w:r w:rsidRPr="0033408B">
        <w:rPr>
          <w:rFonts w:eastAsia="SimSun" w:cs="Cambria"/>
          <w:bCs/>
          <w:color w:val="000000"/>
        </w:rPr>
        <w:t>ț</w:t>
      </w:r>
      <w:r w:rsidRPr="0033408B">
        <w:rPr>
          <w:rFonts w:eastAsia="SimSun" w:cs="Times New Roman"/>
          <w:bCs/>
          <w:color w:val="000000"/>
        </w:rPr>
        <w:t>elele de alimentare cu ap</w:t>
      </w:r>
      <w:r w:rsidRPr="0033408B">
        <w:rPr>
          <w:rFonts w:eastAsia="SimSun" w:cs="Cambria"/>
          <w:bCs/>
          <w:color w:val="000000"/>
        </w:rPr>
        <w:t>ă</w:t>
      </w:r>
      <w:r w:rsidRPr="0033408B">
        <w:rPr>
          <w:rFonts w:eastAsia="SimSun" w:cs="Times New Roman"/>
          <w:bCs/>
          <w:color w:val="000000"/>
        </w:rPr>
        <w:t xml:space="preserve"> </w:t>
      </w:r>
      <w:r w:rsidRPr="0033408B">
        <w:rPr>
          <w:rFonts w:eastAsia="SimSun" w:cs="Cambria"/>
          <w:bCs/>
          <w:color w:val="000000"/>
        </w:rPr>
        <w:t>ș</w:t>
      </w:r>
      <w:r w:rsidRPr="0033408B">
        <w:rPr>
          <w:rFonts w:eastAsia="SimSun" w:cs="Times New Roman"/>
          <w:bCs/>
          <w:color w:val="000000"/>
        </w:rPr>
        <w:t>i canalizare existente.</w:t>
      </w:r>
    </w:p>
    <w:p w14:paraId="69350B11" w14:textId="6BDAFB87" w:rsidR="00575595" w:rsidRDefault="00575595" w:rsidP="006446C2">
      <w:pPr>
        <w:spacing w:after="0" w:line="360" w:lineRule="auto"/>
        <w:ind w:left="426"/>
        <w:contextualSpacing/>
        <w:rPr>
          <w:rFonts w:eastAsia="SimSun" w:cs="Times New Roman"/>
          <w:bCs/>
          <w:i/>
          <w:iCs/>
          <w:color w:val="000000"/>
          <w:lang w:val="en-US"/>
        </w:rPr>
      </w:pPr>
      <w:r>
        <w:rPr>
          <w:rFonts w:eastAsia="SimSun" w:cs="Times New Roman"/>
          <w:bCs/>
          <w:i/>
          <w:iCs/>
          <w:color w:val="000000"/>
          <w:lang w:val="en-US"/>
        </w:rPr>
        <w:t>„</w:t>
      </w:r>
      <w:r w:rsidRPr="009B065A">
        <w:rPr>
          <w:i/>
          <w:iCs/>
        </w:rPr>
        <w:t xml:space="preserve">Prima Conectare oferă un sprijin pentru persoanele vulnerabile din punct de vedere financiar și social, dar este doar o parte din </w:t>
      </w:r>
      <w:r>
        <w:rPr>
          <w:i/>
          <w:iCs/>
        </w:rPr>
        <w:t>reforma pe care ne-am asumat-o pe componenta Apă uzată. Ministerul Mediului, Apelor și Pădurilor și-a asumat implementarea unei reforme, prin PNRR, atât pe partea de reglementare/legiferare, cât și pe partea de finanțare</w:t>
      </w:r>
      <w:r w:rsidR="006446C2">
        <w:rPr>
          <w:i/>
          <w:iCs/>
        </w:rPr>
        <w:t>,</w:t>
      </w:r>
      <w:r>
        <w:rPr>
          <w:i/>
          <w:iCs/>
        </w:rPr>
        <w:t xml:space="preserve"> în ceea ce privește investițiile în managementul apei. Astfel, din bugetul alocat programului Prima Conectare,</w:t>
      </w:r>
      <w:r w:rsidRPr="00684E3F">
        <w:rPr>
          <w:i/>
          <w:iCs/>
        </w:rPr>
        <w:t xml:space="preserve">  </w:t>
      </w:r>
      <w:r>
        <w:rPr>
          <w:i/>
          <w:iCs/>
        </w:rPr>
        <w:t xml:space="preserve">peste </w:t>
      </w:r>
      <w:r w:rsidRPr="00684E3F">
        <w:rPr>
          <w:i/>
          <w:iCs/>
        </w:rPr>
        <w:t xml:space="preserve"> 88 400  de gospodării vor fi </w:t>
      </w:r>
      <w:r>
        <w:rPr>
          <w:i/>
          <w:iCs/>
        </w:rPr>
        <w:t xml:space="preserve">conectate la sistemele de apă uzată existente. Este un sprijin consistent pentru </w:t>
      </w:r>
    </w:p>
    <w:p w14:paraId="779269EE" w14:textId="655F600E" w:rsidR="00505B96" w:rsidRPr="00575595" w:rsidRDefault="00505B96" w:rsidP="006446C2">
      <w:pPr>
        <w:spacing w:after="0" w:line="360" w:lineRule="auto"/>
        <w:ind w:left="426"/>
        <w:contextualSpacing/>
        <w:rPr>
          <w:bCs/>
        </w:rPr>
      </w:pPr>
      <w:r w:rsidRPr="0033408B">
        <w:rPr>
          <w:rFonts w:eastAsia="Times New Roman" w:cs="Times New Roman"/>
          <w:bCs/>
          <w:i/>
          <w:iCs/>
          <w:lang w:eastAsia="ro-RO"/>
        </w:rPr>
        <w:t>familiil</w:t>
      </w:r>
      <w:r w:rsidR="00575595">
        <w:rPr>
          <w:rFonts w:eastAsia="Times New Roman" w:cs="Times New Roman"/>
          <w:bCs/>
          <w:i/>
          <w:iCs/>
          <w:lang w:eastAsia="ro-RO"/>
        </w:rPr>
        <w:t>e</w:t>
      </w:r>
      <w:r w:rsidRPr="0033408B">
        <w:rPr>
          <w:rFonts w:eastAsia="Times New Roman" w:cs="Times New Roman"/>
          <w:bCs/>
          <w:i/>
          <w:iCs/>
          <w:lang w:eastAsia="ro-RO"/>
        </w:rPr>
        <w:t xml:space="preserve"> </w:t>
      </w:r>
      <w:r w:rsidR="00475994" w:rsidRPr="0033408B">
        <w:rPr>
          <w:rFonts w:eastAsia="Times New Roman" w:cs="Times New Roman"/>
          <w:bCs/>
          <w:i/>
          <w:iCs/>
          <w:lang w:eastAsia="ro-RO"/>
        </w:rPr>
        <w:t>ș</w:t>
      </w:r>
      <w:r w:rsidRPr="0033408B">
        <w:rPr>
          <w:rFonts w:eastAsia="Times New Roman" w:cs="Times New Roman"/>
          <w:bCs/>
          <w:i/>
          <w:iCs/>
          <w:lang w:eastAsia="ro-RO"/>
        </w:rPr>
        <w:t>i persoane</w:t>
      </w:r>
      <w:r w:rsidR="00575595">
        <w:rPr>
          <w:rFonts w:eastAsia="Times New Roman" w:cs="Times New Roman"/>
          <w:bCs/>
          <w:i/>
          <w:iCs/>
          <w:lang w:eastAsia="ro-RO"/>
        </w:rPr>
        <w:t xml:space="preserve">le </w:t>
      </w:r>
      <w:r w:rsidRPr="0033408B">
        <w:rPr>
          <w:rFonts w:eastAsia="Times New Roman" w:cs="Times New Roman"/>
          <w:bCs/>
          <w:i/>
          <w:iCs/>
          <w:lang w:eastAsia="ro-RO"/>
        </w:rPr>
        <w:t>singure</w:t>
      </w:r>
      <w:r w:rsidR="00575595">
        <w:rPr>
          <w:rFonts w:eastAsia="Times New Roman" w:cs="Times New Roman"/>
          <w:bCs/>
          <w:i/>
          <w:iCs/>
          <w:lang w:eastAsia="ro-RO"/>
        </w:rPr>
        <w:t>,</w:t>
      </w:r>
      <w:r w:rsidRPr="0033408B">
        <w:rPr>
          <w:rFonts w:eastAsia="Times New Roman" w:cs="Times New Roman"/>
          <w:bCs/>
          <w:i/>
          <w:iCs/>
          <w:lang w:eastAsia="ro-RO"/>
        </w:rPr>
        <w:t xml:space="preserve"> cu venituri reduse (care au media veniturilor băneşti nete lunare sub salariul minim brut pe ţară garantat la plată pe membru de familie)</w:t>
      </w:r>
      <w:r w:rsidR="00575595">
        <w:rPr>
          <w:rFonts w:eastAsia="Times New Roman" w:cs="Times New Roman"/>
          <w:bCs/>
          <w:i/>
          <w:iCs/>
          <w:lang w:eastAsia="ro-RO"/>
        </w:rPr>
        <w:t xml:space="preserve">, </w:t>
      </w:r>
      <w:r w:rsidRPr="0033408B">
        <w:rPr>
          <w:rFonts w:eastAsia="Times New Roman" w:cs="Times New Roman"/>
          <w:bCs/>
          <w:i/>
          <w:iCs/>
          <w:lang w:eastAsia="ro-RO"/>
        </w:rPr>
        <w:t>pentru plata cheltuielilor de branşare/racordare la sistemul public de alimentare cu apă şi de canalizare</w:t>
      </w:r>
      <w:r w:rsidR="006446C2">
        <w:rPr>
          <w:rFonts w:eastAsia="Times New Roman" w:cs="Times New Roman"/>
          <w:bCs/>
          <w:i/>
          <w:iCs/>
          <w:lang w:eastAsia="ro-RO"/>
        </w:rPr>
        <w:t>. Practic, toți cei care nu și-au permis din punct de vedere financiar să se conecteze la rețelele publice de alimentare cu apă și la sistemele</w:t>
      </w:r>
      <w:r w:rsidR="00520B17">
        <w:rPr>
          <w:rFonts w:eastAsia="Times New Roman" w:cs="Times New Roman"/>
          <w:bCs/>
          <w:i/>
          <w:iCs/>
          <w:lang w:eastAsia="ro-RO"/>
        </w:rPr>
        <w:t xml:space="preserve"> publice</w:t>
      </w:r>
      <w:r w:rsidR="006446C2">
        <w:rPr>
          <w:rFonts w:eastAsia="Times New Roman" w:cs="Times New Roman"/>
          <w:bCs/>
          <w:i/>
          <w:iCs/>
          <w:lang w:eastAsia="ro-RO"/>
        </w:rPr>
        <w:t xml:space="preserve"> de canalizare, o vor putea face acum, prin Prima Conectare</w:t>
      </w:r>
      <w:r w:rsidR="00475994" w:rsidRPr="0033408B">
        <w:rPr>
          <w:bCs/>
          <w:i/>
          <w:iCs/>
          <w:lang w:val="en-US"/>
        </w:rPr>
        <w:t>”</w:t>
      </w:r>
      <w:r w:rsidR="00575595">
        <w:rPr>
          <w:bCs/>
          <w:i/>
          <w:iCs/>
        </w:rPr>
        <w:t xml:space="preserve">, </w:t>
      </w:r>
      <w:r w:rsidR="00575595" w:rsidRPr="00575595">
        <w:rPr>
          <w:bCs/>
        </w:rPr>
        <w:t>a declarat ministrul Barna T</w:t>
      </w:r>
      <w:r w:rsidR="006446C2" w:rsidRPr="0033408B">
        <w:rPr>
          <w:rFonts w:eastAsia="SimSun" w:cs="SimSun"/>
        </w:rPr>
        <w:t>á</w:t>
      </w:r>
      <w:r w:rsidR="00575595" w:rsidRPr="00575595">
        <w:rPr>
          <w:bCs/>
        </w:rPr>
        <w:t>nczos, în cadrul conferinței</w:t>
      </w:r>
      <w:r w:rsidR="00575595">
        <w:rPr>
          <w:bCs/>
        </w:rPr>
        <w:t xml:space="preserve">. </w:t>
      </w:r>
    </w:p>
    <w:p w14:paraId="73DF8D55" w14:textId="7F5846E3" w:rsidR="00290D70" w:rsidRPr="0033408B" w:rsidRDefault="00290D70" w:rsidP="006446C2">
      <w:pPr>
        <w:spacing w:after="0" w:line="360" w:lineRule="auto"/>
        <w:ind w:left="426"/>
        <w:contextualSpacing/>
        <w:rPr>
          <w:rFonts w:eastAsia="Times New Roman" w:cs="Times New Roman"/>
          <w:bCs/>
          <w:i/>
          <w:iCs/>
          <w:lang w:eastAsia="ro-RO"/>
        </w:rPr>
      </w:pPr>
    </w:p>
    <w:p w14:paraId="68F30491" w14:textId="26296991" w:rsidR="000B5191" w:rsidRPr="0033408B" w:rsidRDefault="00290D70" w:rsidP="006446C2">
      <w:pPr>
        <w:pStyle w:val="Default"/>
        <w:spacing w:line="360" w:lineRule="auto"/>
        <w:ind w:left="426"/>
        <w:contextualSpacing/>
        <w:jc w:val="both"/>
        <w:rPr>
          <w:rFonts w:ascii="Trebuchet MS" w:eastAsia="SimSun" w:hAnsi="Trebuchet MS"/>
          <w:bCs/>
          <w:sz w:val="22"/>
          <w:szCs w:val="22"/>
          <w:lang w:eastAsia="ro-RO"/>
        </w:rPr>
      </w:pPr>
      <w:r w:rsidRPr="0033408B">
        <w:rPr>
          <w:rFonts w:ascii="Trebuchet MS" w:hAnsi="Trebuchet MS"/>
          <w:bCs/>
          <w:sz w:val="22"/>
          <w:szCs w:val="22"/>
          <w:lang w:val="ro-RO"/>
        </w:rPr>
        <w:t>L</w:t>
      </w:r>
      <w:r w:rsidR="00475994" w:rsidRPr="0033408B">
        <w:rPr>
          <w:rFonts w:ascii="Trebuchet MS" w:hAnsi="Trebuchet MS"/>
          <w:bCs/>
          <w:sz w:val="22"/>
          <w:szCs w:val="22"/>
          <w:lang w:val="ro-RO"/>
        </w:rPr>
        <w:t>a începutul lunii mai, MMAP a lansat în consultare publică primele doua ghiduri pentru Extinderea sistemelor de apă și canalizare în aglomerări mai mari de 2</w:t>
      </w:r>
      <w:r w:rsidR="00520B17">
        <w:rPr>
          <w:rFonts w:ascii="Trebuchet MS" w:hAnsi="Trebuchet MS"/>
          <w:bCs/>
          <w:sz w:val="22"/>
          <w:szCs w:val="22"/>
          <w:lang w:val="ro-RO"/>
        </w:rPr>
        <w:t>.</w:t>
      </w:r>
      <w:r w:rsidR="00475994" w:rsidRPr="0033408B">
        <w:rPr>
          <w:rFonts w:ascii="Trebuchet MS" w:hAnsi="Trebuchet MS"/>
          <w:bCs/>
          <w:sz w:val="22"/>
          <w:szCs w:val="22"/>
          <w:lang w:val="ro-RO"/>
        </w:rPr>
        <w:t xml:space="preserve">000 de locuitori echivalenți (l.e) și </w:t>
      </w:r>
      <w:r w:rsidR="00475994" w:rsidRPr="0033408B">
        <w:rPr>
          <w:rFonts w:ascii="Trebuchet MS" w:hAnsi="Trebuchet MS"/>
          <w:bCs/>
          <w:sz w:val="22"/>
          <w:szCs w:val="22"/>
          <w:lang w:val="ro-RO"/>
        </w:rPr>
        <w:lastRenderedPageBreak/>
        <w:t>Colectarea apelor uzate în aglomerări mai mici de 2 000 de locuitori echivalenți, care împiedică atingerea unei stări bune a corpurilor de apă și/sau afectează arii naturale protejate.</w:t>
      </w:r>
      <w:r w:rsidR="00475994" w:rsidRPr="0033408B">
        <w:rPr>
          <w:rFonts w:ascii="Trebuchet MS" w:hAnsi="Trebuchet MS"/>
          <w:b/>
          <w:sz w:val="22"/>
          <w:szCs w:val="22"/>
        </w:rPr>
        <w:t xml:space="preserve"> </w:t>
      </w:r>
    </w:p>
    <w:p w14:paraId="5BBCB84A" w14:textId="71F6D5FB" w:rsidR="00973FBB" w:rsidRPr="0033408B" w:rsidRDefault="00973FBB" w:rsidP="006446C2">
      <w:pPr>
        <w:pStyle w:val="Default"/>
        <w:spacing w:line="360" w:lineRule="auto"/>
        <w:ind w:left="426"/>
        <w:contextualSpacing/>
        <w:jc w:val="both"/>
        <w:rPr>
          <w:rFonts w:ascii="Trebuchet MS" w:eastAsia="SimSun" w:hAnsi="Trebuchet MS"/>
          <w:bCs/>
          <w:sz w:val="22"/>
          <w:szCs w:val="22"/>
          <w:lang w:eastAsia="ro-RO"/>
        </w:rPr>
      </w:pPr>
    </w:p>
    <w:p w14:paraId="257BFBFD" w14:textId="60959AC1" w:rsidR="00973FBB" w:rsidRPr="0033408B" w:rsidRDefault="00973FBB" w:rsidP="006446C2">
      <w:pPr>
        <w:pStyle w:val="Default"/>
        <w:spacing w:line="360" w:lineRule="auto"/>
        <w:ind w:left="426"/>
        <w:contextualSpacing/>
        <w:jc w:val="both"/>
        <w:rPr>
          <w:rFonts w:ascii="Trebuchet MS" w:eastAsia="SimSun" w:hAnsi="Trebuchet MS"/>
          <w:sz w:val="22"/>
          <w:szCs w:val="22"/>
        </w:rPr>
      </w:pPr>
      <w:r w:rsidRPr="0033408B">
        <w:rPr>
          <w:rFonts w:ascii="Trebuchet MS" w:eastAsia="SimSun" w:hAnsi="Trebuchet MS"/>
          <w:sz w:val="22"/>
          <w:szCs w:val="22"/>
        </w:rPr>
        <w:t xml:space="preserve">Ca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urmare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a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investițiilor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aferente</w:t>
      </w:r>
      <w:proofErr w:type="spellEnd"/>
      <w:r w:rsidR="00520B17">
        <w:rPr>
          <w:rFonts w:ascii="Trebuchet MS" w:eastAsia="SimSun" w:hAnsi="Trebuchet MS"/>
          <w:sz w:val="22"/>
          <w:szCs w:val="22"/>
        </w:rPr>
        <w:t xml:space="preserve"> </w:t>
      </w:r>
      <w:proofErr w:type="spellStart"/>
      <w:r w:rsidR="00520B17">
        <w:rPr>
          <w:rFonts w:ascii="Trebuchet MS" w:eastAsia="SimSun" w:hAnsi="Trebuchet MS"/>
          <w:sz w:val="22"/>
          <w:szCs w:val="22"/>
        </w:rPr>
        <w:t>celor</w:t>
      </w:r>
      <w:proofErr w:type="spellEnd"/>
      <w:r w:rsidR="00520B17">
        <w:rPr>
          <w:rFonts w:ascii="Trebuchet MS" w:eastAsia="SimSun" w:hAnsi="Trebuchet MS"/>
          <w:sz w:val="22"/>
          <w:szCs w:val="22"/>
        </w:rPr>
        <w:t xml:space="preserve"> </w:t>
      </w:r>
      <w:proofErr w:type="spellStart"/>
      <w:r w:rsidR="00520B17">
        <w:rPr>
          <w:rFonts w:ascii="Trebuchet MS" w:eastAsia="SimSun" w:hAnsi="Trebuchet MS"/>
          <w:sz w:val="22"/>
          <w:szCs w:val="22"/>
        </w:rPr>
        <w:t>două</w:t>
      </w:r>
      <w:proofErr w:type="spellEnd"/>
      <w:r w:rsidR="00520B17">
        <w:rPr>
          <w:rFonts w:ascii="Trebuchet MS" w:eastAsia="SimSun" w:hAnsi="Trebuchet MS"/>
          <w:sz w:val="22"/>
          <w:szCs w:val="22"/>
        </w:rPr>
        <w:t xml:space="preserve"> </w:t>
      </w:r>
      <w:proofErr w:type="spellStart"/>
      <w:r w:rsidR="00520B17">
        <w:rPr>
          <w:rFonts w:ascii="Trebuchet MS" w:eastAsia="SimSun" w:hAnsi="Trebuchet MS"/>
          <w:sz w:val="22"/>
          <w:szCs w:val="22"/>
        </w:rPr>
        <w:t>gh</w:t>
      </w:r>
      <w:r w:rsidRPr="0033408B">
        <w:rPr>
          <w:rFonts w:ascii="Trebuchet MS" w:eastAsia="SimSun" w:hAnsi="Trebuchet MS"/>
          <w:sz w:val="22"/>
          <w:szCs w:val="22"/>
        </w:rPr>
        <w:t>iduri</w:t>
      </w:r>
      <w:proofErr w:type="spellEnd"/>
      <w:r w:rsidR="00520B17">
        <w:rPr>
          <w:rFonts w:ascii="Trebuchet MS" w:eastAsia="SimSun" w:hAnsi="Trebuchet MS"/>
          <w:sz w:val="22"/>
          <w:szCs w:val="22"/>
        </w:rPr>
        <w:t xml:space="preserve"> </w:t>
      </w:r>
      <w:proofErr w:type="spellStart"/>
      <w:r w:rsidR="00520B17">
        <w:rPr>
          <w:rFonts w:ascii="Trebuchet MS" w:eastAsia="SimSun" w:hAnsi="Trebuchet MS"/>
          <w:sz w:val="22"/>
          <w:szCs w:val="22"/>
        </w:rPr>
        <w:t>lansa</w:t>
      </w:r>
      <w:r w:rsidRPr="0033408B">
        <w:rPr>
          <w:rFonts w:ascii="Trebuchet MS" w:eastAsia="SimSun" w:hAnsi="Trebuchet MS"/>
          <w:sz w:val="22"/>
          <w:szCs w:val="22"/>
        </w:rPr>
        <w:t>te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>, un total de 1</w:t>
      </w:r>
      <w:r w:rsidR="00520B17">
        <w:rPr>
          <w:rFonts w:ascii="Trebuchet MS" w:eastAsia="SimSun" w:hAnsi="Trebuchet MS"/>
          <w:sz w:val="22"/>
          <w:szCs w:val="22"/>
        </w:rPr>
        <w:t>.</w:t>
      </w:r>
      <w:r w:rsidRPr="0033408B">
        <w:rPr>
          <w:rFonts w:ascii="Trebuchet MS" w:eastAsia="SimSun" w:hAnsi="Trebuchet MS"/>
          <w:sz w:val="22"/>
          <w:szCs w:val="22"/>
        </w:rPr>
        <w:t xml:space="preserve">600 km de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rețele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de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distribuție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a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apei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și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cel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puțin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2</w:t>
      </w:r>
      <w:r w:rsidR="00520B17">
        <w:rPr>
          <w:rFonts w:ascii="Trebuchet MS" w:eastAsia="SimSun" w:hAnsi="Trebuchet MS"/>
          <w:sz w:val="22"/>
          <w:szCs w:val="22"/>
        </w:rPr>
        <w:t>.</w:t>
      </w:r>
      <w:r w:rsidRPr="0033408B">
        <w:rPr>
          <w:rFonts w:ascii="Trebuchet MS" w:eastAsia="SimSun" w:hAnsi="Trebuchet MS"/>
          <w:sz w:val="22"/>
          <w:szCs w:val="22"/>
        </w:rPr>
        <w:t xml:space="preserve">500 km de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rețele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de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canalizare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vor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fi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construite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și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operaționalizate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în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aglomerări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cu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peste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2</w:t>
      </w:r>
      <w:r w:rsidR="00520B17">
        <w:rPr>
          <w:rFonts w:ascii="Trebuchet MS" w:eastAsia="SimSun" w:hAnsi="Trebuchet MS"/>
          <w:sz w:val="22"/>
          <w:szCs w:val="22"/>
        </w:rPr>
        <w:t>.</w:t>
      </w:r>
      <w:r w:rsidRPr="0033408B">
        <w:rPr>
          <w:rFonts w:ascii="Trebuchet MS" w:eastAsia="SimSun" w:hAnsi="Trebuchet MS"/>
          <w:sz w:val="22"/>
          <w:szCs w:val="22"/>
        </w:rPr>
        <w:t xml:space="preserve">000 de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locuitori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echivalenți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(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l.e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), 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și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un total de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cel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puțin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12 900 de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sisteme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individuale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sau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alte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sisteme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corespunzătoare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și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cel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puțin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400 km de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rețele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de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canalizare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în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total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vor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fi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construite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și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operaționalizate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în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aglomerările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mai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mici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de 2</w:t>
      </w:r>
      <w:r w:rsidR="00520B17">
        <w:rPr>
          <w:rFonts w:ascii="Trebuchet MS" w:eastAsia="SimSun" w:hAnsi="Trebuchet MS"/>
          <w:sz w:val="22"/>
          <w:szCs w:val="22"/>
        </w:rPr>
        <w:t>.</w:t>
      </w:r>
      <w:r w:rsidRPr="0033408B">
        <w:rPr>
          <w:rFonts w:ascii="Trebuchet MS" w:eastAsia="SimSun" w:hAnsi="Trebuchet MS"/>
          <w:sz w:val="22"/>
          <w:szCs w:val="22"/>
        </w:rPr>
        <w:t xml:space="preserve">000 de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locuitori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echivalenți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,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până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</w:t>
      </w:r>
      <w:proofErr w:type="spellStart"/>
      <w:r w:rsidRPr="0033408B">
        <w:rPr>
          <w:rFonts w:ascii="Trebuchet MS" w:eastAsia="SimSun" w:hAnsi="Trebuchet MS"/>
          <w:sz w:val="22"/>
          <w:szCs w:val="22"/>
        </w:rPr>
        <w:t>în</w:t>
      </w:r>
      <w:proofErr w:type="spellEnd"/>
      <w:r w:rsidRPr="0033408B">
        <w:rPr>
          <w:rFonts w:ascii="Trebuchet MS" w:eastAsia="SimSun" w:hAnsi="Trebuchet MS"/>
          <w:sz w:val="22"/>
          <w:szCs w:val="22"/>
        </w:rPr>
        <w:t xml:space="preserve"> </w:t>
      </w:r>
      <w:proofErr w:type="spellStart"/>
      <w:r w:rsidR="00B3761F">
        <w:rPr>
          <w:rFonts w:ascii="Trebuchet MS" w:eastAsia="SimSun" w:hAnsi="Trebuchet MS"/>
          <w:sz w:val="22"/>
          <w:szCs w:val="22"/>
        </w:rPr>
        <w:t>trimestrul</w:t>
      </w:r>
      <w:proofErr w:type="spellEnd"/>
      <w:r w:rsidR="00B3761F">
        <w:rPr>
          <w:rFonts w:ascii="Trebuchet MS" w:eastAsia="SimSun" w:hAnsi="Trebuchet MS"/>
          <w:sz w:val="22"/>
          <w:szCs w:val="22"/>
        </w:rPr>
        <w:t xml:space="preserve"> </w:t>
      </w:r>
      <w:proofErr w:type="spellStart"/>
      <w:r w:rsidR="006446C2">
        <w:rPr>
          <w:rFonts w:ascii="Trebuchet MS" w:eastAsia="SimSun" w:hAnsi="Trebuchet MS"/>
          <w:sz w:val="22"/>
          <w:szCs w:val="22"/>
        </w:rPr>
        <w:t>doi</w:t>
      </w:r>
      <w:proofErr w:type="spellEnd"/>
      <w:r w:rsidR="006446C2">
        <w:rPr>
          <w:rFonts w:ascii="Trebuchet MS" w:eastAsia="SimSun" w:hAnsi="Trebuchet MS"/>
          <w:sz w:val="22"/>
          <w:szCs w:val="22"/>
        </w:rPr>
        <w:t xml:space="preserve"> din </w:t>
      </w:r>
      <w:r w:rsidRPr="0033408B">
        <w:rPr>
          <w:rFonts w:ascii="Trebuchet MS" w:eastAsia="SimSun" w:hAnsi="Trebuchet MS"/>
          <w:sz w:val="22"/>
          <w:szCs w:val="22"/>
        </w:rPr>
        <w:t>2026.</w:t>
      </w:r>
    </w:p>
    <w:p w14:paraId="6B70CB9A" w14:textId="613FCD9A" w:rsidR="0067199F" w:rsidRPr="0033408B" w:rsidRDefault="0067199F" w:rsidP="006446C2">
      <w:pPr>
        <w:pStyle w:val="Default"/>
        <w:spacing w:line="360" w:lineRule="auto"/>
        <w:ind w:left="426"/>
        <w:contextualSpacing/>
        <w:jc w:val="both"/>
        <w:rPr>
          <w:rFonts w:ascii="Trebuchet MS" w:eastAsia="SimSun" w:hAnsi="Trebuchet MS"/>
          <w:sz w:val="22"/>
          <w:szCs w:val="22"/>
        </w:rPr>
      </w:pPr>
    </w:p>
    <w:p w14:paraId="36D6A7AC" w14:textId="7B32A449" w:rsidR="0067199F" w:rsidRPr="00520B17" w:rsidRDefault="0067199F" w:rsidP="006446C2">
      <w:pPr>
        <w:spacing w:after="0" w:line="360" w:lineRule="auto"/>
        <w:ind w:left="426"/>
        <w:rPr>
          <w:rFonts w:cs="Times New Roman"/>
          <w:bCs/>
          <w:color w:val="000000" w:themeColor="text1"/>
        </w:rPr>
      </w:pPr>
      <w:r w:rsidRPr="0033408B">
        <w:rPr>
          <w:rFonts w:cs="Times New Roman"/>
          <w:bCs/>
          <w:color w:val="000000" w:themeColor="text1"/>
        </w:rPr>
        <w:t xml:space="preserve">Beneficiarii </w:t>
      </w:r>
      <w:r w:rsidR="00520B17">
        <w:rPr>
          <w:rFonts w:cs="Times New Roman"/>
          <w:bCs/>
          <w:color w:val="000000" w:themeColor="text1"/>
        </w:rPr>
        <w:t xml:space="preserve">programului </w:t>
      </w:r>
      <w:r w:rsidR="00520B17" w:rsidRPr="0033408B">
        <w:rPr>
          <w:rFonts w:eastAsia="SimSun" w:cs="Times New Roman"/>
          <w:bCs/>
          <w:lang w:eastAsia="ro-RO"/>
        </w:rPr>
        <w:t>“Prima conectare la sistemul public de alimentare cu ap</w:t>
      </w:r>
      <w:r w:rsidR="00520B17" w:rsidRPr="0033408B">
        <w:rPr>
          <w:rFonts w:eastAsia="SimSun" w:cs="Cambria"/>
          <w:bCs/>
          <w:lang w:eastAsia="ro-RO"/>
        </w:rPr>
        <w:t>ă</w:t>
      </w:r>
      <w:r w:rsidR="00520B17" w:rsidRPr="0033408B">
        <w:rPr>
          <w:rFonts w:eastAsia="SimSun" w:cs="Times New Roman"/>
          <w:bCs/>
          <w:lang w:eastAsia="ro-RO"/>
        </w:rPr>
        <w:t xml:space="preserve"> </w:t>
      </w:r>
      <w:r w:rsidR="00520B17" w:rsidRPr="0033408B">
        <w:rPr>
          <w:rFonts w:eastAsia="SimSun" w:cs="Cambria"/>
          <w:bCs/>
          <w:lang w:eastAsia="ro-RO"/>
        </w:rPr>
        <w:t>ș</w:t>
      </w:r>
      <w:r w:rsidR="00520B17" w:rsidRPr="0033408B">
        <w:rPr>
          <w:rFonts w:eastAsia="SimSun" w:cs="Times New Roman"/>
          <w:bCs/>
          <w:lang w:eastAsia="ro-RO"/>
        </w:rPr>
        <w:t>i de canalizare”</w:t>
      </w:r>
      <w:r w:rsidRPr="0033408B">
        <w:rPr>
          <w:rFonts w:cs="Times New Roman"/>
          <w:bCs/>
          <w:color w:val="000000" w:themeColor="text1"/>
        </w:rPr>
        <w:t xml:space="preserve"> sunt Operatorii Locali (OL) din sectorul de apă/apă uzată, </w:t>
      </w:r>
      <w:r w:rsidRPr="00520B17">
        <w:rPr>
          <w:rFonts w:cs="Times New Roman"/>
          <w:bCs/>
          <w:color w:val="000000" w:themeColor="text1"/>
        </w:rPr>
        <w:t>Operatorii Regionali (OR) de Apă (în numele Asociațiilor de Dezvoltare Intercomunitară), care îndeplinesc cumulativ următoarele condiții:</w:t>
      </w:r>
    </w:p>
    <w:p w14:paraId="63EB463A" w14:textId="77777777" w:rsidR="0067199F" w:rsidRPr="0033408B" w:rsidRDefault="0067199F" w:rsidP="006446C2">
      <w:pPr>
        <w:spacing w:after="0" w:line="360" w:lineRule="auto"/>
        <w:ind w:left="426"/>
        <w:rPr>
          <w:rFonts w:cs="Times New Roman"/>
          <w:bCs/>
          <w:color w:val="000000" w:themeColor="text1"/>
        </w:rPr>
      </w:pPr>
      <w:r w:rsidRPr="0033408B">
        <w:rPr>
          <w:rFonts w:cs="Times New Roman"/>
          <w:bCs/>
          <w:color w:val="000000" w:themeColor="text1"/>
        </w:rPr>
        <w:t>●</w:t>
      </w:r>
      <w:r w:rsidRPr="0033408B">
        <w:rPr>
          <w:rFonts w:cs="Times New Roman"/>
          <w:bCs/>
          <w:color w:val="000000" w:themeColor="text1"/>
        </w:rPr>
        <w:tab/>
        <w:t>sunt licențiați de către ANRSC pentru operarea sistemului public de alimentare și/sau canalizare;</w:t>
      </w:r>
    </w:p>
    <w:p w14:paraId="0767D77B" w14:textId="718EEDBC" w:rsidR="0067199F" w:rsidRPr="0033408B" w:rsidRDefault="0067199F" w:rsidP="006446C2">
      <w:pPr>
        <w:spacing w:after="0" w:line="360" w:lineRule="auto"/>
        <w:ind w:left="426"/>
        <w:rPr>
          <w:rFonts w:cs="Times New Roman"/>
          <w:bCs/>
          <w:color w:val="000000" w:themeColor="text1"/>
        </w:rPr>
      </w:pPr>
      <w:r w:rsidRPr="0033408B">
        <w:rPr>
          <w:rFonts w:cs="Times New Roman"/>
          <w:bCs/>
          <w:color w:val="000000" w:themeColor="text1"/>
        </w:rPr>
        <w:t>●</w:t>
      </w:r>
      <w:r w:rsidRPr="0033408B">
        <w:rPr>
          <w:rFonts w:cs="Times New Roman"/>
          <w:bCs/>
          <w:color w:val="000000" w:themeColor="text1"/>
        </w:rPr>
        <w:tab/>
        <w:t>acționează în baza Contractului de Delegare a Gestiunii Serviciilor, contract prin care autoritățile locale exercită asupra OR un ”control similar” celui exercitat asupra propriilor departamente, în parteneriat cu Unitățile Administrativ Teritoriale (UAT).</w:t>
      </w:r>
    </w:p>
    <w:p w14:paraId="13433DEF" w14:textId="7CDA447F" w:rsidR="00D43E1F" w:rsidRPr="000A0532" w:rsidRDefault="00D43E1F" w:rsidP="006446C2">
      <w:pPr>
        <w:spacing w:after="0" w:line="360" w:lineRule="auto"/>
        <w:ind w:left="426"/>
        <w:rPr>
          <w:rFonts w:cs="Times New Roman"/>
          <w:bCs/>
          <w:color w:val="000000" w:themeColor="text1"/>
        </w:rPr>
      </w:pPr>
    </w:p>
    <w:p w14:paraId="1C2BA793" w14:textId="623715CE" w:rsidR="000A0532" w:rsidRPr="000A0532" w:rsidRDefault="000A0532" w:rsidP="006446C2">
      <w:pPr>
        <w:spacing w:after="0" w:line="360" w:lineRule="auto"/>
        <w:ind w:left="426"/>
        <w:rPr>
          <w:rFonts w:cs="Times New Roman"/>
          <w:bCs/>
          <w:color w:val="000000" w:themeColor="text1"/>
        </w:rPr>
      </w:pPr>
      <w:r w:rsidRPr="000A0532">
        <w:rPr>
          <w:rFonts w:cs="Times New Roman"/>
          <w:bCs/>
          <w:color w:val="000000" w:themeColor="text1"/>
        </w:rPr>
        <w:t>Cheltuielile eligibile sunt:</w:t>
      </w:r>
    </w:p>
    <w:p w14:paraId="51C872FD" w14:textId="77777777" w:rsidR="000A0532" w:rsidRPr="000A0532" w:rsidRDefault="000A0532" w:rsidP="006446C2">
      <w:pPr>
        <w:numPr>
          <w:ilvl w:val="0"/>
          <w:numId w:val="6"/>
        </w:numPr>
        <w:autoSpaceDE w:val="0"/>
        <w:autoSpaceDN w:val="0"/>
        <w:spacing w:after="0" w:line="360" w:lineRule="auto"/>
        <w:ind w:right="315"/>
        <w:contextualSpacing/>
        <w:rPr>
          <w:rFonts w:eastAsia="Times New Roman" w:cs="Times New Roman"/>
          <w:bCs/>
          <w:lang w:eastAsia="ro-RO"/>
        </w:rPr>
      </w:pPr>
      <w:r w:rsidRPr="000A0532">
        <w:rPr>
          <w:rFonts w:eastAsia="Times New Roman" w:cs="Times New Roman"/>
          <w:bCs/>
          <w:lang w:eastAsia="ro-RO"/>
        </w:rPr>
        <w:t>Cheltuieli pentru realizarea branșamentelor/ racordurilor gospodăriilor la sistemul public de alimentare cu apă şi de canalizare existent:</w:t>
      </w:r>
    </w:p>
    <w:p w14:paraId="11F043C8" w14:textId="77777777" w:rsidR="000A0532" w:rsidRPr="000A0532" w:rsidRDefault="000A0532" w:rsidP="006446C2">
      <w:pPr>
        <w:numPr>
          <w:ilvl w:val="0"/>
          <w:numId w:val="5"/>
        </w:numPr>
        <w:autoSpaceDE w:val="0"/>
        <w:autoSpaceDN w:val="0"/>
        <w:spacing w:after="0" w:line="360" w:lineRule="auto"/>
        <w:ind w:right="315"/>
        <w:contextualSpacing/>
        <w:rPr>
          <w:rFonts w:eastAsia="Times New Roman" w:cs="Times New Roman"/>
          <w:bCs/>
          <w:lang w:eastAsia="ro-RO"/>
        </w:rPr>
      </w:pPr>
      <w:r w:rsidRPr="000A0532">
        <w:rPr>
          <w:rFonts w:eastAsia="Times New Roman" w:cs="Times New Roman"/>
          <w:bCs/>
          <w:lang w:eastAsia="ro-RO"/>
        </w:rPr>
        <w:t>lucrări de construcții și instalații necesare realizării branșamentelor la rețelele publice de alimentare cu apă și/sau realizării racordurilor la rețelele publice de canalizare;</w:t>
      </w:r>
    </w:p>
    <w:p w14:paraId="49650A66" w14:textId="77777777" w:rsidR="000A0532" w:rsidRPr="000A0532" w:rsidRDefault="000A0532" w:rsidP="006446C2">
      <w:pPr>
        <w:numPr>
          <w:ilvl w:val="0"/>
          <w:numId w:val="5"/>
        </w:numPr>
        <w:autoSpaceDE w:val="0"/>
        <w:autoSpaceDN w:val="0"/>
        <w:spacing w:after="0" w:line="360" w:lineRule="auto"/>
        <w:ind w:right="315"/>
        <w:contextualSpacing/>
        <w:rPr>
          <w:rFonts w:eastAsia="Times New Roman" w:cs="Times New Roman"/>
          <w:bCs/>
          <w:lang w:eastAsia="ro-RO"/>
        </w:rPr>
      </w:pPr>
      <w:r w:rsidRPr="000A0532">
        <w:rPr>
          <w:rFonts w:eastAsia="Times New Roman" w:cs="Times New Roman"/>
          <w:bCs/>
          <w:lang w:eastAsia="ro-RO"/>
        </w:rPr>
        <w:t>echipamente necesare racordării și/sau branșării, inclusiv montajul aferent acestora;</w:t>
      </w:r>
    </w:p>
    <w:p w14:paraId="444CD47B" w14:textId="77777777" w:rsidR="000A0532" w:rsidRPr="000A0532" w:rsidRDefault="000A0532" w:rsidP="006446C2">
      <w:pPr>
        <w:numPr>
          <w:ilvl w:val="0"/>
          <w:numId w:val="5"/>
        </w:numPr>
        <w:autoSpaceDE w:val="0"/>
        <w:autoSpaceDN w:val="0"/>
        <w:spacing w:after="0" w:line="360" w:lineRule="auto"/>
        <w:ind w:right="315"/>
        <w:contextualSpacing/>
        <w:rPr>
          <w:rFonts w:eastAsia="Times New Roman" w:cs="Times New Roman"/>
          <w:bCs/>
          <w:lang w:eastAsia="ro-RO"/>
        </w:rPr>
      </w:pPr>
      <w:r w:rsidRPr="000A0532">
        <w:rPr>
          <w:rFonts w:eastAsia="Times New Roman" w:cs="Times New Roman"/>
          <w:bCs/>
          <w:lang w:eastAsia="ro-RO"/>
        </w:rPr>
        <w:t>alte costuri generale necesare implementării proiectului;</w:t>
      </w:r>
    </w:p>
    <w:p w14:paraId="6D061F9C" w14:textId="60BFD262" w:rsidR="000A0532" w:rsidRPr="006446C2" w:rsidRDefault="000A0532" w:rsidP="006446C2">
      <w:pPr>
        <w:numPr>
          <w:ilvl w:val="0"/>
          <w:numId w:val="6"/>
        </w:numPr>
        <w:autoSpaceDE w:val="0"/>
        <w:autoSpaceDN w:val="0"/>
        <w:spacing w:after="0" w:line="360" w:lineRule="auto"/>
        <w:ind w:right="315"/>
        <w:contextualSpacing/>
        <w:rPr>
          <w:rFonts w:cs="Times New Roman"/>
          <w:bCs/>
          <w:color w:val="000000" w:themeColor="text1"/>
        </w:rPr>
      </w:pPr>
      <w:bookmarkStart w:id="0" w:name="_111kx3o" w:colFirst="0" w:colLast="0"/>
      <w:bookmarkEnd w:id="0"/>
      <w:r w:rsidRPr="000A0532">
        <w:rPr>
          <w:rFonts w:eastAsia="Times New Roman" w:cs="Times New Roman"/>
          <w:bCs/>
          <w:lang w:eastAsia="ro-RO"/>
        </w:rPr>
        <w:t xml:space="preserve">Cheltuieli privind informarea și publicitatea. </w:t>
      </w:r>
    </w:p>
    <w:p w14:paraId="7BF52C12" w14:textId="77777777" w:rsidR="00520B17" w:rsidRDefault="00520B17" w:rsidP="006446C2">
      <w:pPr>
        <w:spacing w:after="0" w:line="360" w:lineRule="auto"/>
        <w:ind w:left="426"/>
        <w:contextualSpacing/>
        <w:rPr>
          <w:rFonts w:cs="Times New Roman"/>
          <w:bCs/>
        </w:rPr>
      </w:pPr>
    </w:p>
    <w:p w14:paraId="6994F1A5" w14:textId="60D58FA9" w:rsidR="000B5191" w:rsidRPr="000A0532" w:rsidRDefault="001C793A" w:rsidP="006446C2">
      <w:pPr>
        <w:spacing w:after="0" w:line="360" w:lineRule="auto"/>
        <w:ind w:left="426"/>
        <w:contextualSpacing/>
        <w:rPr>
          <w:rFonts w:cs="Times New Roman"/>
          <w:bCs/>
        </w:rPr>
      </w:pPr>
      <w:r w:rsidRPr="000A0532">
        <w:rPr>
          <w:rFonts w:cs="Times New Roman"/>
          <w:bCs/>
        </w:rPr>
        <w:t>Bugetul total alocat Componentei C1</w:t>
      </w:r>
      <w:r w:rsidR="00EA7B50" w:rsidRPr="000A0532">
        <w:rPr>
          <w:rFonts w:cs="Times New Roman"/>
          <w:bCs/>
        </w:rPr>
        <w:t xml:space="preserve"> – Managementul apei din PNRR este de</w:t>
      </w:r>
      <w:r w:rsidRPr="000A0532">
        <w:rPr>
          <w:rFonts w:cs="Times New Roman"/>
          <w:bCs/>
        </w:rPr>
        <w:t xml:space="preserve">  1,462 miliarde euro</w:t>
      </w:r>
      <w:r w:rsidR="00EA7B50" w:rsidRPr="000A0532">
        <w:rPr>
          <w:rFonts w:cs="Times New Roman"/>
          <w:bCs/>
        </w:rPr>
        <w:t xml:space="preserve">. </w:t>
      </w:r>
    </w:p>
    <w:p w14:paraId="7AA45A9E" w14:textId="0E355B42" w:rsidR="001C793A" w:rsidRPr="000A0532" w:rsidRDefault="001C793A" w:rsidP="006446C2">
      <w:pPr>
        <w:spacing w:after="0" w:line="360" w:lineRule="auto"/>
        <w:ind w:left="720"/>
        <w:contextualSpacing/>
        <w:rPr>
          <w:rFonts w:cs="Times New Roman"/>
          <w:bCs/>
        </w:rPr>
      </w:pPr>
    </w:p>
    <w:p w14:paraId="2FFAB032" w14:textId="3F463100" w:rsidR="001C793A" w:rsidRPr="000A0532" w:rsidRDefault="001C793A" w:rsidP="006446C2">
      <w:pPr>
        <w:spacing w:after="0" w:line="360" w:lineRule="auto"/>
        <w:ind w:left="720"/>
        <w:contextualSpacing/>
        <w:rPr>
          <w:rFonts w:cs="Times New Roman"/>
          <w:bCs/>
        </w:rPr>
      </w:pPr>
    </w:p>
    <w:p w14:paraId="02D2A7BE" w14:textId="6679D639" w:rsidR="001C793A" w:rsidRPr="000A0532" w:rsidRDefault="001C793A" w:rsidP="00475994">
      <w:pPr>
        <w:spacing w:after="0" w:line="360" w:lineRule="auto"/>
        <w:ind w:left="720"/>
        <w:contextualSpacing/>
        <w:rPr>
          <w:rFonts w:ascii="Times New Roman" w:hAnsi="Times New Roman" w:cs="Times New Roman"/>
          <w:bCs/>
        </w:rPr>
      </w:pPr>
    </w:p>
    <w:p w14:paraId="5084E896" w14:textId="0B0D923F" w:rsidR="004A2C5D" w:rsidRDefault="00673F22" w:rsidP="002E59FA">
      <w:pPr>
        <w:spacing w:after="0" w:line="360" w:lineRule="auto"/>
        <w:ind w:left="426"/>
        <w:contextualSpacing/>
      </w:pPr>
      <w:r w:rsidRPr="00475994">
        <w:t>DIRECȚIA</w:t>
      </w:r>
      <w:r w:rsidR="002E59FA">
        <w:t xml:space="preserve"> </w:t>
      </w:r>
      <w:r w:rsidRPr="00475994">
        <w:t>COMUNICARE</w:t>
      </w:r>
    </w:p>
    <w:sectPr w:rsidR="004A2C5D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674" w:right="701" w:bottom="1702" w:left="810" w:header="567" w:footer="50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29DEF" w14:textId="77777777" w:rsidR="00C740E5" w:rsidRDefault="00C740E5">
      <w:pPr>
        <w:spacing w:after="0" w:line="240" w:lineRule="auto"/>
      </w:pPr>
      <w:r>
        <w:separator/>
      </w:r>
    </w:p>
  </w:endnote>
  <w:endnote w:type="continuationSeparator" w:id="0">
    <w:p w14:paraId="69FE7BD0" w14:textId="77777777" w:rsidR="00C740E5" w:rsidRDefault="00C74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23C53" w14:textId="77777777" w:rsidR="004A2C5D" w:rsidRDefault="00673F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567"/>
      <w:rPr>
        <w:color w:val="000000"/>
        <w:sz w:val="14"/>
        <w:szCs w:val="14"/>
      </w:rPr>
    </w:pPr>
    <w:r>
      <w:rPr>
        <w:color w:val="000000"/>
        <w:sz w:val="14"/>
        <w:szCs w:val="14"/>
      </w:rPr>
      <w:t>Bd. Libertăţii, nr. 12, Sector 5, Bucureşti</w:t>
    </w:r>
  </w:p>
  <w:p w14:paraId="73E11AB6" w14:textId="77777777" w:rsidR="004A2C5D" w:rsidRDefault="00673F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567"/>
      <w:rPr>
        <w:color w:val="000000"/>
        <w:sz w:val="14"/>
        <w:szCs w:val="14"/>
      </w:rPr>
    </w:pPr>
    <w:r>
      <w:rPr>
        <w:color w:val="000000"/>
        <w:sz w:val="14"/>
        <w:szCs w:val="14"/>
      </w:rPr>
      <w:t>Tel.: +4 021 408 96 05</w:t>
    </w:r>
  </w:p>
  <w:p w14:paraId="1DCA9ACD" w14:textId="77777777" w:rsidR="004A2C5D" w:rsidRDefault="00673F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567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e-mail: comunicare@mmediu.ro  </w:t>
    </w:r>
  </w:p>
  <w:p w14:paraId="00A1667F" w14:textId="77777777" w:rsidR="004A2C5D" w:rsidRDefault="00673F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567"/>
      <w:rPr>
        <w:color w:val="000000"/>
        <w:sz w:val="14"/>
        <w:szCs w:val="14"/>
      </w:rPr>
    </w:pPr>
    <w:r>
      <w:rPr>
        <w:color w:val="000000"/>
        <w:sz w:val="14"/>
        <w:szCs w:val="14"/>
      </w:rPr>
      <w:t>website: www.mmediu.ro</w:t>
    </w:r>
  </w:p>
  <w:p w14:paraId="4AE5B635" w14:textId="77777777" w:rsidR="004A2C5D" w:rsidRDefault="00673F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firstLine="170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B3049">
      <w:rPr>
        <w:noProof/>
        <w:color w:val="000000"/>
      </w:rPr>
      <w:t>2</w:t>
    </w:r>
    <w:r>
      <w:rPr>
        <w:color w:val="000000"/>
      </w:rPr>
      <w:fldChar w:fldCharType="end"/>
    </w:r>
  </w:p>
  <w:p w14:paraId="698BDF34" w14:textId="77777777" w:rsidR="004A2C5D" w:rsidRDefault="004A2C5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firstLine="1701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382F" w14:textId="77777777" w:rsidR="004A2C5D" w:rsidRDefault="004A2C5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567"/>
      <w:rPr>
        <w:color w:val="000000"/>
        <w:sz w:val="14"/>
        <w:szCs w:val="14"/>
      </w:rPr>
    </w:pPr>
    <w:bookmarkStart w:id="1" w:name="_gjdgxs" w:colFirst="0" w:colLast="0"/>
    <w:bookmarkEnd w:id="1"/>
  </w:p>
  <w:p w14:paraId="669A21A3" w14:textId="77777777" w:rsidR="004A2C5D" w:rsidRDefault="004A2C5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567"/>
      <w:rPr>
        <w:color w:val="000000"/>
        <w:sz w:val="14"/>
        <w:szCs w:val="14"/>
      </w:rPr>
    </w:pPr>
  </w:p>
  <w:p w14:paraId="42095DC1" w14:textId="77777777" w:rsidR="004A2C5D" w:rsidRDefault="00673F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567"/>
      <w:rPr>
        <w:color w:val="000000"/>
        <w:sz w:val="14"/>
        <w:szCs w:val="14"/>
      </w:rPr>
    </w:pPr>
    <w:bookmarkStart w:id="2" w:name="_30j0zll" w:colFirst="0" w:colLast="0"/>
    <w:bookmarkEnd w:id="2"/>
    <w:r>
      <w:rPr>
        <w:color w:val="000000"/>
        <w:sz w:val="14"/>
        <w:szCs w:val="14"/>
      </w:rPr>
      <w:t>Bd. Libertăţii, nr. 12, Sector 5, Bucureşti</w:t>
    </w:r>
  </w:p>
  <w:p w14:paraId="7C5E9265" w14:textId="77777777" w:rsidR="004A2C5D" w:rsidRDefault="00673F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567"/>
      <w:rPr>
        <w:color w:val="000000"/>
        <w:sz w:val="14"/>
        <w:szCs w:val="14"/>
      </w:rPr>
    </w:pPr>
    <w:r>
      <w:rPr>
        <w:color w:val="000000"/>
        <w:sz w:val="14"/>
        <w:szCs w:val="14"/>
      </w:rPr>
      <w:t>Tel.: +4 021 408 96 05</w:t>
    </w:r>
  </w:p>
  <w:p w14:paraId="5323325D" w14:textId="77777777" w:rsidR="004A2C5D" w:rsidRDefault="00673F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567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e-mail: comunicare@mmediu.ro  </w:t>
    </w:r>
  </w:p>
  <w:p w14:paraId="084FF56D" w14:textId="77777777" w:rsidR="004A2C5D" w:rsidRDefault="00673F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567"/>
      <w:rPr>
        <w:color w:val="000000"/>
        <w:sz w:val="14"/>
        <w:szCs w:val="14"/>
      </w:rPr>
    </w:pPr>
    <w:r>
      <w:rPr>
        <w:color w:val="000000"/>
        <w:sz w:val="14"/>
        <w:szCs w:val="14"/>
      </w:rPr>
      <w:t>website: www.mmediu.ro</w:t>
    </w:r>
  </w:p>
  <w:p w14:paraId="7E870FB1" w14:textId="77777777" w:rsidR="004A2C5D" w:rsidRDefault="004A2C5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firstLine="170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C342" w14:textId="77777777" w:rsidR="00C740E5" w:rsidRDefault="00C740E5">
      <w:pPr>
        <w:spacing w:after="0" w:line="240" w:lineRule="auto"/>
      </w:pPr>
      <w:r>
        <w:separator/>
      </w:r>
    </w:p>
  </w:footnote>
  <w:footnote w:type="continuationSeparator" w:id="0">
    <w:p w14:paraId="23A49BF6" w14:textId="77777777" w:rsidR="00C740E5" w:rsidRDefault="00C74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7700" w14:textId="77777777" w:rsidR="004A2C5D" w:rsidRDefault="004A2C5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  <w:rPr>
        <w:b/>
        <w:color w:val="7F7F7F"/>
      </w:rPr>
    </w:pPr>
  </w:p>
  <w:tbl>
    <w:tblPr>
      <w:tblStyle w:val="a0"/>
      <w:tblW w:w="9214" w:type="dxa"/>
      <w:tblInd w:w="1701" w:type="dxa"/>
      <w:tblLayout w:type="fixed"/>
      <w:tblLook w:val="0400" w:firstRow="0" w:lastRow="0" w:firstColumn="0" w:lastColumn="0" w:noHBand="0" w:noVBand="1"/>
    </w:tblPr>
    <w:tblGrid>
      <w:gridCol w:w="5103"/>
      <w:gridCol w:w="4111"/>
    </w:tblGrid>
    <w:tr w:rsidR="004A2C5D" w14:paraId="5DA2761F" w14:textId="77777777">
      <w:tc>
        <w:tcPr>
          <w:tcW w:w="5103" w:type="dxa"/>
          <w:shd w:val="clear" w:color="auto" w:fill="auto"/>
        </w:tcPr>
        <w:p w14:paraId="41691956" w14:textId="77777777" w:rsidR="004A2C5D" w:rsidRDefault="004A2C5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</w:p>
      </w:tc>
      <w:tc>
        <w:tcPr>
          <w:tcW w:w="4111" w:type="dxa"/>
          <w:shd w:val="clear" w:color="auto" w:fill="auto"/>
          <w:vAlign w:val="center"/>
        </w:tcPr>
        <w:p w14:paraId="77FDC604" w14:textId="77777777" w:rsidR="004A2C5D" w:rsidRDefault="004A2C5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right"/>
            <w:rPr>
              <w:color w:val="000000"/>
              <w:sz w:val="18"/>
              <w:szCs w:val="18"/>
            </w:rPr>
          </w:pPr>
        </w:p>
      </w:tc>
    </w:tr>
  </w:tbl>
  <w:p w14:paraId="3C9A680A" w14:textId="77777777" w:rsidR="004A2C5D" w:rsidRDefault="004A2C5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firstLine="1701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7B5E" w14:textId="77777777" w:rsidR="004A2C5D" w:rsidRDefault="004A2C5D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/>
      <w:jc w:val="left"/>
    </w:pPr>
  </w:p>
  <w:tbl>
    <w:tblPr>
      <w:tblStyle w:val="a"/>
      <w:tblW w:w="10915" w:type="dxa"/>
      <w:tblLayout w:type="fixed"/>
      <w:tblLook w:val="0400" w:firstRow="0" w:lastRow="0" w:firstColumn="0" w:lastColumn="0" w:noHBand="0" w:noVBand="1"/>
    </w:tblPr>
    <w:tblGrid>
      <w:gridCol w:w="6804"/>
      <w:gridCol w:w="4111"/>
    </w:tblGrid>
    <w:tr w:rsidR="004A2C5D" w14:paraId="7AC69807" w14:textId="77777777">
      <w:tc>
        <w:tcPr>
          <w:tcW w:w="6804" w:type="dxa"/>
          <w:shd w:val="clear" w:color="auto" w:fill="auto"/>
        </w:tcPr>
        <w:p w14:paraId="27877794" w14:textId="77777777" w:rsidR="004A2C5D" w:rsidRDefault="00673F2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left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  <w:lang w:val="en-US"/>
            </w:rPr>
            <w:drawing>
              <wp:inline distT="0" distB="0" distL="0" distR="0" wp14:anchorId="77B6A50C" wp14:editId="34E6AFC7">
                <wp:extent cx="3238500" cy="900430"/>
                <wp:effectExtent l="0" t="0" r="0" b="0"/>
                <wp:docPr id="1" name="image1.png" descr="C:\Users\gabriel.jitaru\Desktop\20191107 ministru instalare\logo MMAP\MMAP-ante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gabriel.jitaru\Desktop\20191107 ministru instalare\logo MMAP\MMAP-ante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0" cy="900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1303259C" w14:textId="77777777" w:rsidR="004A2C5D" w:rsidRDefault="004A2C5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/>
            <w:jc w:val="right"/>
            <w:rPr>
              <w:color w:val="000000"/>
              <w:sz w:val="18"/>
              <w:szCs w:val="18"/>
            </w:rPr>
          </w:pPr>
        </w:p>
      </w:tc>
    </w:tr>
  </w:tbl>
  <w:p w14:paraId="2FC333E3" w14:textId="77777777" w:rsidR="004A2C5D" w:rsidRDefault="00673F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1530"/>
        <w:tab w:val="center" w:pos="2790"/>
      </w:tabs>
      <w:ind w:left="0"/>
      <w:rPr>
        <w:b/>
        <w:color w:val="7F7F7F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458DC"/>
    <w:multiLevelType w:val="multilevel"/>
    <w:tmpl w:val="70A4AA34"/>
    <w:lvl w:ilvl="0">
      <w:start w:val="1"/>
      <w:numFmt w:val="bullet"/>
      <w:lvlText w:val="●"/>
      <w:lvlJc w:val="left"/>
      <w:pPr>
        <w:ind w:left="16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1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C0234C9"/>
    <w:multiLevelType w:val="multilevel"/>
    <w:tmpl w:val="8B82A2A4"/>
    <w:lvl w:ilvl="0">
      <w:start w:val="1"/>
      <w:numFmt w:val="lowerLetter"/>
      <w:lvlText w:val="%1)"/>
      <w:lvlJc w:val="left"/>
      <w:pPr>
        <w:ind w:left="786" w:hanging="360"/>
      </w:pPr>
      <w:rPr>
        <w:rFonts w:ascii="Trebuchet MS" w:eastAsia="Trebuchet MS" w:hAnsi="Trebuchet MS" w:cs="Trebuchet MS"/>
      </w:rPr>
    </w:lvl>
    <w:lvl w:ilvl="1">
      <w:start w:val="1"/>
      <w:numFmt w:val="bullet"/>
      <w:lvlText w:val="●"/>
      <w:lvlJc w:val="left"/>
      <w:pPr>
        <w:ind w:left="99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631549E"/>
    <w:multiLevelType w:val="hybridMultilevel"/>
    <w:tmpl w:val="D43213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55E08"/>
    <w:multiLevelType w:val="hybridMultilevel"/>
    <w:tmpl w:val="263C37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20A21"/>
    <w:multiLevelType w:val="hybridMultilevel"/>
    <w:tmpl w:val="A574D9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21394"/>
    <w:multiLevelType w:val="hybridMultilevel"/>
    <w:tmpl w:val="A7C26B36"/>
    <w:lvl w:ilvl="0" w:tplc="4E325762">
      <w:numFmt w:val="bullet"/>
      <w:lvlText w:val="-"/>
      <w:lvlJc w:val="left"/>
      <w:pPr>
        <w:ind w:left="1080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977289">
    <w:abstractNumId w:val="5"/>
  </w:num>
  <w:num w:numId="2" w16cid:durableId="1701541460">
    <w:abstractNumId w:val="3"/>
  </w:num>
  <w:num w:numId="3" w16cid:durableId="746995290">
    <w:abstractNumId w:val="2"/>
  </w:num>
  <w:num w:numId="4" w16cid:durableId="1656256888">
    <w:abstractNumId w:val="4"/>
  </w:num>
  <w:num w:numId="5" w16cid:durableId="1395082860">
    <w:abstractNumId w:val="0"/>
  </w:num>
  <w:num w:numId="6" w16cid:durableId="1479809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C5D"/>
    <w:rsid w:val="00042311"/>
    <w:rsid w:val="0004370E"/>
    <w:rsid w:val="00087EBD"/>
    <w:rsid w:val="000A0532"/>
    <w:rsid w:val="000A4448"/>
    <w:rsid w:val="000B5191"/>
    <w:rsid w:val="000F2D0E"/>
    <w:rsid w:val="00110F75"/>
    <w:rsid w:val="00133B54"/>
    <w:rsid w:val="001C793A"/>
    <w:rsid w:val="001D4495"/>
    <w:rsid w:val="001E4A5F"/>
    <w:rsid w:val="00290D70"/>
    <w:rsid w:val="00296CD9"/>
    <w:rsid w:val="002C4AF5"/>
    <w:rsid w:val="002C6477"/>
    <w:rsid w:val="002E59FA"/>
    <w:rsid w:val="002E5CA0"/>
    <w:rsid w:val="0033408B"/>
    <w:rsid w:val="003530C2"/>
    <w:rsid w:val="00392FAF"/>
    <w:rsid w:val="003D709C"/>
    <w:rsid w:val="00475994"/>
    <w:rsid w:val="004A2C5D"/>
    <w:rsid w:val="004B57F0"/>
    <w:rsid w:val="004D3A9F"/>
    <w:rsid w:val="00505B96"/>
    <w:rsid w:val="00520B17"/>
    <w:rsid w:val="00524C88"/>
    <w:rsid w:val="00575595"/>
    <w:rsid w:val="005B3208"/>
    <w:rsid w:val="005C0BB2"/>
    <w:rsid w:val="006041A9"/>
    <w:rsid w:val="00604365"/>
    <w:rsid w:val="006446C2"/>
    <w:rsid w:val="0067199F"/>
    <w:rsid w:val="00673F22"/>
    <w:rsid w:val="00684E3F"/>
    <w:rsid w:val="007A39CA"/>
    <w:rsid w:val="00804113"/>
    <w:rsid w:val="0081577C"/>
    <w:rsid w:val="00867EA2"/>
    <w:rsid w:val="00962EDA"/>
    <w:rsid w:val="00973FBB"/>
    <w:rsid w:val="009B065A"/>
    <w:rsid w:val="00A20E33"/>
    <w:rsid w:val="00A6675F"/>
    <w:rsid w:val="00B3761F"/>
    <w:rsid w:val="00BC34F6"/>
    <w:rsid w:val="00C15BEA"/>
    <w:rsid w:val="00C740E5"/>
    <w:rsid w:val="00C86306"/>
    <w:rsid w:val="00CA6B64"/>
    <w:rsid w:val="00D34098"/>
    <w:rsid w:val="00D43E1F"/>
    <w:rsid w:val="00D457B6"/>
    <w:rsid w:val="00D60679"/>
    <w:rsid w:val="00D93318"/>
    <w:rsid w:val="00D9691A"/>
    <w:rsid w:val="00DB34CA"/>
    <w:rsid w:val="00E055BD"/>
    <w:rsid w:val="00E30981"/>
    <w:rsid w:val="00E652E9"/>
    <w:rsid w:val="00E71FE6"/>
    <w:rsid w:val="00E97FFD"/>
    <w:rsid w:val="00EA7B50"/>
    <w:rsid w:val="00EB3049"/>
    <w:rsid w:val="00ED416B"/>
    <w:rsid w:val="00FA2691"/>
    <w:rsid w:val="00FC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976ED"/>
  <w15:docId w15:val="{D3815AB8-5595-4AB8-9882-316FAE33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2"/>
        <w:szCs w:val="22"/>
        <w:lang w:val="ro-RO" w:eastAsia="en-US" w:bidi="ar-SA"/>
      </w:rPr>
    </w:rPrDefault>
    <w:pPrDefault>
      <w:pPr>
        <w:spacing w:after="120" w:line="276" w:lineRule="auto"/>
        <w:ind w:left="17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5F9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Cambria" w:eastAsia="Cambria" w:hAnsi="Cambria" w:cs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left"/>
    </w:pPr>
    <w:rPr>
      <w:rFonts w:ascii="Calibri" w:eastAsia="Calibri" w:hAnsi="Calibri" w:cs="Calibri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0F2D0E"/>
    <w:pPr>
      <w:spacing w:after="0" w:line="240" w:lineRule="auto"/>
      <w:ind w:left="0"/>
      <w:jc w:val="left"/>
    </w:pPr>
  </w:style>
  <w:style w:type="paragraph" w:styleId="ListParagraph">
    <w:name w:val="List Paragraph"/>
    <w:aliases w:val="Akapit z listą BS,Outlines a.b.c.,List_Paragraph,Multilevel para_II,Akapit z lista BS,List Paragraph1,Normal bullet 2,numbered list,2,OBC Bullet,Normal 1,Task Body,Viñetas (Inicio Parrafo),Paragrafo elenco,3 Txt tabla,Zerrenda-paragrafoa"/>
    <w:basedOn w:val="Normal"/>
    <w:link w:val="ListParagraphChar"/>
    <w:uiPriority w:val="34"/>
    <w:qFormat/>
    <w:rsid w:val="00C86306"/>
    <w:pPr>
      <w:ind w:left="720"/>
      <w:contextualSpacing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Normal bullet 2 Char,numbered list Char,2 Char,OBC Bullet Char,Normal 1 Char,Task Body Char"/>
    <w:link w:val="ListParagraph"/>
    <w:uiPriority w:val="34"/>
    <w:qFormat/>
    <w:locked/>
    <w:rsid w:val="00475994"/>
  </w:style>
  <w:style w:type="paragraph" w:customStyle="1" w:styleId="Default">
    <w:name w:val="Default"/>
    <w:rsid w:val="00475994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Times New Roman" w:eastAsiaTheme="minorHAns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Luncasu</dc:creator>
  <cp:lastModifiedBy>Ioana Luncasu</cp:lastModifiedBy>
  <cp:revision>2</cp:revision>
  <cp:lastPrinted>2022-05-31T11:42:00Z</cp:lastPrinted>
  <dcterms:created xsi:type="dcterms:W3CDTF">2022-06-10T10:56:00Z</dcterms:created>
  <dcterms:modified xsi:type="dcterms:W3CDTF">2022-06-10T10:56:00Z</dcterms:modified>
</cp:coreProperties>
</file>