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824" w:rsidRPr="002931E9" w:rsidRDefault="005465CB" w:rsidP="002931E9">
      <w:pPr>
        <w:spacing w:line="240" w:lineRule="auto"/>
        <w:ind w:left="0"/>
        <w:rPr>
          <w:lang w:val="ro-RO"/>
        </w:rPr>
      </w:pPr>
      <w:r w:rsidRPr="00BF0D29">
        <w:rPr>
          <w:lang w:val="ro-RO"/>
        </w:rPr>
        <w:t xml:space="preserve">   </w:t>
      </w:r>
      <w:r w:rsidR="002931E9">
        <w:rPr>
          <w:lang w:val="ro-RO"/>
        </w:rPr>
        <w:t xml:space="preserve">            </w:t>
      </w:r>
    </w:p>
    <w:p w:rsidR="005465CB" w:rsidRPr="0044656B" w:rsidRDefault="005465CB" w:rsidP="005465CB">
      <w:pPr>
        <w:keepNext/>
        <w:spacing w:after="0" w:line="240" w:lineRule="auto"/>
        <w:ind w:left="1418"/>
        <w:jc w:val="center"/>
        <w:outlineLvl w:val="3"/>
        <w:rPr>
          <w:rFonts w:eastAsia="Times New Roman"/>
          <w:bCs/>
          <w:lang w:val="ro-RO"/>
        </w:rPr>
      </w:pPr>
      <w:r w:rsidRPr="00BF0D29">
        <w:rPr>
          <w:rFonts w:eastAsia="Times New Roman"/>
          <w:b/>
          <w:lang w:val="ro-RO"/>
        </w:rPr>
        <w:t>Decizia  etapei de încadrare</w:t>
      </w:r>
    </w:p>
    <w:p w:rsidR="005465CB" w:rsidRPr="00BF0D29" w:rsidRDefault="002931E9" w:rsidP="005465CB">
      <w:pPr>
        <w:spacing w:after="0" w:line="240" w:lineRule="auto"/>
        <w:ind w:left="1418"/>
        <w:jc w:val="center"/>
        <w:rPr>
          <w:rFonts w:eastAsia="Times New Roman"/>
          <w:i/>
          <w:lang w:val="ro-RO"/>
        </w:rPr>
      </w:pPr>
      <w:r>
        <w:rPr>
          <w:rFonts w:eastAsia="Times New Roman"/>
          <w:i/>
          <w:lang w:val="ro-RO"/>
        </w:rPr>
        <w:t xml:space="preserve">Nr.         din     </w:t>
      </w:r>
      <w:r w:rsidR="005465CB" w:rsidRPr="00BF0D29">
        <w:rPr>
          <w:rFonts w:eastAsia="Times New Roman"/>
          <w:i/>
          <w:lang w:val="ro-RO"/>
        </w:rPr>
        <w:t>.05.2016</w:t>
      </w:r>
    </w:p>
    <w:p w:rsidR="005465CB" w:rsidRPr="0044656B" w:rsidRDefault="005465CB" w:rsidP="005465CB">
      <w:pPr>
        <w:spacing w:after="0" w:line="240" w:lineRule="auto"/>
        <w:ind w:left="1418"/>
        <w:rPr>
          <w:rFonts w:eastAsia="Times New Roman"/>
          <w:lang w:val="ro-RO"/>
        </w:rPr>
      </w:pPr>
      <w:r w:rsidRPr="0044656B">
        <w:rPr>
          <w:rFonts w:eastAsia="Times New Roman"/>
          <w:lang w:val="ro-RO"/>
        </w:rPr>
        <w:t xml:space="preserve">  </w:t>
      </w:r>
    </w:p>
    <w:p w:rsidR="005465CB" w:rsidRPr="0044656B" w:rsidRDefault="005465CB" w:rsidP="005465CB">
      <w:pPr>
        <w:spacing w:after="0" w:line="240" w:lineRule="auto"/>
        <w:ind w:left="1134"/>
        <w:rPr>
          <w:rFonts w:eastAsia="Times New Roman"/>
          <w:b/>
          <w:lang w:val="ro-RO"/>
        </w:rPr>
      </w:pPr>
      <w:r>
        <w:rPr>
          <w:rFonts w:eastAsia="Times New Roman"/>
          <w:lang w:val="ro-RO"/>
        </w:rPr>
        <w:t xml:space="preserve"> </w:t>
      </w:r>
      <w:r>
        <w:rPr>
          <w:rFonts w:eastAsia="Times New Roman"/>
          <w:lang w:val="ro-RO"/>
        </w:rPr>
        <w:tab/>
      </w:r>
      <w:r w:rsidRPr="0044656B">
        <w:rPr>
          <w:rFonts w:eastAsia="Times New Roman"/>
          <w:lang w:val="ro-RO"/>
        </w:rPr>
        <w:t xml:space="preserve">Ca urmare a </w:t>
      </w:r>
      <w:r w:rsidRPr="00BF0D29">
        <w:rPr>
          <w:rFonts w:eastAsia="Times New Roman"/>
          <w:lang w:val="ro-RO"/>
        </w:rPr>
        <w:t xml:space="preserve">notificării </w:t>
      </w:r>
      <w:r w:rsidRPr="0044656B">
        <w:rPr>
          <w:rFonts w:eastAsia="Times New Roman"/>
          <w:lang w:val="ro-RO"/>
        </w:rPr>
        <w:t xml:space="preserve">adresate de </w:t>
      </w:r>
      <w:r>
        <w:rPr>
          <w:rFonts w:eastAsia="Times New Roman"/>
          <w:lang w:val="ro-RO"/>
        </w:rPr>
        <w:t>către Ministerul</w:t>
      </w:r>
      <w:r w:rsidRPr="005465CB">
        <w:rPr>
          <w:rFonts w:eastAsia="Times New Roman"/>
          <w:lang w:val="ro-RO"/>
        </w:rPr>
        <w:t xml:space="preserve"> Dezvoltării Regionale și Administrației Publice </w:t>
      </w:r>
      <w:r w:rsidRPr="0044656B">
        <w:rPr>
          <w:rFonts w:eastAsia="Times New Roman"/>
          <w:lang w:val="ro-RO"/>
        </w:rPr>
        <w:t>pentru</w:t>
      </w:r>
      <w:r w:rsidRPr="00BF0D29">
        <w:rPr>
          <w:lang w:val="ro-RO"/>
        </w:rPr>
        <w:t xml:space="preserve"> ”</w:t>
      </w:r>
      <w:r w:rsidRPr="005465CB">
        <w:rPr>
          <w:lang w:val="ro-RO"/>
        </w:rPr>
        <w:t>Planul de Amenajare a Teritoriului Național – Secțiunea IV – Rețeaua de localități</w:t>
      </w:r>
      <w:r w:rsidRPr="00BF0D29">
        <w:rPr>
          <w:rFonts w:eastAsia="Times New Roman"/>
          <w:lang w:val="ro-RO"/>
        </w:rPr>
        <w:t>”</w:t>
      </w:r>
      <w:r w:rsidRPr="0044656B">
        <w:rPr>
          <w:rFonts w:eastAsia="Times New Roman"/>
          <w:i/>
          <w:lang w:val="ro-RO"/>
        </w:rPr>
        <w:t xml:space="preserve">, </w:t>
      </w:r>
      <w:r w:rsidRPr="0044656B">
        <w:rPr>
          <w:rFonts w:eastAsia="Times New Roman"/>
          <w:lang w:val="ro-RO"/>
        </w:rPr>
        <w:t>înregistrat</w:t>
      </w:r>
      <w:r w:rsidR="00330AC8">
        <w:rPr>
          <w:rFonts w:eastAsia="Times New Roman"/>
          <w:lang w:val="ro-RO"/>
        </w:rPr>
        <w:t>ă la Ministerul Mediului, Apelor și Pădurilor cu nr. 83103/16.02.2016</w:t>
      </w:r>
      <w:r w:rsidRPr="0044656B">
        <w:rPr>
          <w:rFonts w:eastAsia="Times New Roman"/>
          <w:lang w:val="ro-RO"/>
        </w:rPr>
        <w:t xml:space="preserve">, a analizării documentaţiei tehnice, </w:t>
      </w:r>
      <w:r w:rsidR="00330AC8">
        <w:rPr>
          <w:rFonts w:eastAsia="Times New Roman"/>
          <w:lang w:val="ro-RO"/>
        </w:rPr>
        <w:t xml:space="preserve">a completărilor solicitate cu adresa nr. 8807/CPP/17.03.2016 și înregistrate cu nr. 97058/DM/04.04.2016, </w:t>
      </w:r>
      <w:r>
        <w:rPr>
          <w:rFonts w:eastAsia="Times New Roman"/>
          <w:lang w:val="ro-RO"/>
        </w:rPr>
        <w:t>a punerii la dispoziția publicului spre consultare a proiectului de plan la următorul link:</w:t>
      </w:r>
      <w:r w:rsidRPr="003E422E">
        <w:t xml:space="preserve"> </w:t>
      </w:r>
      <w:hyperlink r:id="rId8" w:history="1">
        <w:r w:rsidR="00330AC8" w:rsidRPr="003478D6">
          <w:rPr>
            <w:rStyle w:val="Hyperlink"/>
          </w:rPr>
          <w:t>http://www.mmediu.ro/articol/planul-de-amenajare-a-teritoriului-national-patn-sectiunea-iv/1517</w:t>
        </w:r>
      </w:hyperlink>
      <w:r>
        <w:rPr>
          <w:rFonts w:eastAsia="Times New Roman"/>
          <w:lang w:val="ro-RO"/>
        </w:rPr>
        <w:t>;</w:t>
      </w:r>
      <w:r w:rsidRPr="003E422E">
        <w:rPr>
          <w:rFonts w:eastAsia="Times New Roman"/>
          <w:lang w:val="ro-RO"/>
        </w:rPr>
        <w:t xml:space="preserve"> </w:t>
      </w:r>
      <w:r w:rsidRPr="0044656B">
        <w:rPr>
          <w:rFonts w:eastAsia="Times New Roman"/>
          <w:b/>
          <w:lang w:val="ro-RO"/>
        </w:rPr>
        <w:t xml:space="preserve">a consultărilor </w:t>
      </w:r>
      <w:r>
        <w:rPr>
          <w:rFonts w:eastAsia="Times New Roman"/>
          <w:b/>
          <w:lang w:val="ro-RO"/>
        </w:rPr>
        <w:t xml:space="preserve">din </w:t>
      </w:r>
      <w:r w:rsidRPr="0044656B">
        <w:rPr>
          <w:rFonts w:eastAsia="Times New Roman"/>
          <w:b/>
          <w:lang w:val="ro-RO"/>
        </w:rPr>
        <w:t xml:space="preserve">cadrul şedinţei Comitetului Special Constituit  desfăşurată la </w:t>
      </w:r>
      <w:r w:rsidRPr="00BF0D29">
        <w:rPr>
          <w:rFonts w:eastAsia="Times New Roman"/>
          <w:b/>
          <w:lang w:val="ro-RO"/>
        </w:rPr>
        <w:t>Ministerul Mediului, A</w:t>
      </w:r>
      <w:r w:rsidR="00330AC8">
        <w:rPr>
          <w:rFonts w:eastAsia="Times New Roman"/>
          <w:b/>
          <w:lang w:val="ro-RO"/>
        </w:rPr>
        <w:t>pelor și Pădurilor în data de 21</w:t>
      </w:r>
      <w:r w:rsidRPr="00BF0D29">
        <w:rPr>
          <w:rFonts w:eastAsia="Times New Roman"/>
          <w:b/>
          <w:lang w:val="ro-RO"/>
        </w:rPr>
        <w:t>.04</w:t>
      </w:r>
      <w:r w:rsidRPr="0044656B">
        <w:rPr>
          <w:rFonts w:eastAsia="Times New Roman"/>
          <w:b/>
          <w:lang w:val="ro-RO"/>
        </w:rPr>
        <w:t>.201</w:t>
      </w:r>
      <w:r w:rsidRPr="00BF0D29">
        <w:rPr>
          <w:rFonts w:eastAsia="Times New Roman"/>
          <w:b/>
          <w:lang w:val="ro-RO"/>
        </w:rPr>
        <w:t>6</w:t>
      </w:r>
      <w:r w:rsidRPr="0044656B">
        <w:rPr>
          <w:rFonts w:eastAsia="Times New Roman"/>
          <w:b/>
          <w:lang w:val="ro-RO"/>
        </w:rPr>
        <w:t xml:space="preserve">, </w:t>
      </w:r>
      <w:r w:rsidRPr="0044656B">
        <w:rPr>
          <w:rFonts w:eastAsia="Times New Roman"/>
          <w:lang w:val="ro-RO"/>
        </w:rPr>
        <w:t xml:space="preserve">în baza HG nr.1076/2004 </w:t>
      </w:r>
      <w:r w:rsidRPr="0044656B">
        <w:rPr>
          <w:rFonts w:eastAsia="Times New Roman"/>
          <w:i/>
          <w:iCs/>
          <w:lang w:val="ro-RO"/>
        </w:rPr>
        <w:t>privind stabilirea procedurii de realizare a evaluării de mediu pentru planuri şi programe</w:t>
      </w:r>
      <w:r>
        <w:rPr>
          <w:rFonts w:eastAsia="Times New Roman"/>
          <w:lang w:val="ro-RO"/>
        </w:rPr>
        <w:t>,</w:t>
      </w:r>
    </w:p>
    <w:p w:rsidR="005465CB" w:rsidRPr="0044656B" w:rsidRDefault="005465CB" w:rsidP="005465CB">
      <w:pPr>
        <w:spacing w:after="0" w:line="240" w:lineRule="auto"/>
        <w:ind w:left="1418" w:firstLine="720"/>
        <w:rPr>
          <w:rFonts w:eastAsia="Times New Roman"/>
          <w:lang w:val="ro-RO"/>
        </w:rPr>
      </w:pPr>
    </w:p>
    <w:p w:rsidR="005465CB" w:rsidRPr="0044656B" w:rsidRDefault="005465CB" w:rsidP="005465CB">
      <w:pPr>
        <w:spacing w:after="0" w:line="240" w:lineRule="auto"/>
        <w:ind w:left="1134" w:firstLine="426"/>
        <w:rPr>
          <w:rFonts w:eastAsia="Times New Roman"/>
          <w:b/>
          <w:lang w:val="ro-RO"/>
        </w:rPr>
      </w:pPr>
      <w:r w:rsidRPr="00BF0D29">
        <w:rPr>
          <w:rFonts w:eastAsia="Times New Roman"/>
          <w:b/>
          <w:lang w:val="ro-RO"/>
        </w:rPr>
        <w:t xml:space="preserve">Ministerul Mediului, Apelor și Pădurilor </w:t>
      </w:r>
      <w:r>
        <w:rPr>
          <w:rFonts w:eastAsia="Times New Roman"/>
          <w:b/>
          <w:lang w:val="ro-RO"/>
        </w:rPr>
        <w:t xml:space="preserve">decide: </w:t>
      </w:r>
      <w:r w:rsidRPr="00BF0D29">
        <w:rPr>
          <w:rFonts w:eastAsia="Times New Roman"/>
          <w:b/>
          <w:i/>
          <w:lang w:val="ro-RO"/>
        </w:rPr>
        <w:t>”Planul</w:t>
      </w:r>
      <w:r w:rsidR="00330AC8" w:rsidRPr="00330AC8">
        <w:t xml:space="preserve"> </w:t>
      </w:r>
      <w:r w:rsidR="00330AC8" w:rsidRPr="00330AC8">
        <w:rPr>
          <w:rFonts w:eastAsia="Times New Roman"/>
          <w:b/>
          <w:i/>
          <w:lang w:val="ro-RO"/>
        </w:rPr>
        <w:t>de Amenajare a Teritoriului Național – Secțiunea IV – Rețeaua de localități</w:t>
      </w:r>
      <w:r w:rsidRPr="00BF0D29">
        <w:rPr>
          <w:rFonts w:eastAsia="Times New Roman"/>
          <w:b/>
          <w:lang w:val="ro-RO"/>
        </w:rPr>
        <w:t>”</w:t>
      </w:r>
      <w:r w:rsidRPr="0044656B">
        <w:rPr>
          <w:rFonts w:eastAsia="Times New Roman"/>
          <w:b/>
          <w:lang w:val="ro-RO"/>
        </w:rPr>
        <w:t xml:space="preserve"> nu are efecte semnificative asupra mediului, nu necesită evaluare de mediu, </w:t>
      </w:r>
      <w:r>
        <w:rPr>
          <w:rFonts w:eastAsia="Times New Roman"/>
          <w:b/>
          <w:lang w:val="ro-RO"/>
        </w:rPr>
        <w:t xml:space="preserve">poate </w:t>
      </w:r>
      <w:r w:rsidRPr="0044656B">
        <w:rPr>
          <w:rFonts w:eastAsia="Times New Roman"/>
          <w:b/>
          <w:lang w:val="ro-RO"/>
        </w:rPr>
        <w:t>fi supus procedurii de adoptare fără aviz de mediu.</w:t>
      </w:r>
    </w:p>
    <w:p w:rsidR="005465CB" w:rsidRPr="0044656B" w:rsidRDefault="005465CB" w:rsidP="005465CB">
      <w:pPr>
        <w:spacing w:after="0" w:line="240" w:lineRule="auto"/>
        <w:ind w:left="1418"/>
        <w:rPr>
          <w:rFonts w:eastAsia="Times New Roman"/>
          <w:lang w:val="ro-RO"/>
        </w:rPr>
      </w:pPr>
    </w:p>
    <w:p w:rsidR="005465CB" w:rsidRDefault="005465CB" w:rsidP="005465CB">
      <w:pPr>
        <w:spacing w:after="0" w:line="240" w:lineRule="auto"/>
        <w:ind w:left="1418"/>
        <w:rPr>
          <w:rFonts w:eastAsia="Times New Roman"/>
          <w:b/>
          <w:u w:val="single"/>
          <w:lang w:val="ro-RO"/>
        </w:rPr>
      </w:pPr>
      <w:r w:rsidRPr="0044656B">
        <w:rPr>
          <w:rFonts w:eastAsia="Times New Roman"/>
          <w:b/>
          <w:u w:val="single"/>
          <w:lang w:val="ro-RO"/>
        </w:rPr>
        <w:t>Motivele care au stat la baza luării deciziei etapei de încadrare sunt următoarele:</w:t>
      </w:r>
    </w:p>
    <w:p w:rsidR="005465CB" w:rsidRPr="0044656B" w:rsidRDefault="005465CB" w:rsidP="005465CB">
      <w:pPr>
        <w:spacing w:after="0" w:line="240" w:lineRule="auto"/>
        <w:ind w:left="1418"/>
        <w:rPr>
          <w:rFonts w:eastAsia="Times New Roman"/>
          <w:b/>
          <w:u w:val="single"/>
          <w:lang w:val="ro-RO"/>
        </w:rPr>
      </w:pPr>
    </w:p>
    <w:p w:rsidR="005465CB" w:rsidRPr="0044656B" w:rsidRDefault="005465CB" w:rsidP="00AA02FC">
      <w:pPr>
        <w:numPr>
          <w:ilvl w:val="0"/>
          <w:numId w:val="22"/>
        </w:numPr>
        <w:spacing w:after="0" w:line="240" w:lineRule="auto"/>
        <w:ind w:left="1134"/>
        <w:rPr>
          <w:rFonts w:eastAsia="Times New Roman"/>
          <w:i/>
          <w:u w:val="single"/>
          <w:lang w:val="ro-RO"/>
        </w:rPr>
      </w:pPr>
      <w:r w:rsidRPr="0044656B">
        <w:rPr>
          <w:rFonts w:eastAsia="Times New Roman"/>
          <w:i/>
          <w:u w:val="single"/>
          <w:lang w:val="ro-RO"/>
        </w:rPr>
        <w:t>Caracteristicile planului cu privire, în special, la:</w:t>
      </w:r>
    </w:p>
    <w:p w:rsidR="005465CB" w:rsidRPr="0044656B" w:rsidRDefault="005465CB" w:rsidP="00AA02FC">
      <w:pPr>
        <w:numPr>
          <w:ilvl w:val="0"/>
          <w:numId w:val="23"/>
        </w:numPr>
        <w:spacing w:after="0" w:line="240" w:lineRule="auto"/>
        <w:ind w:left="1134"/>
        <w:rPr>
          <w:rFonts w:eastAsia="Times New Roman"/>
          <w:i/>
          <w:lang w:val="ro-RO"/>
        </w:rPr>
      </w:pPr>
      <w:r>
        <w:rPr>
          <w:rFonts w:eastAsia="Times New Roman"/>
          <w:i/>
          <w:lang w:val="ro-RO"/>
        </w:rPr>
        <w:t>Gradul în care planul creează</w:t>
      </w:r>
      <w:r w:rsidRPr="0044656B">
        <w:rPr>
          <w:rFonts w:eastAsia="Times New Roman"/>
          <w:i/>
          <w:lang w:val="ro-RO"/>
        </w:rPr>
        <w:t xml:space="preserve"> un cadru pentru proiecte şi activităţi viitoare</w:t>
      </w:r>
      <w:r>
        <w:rPr>
          <w:rFonts w:eastAsia="Times New Roman"/>
          <w:i/>
          <w:lang w:val="ro-RO"/>
        </w:rPr>
        <w:t xml:space="preserve"> fie în ceea ce privește amplasamentul, natura, mărimea și condiț</w:t>
      </w:r>
      <w:r w:rsidRPr="006A4B8D">
        <w:rPr>
          <w:rFonts w:eastAsia="Times New Roman"/>
          <w:i/>
          <w:lang w:val="ro-RO"/>
        </w:rPr>
        <w:t>iile de func</w:t>
      </w:r>
      <w:r>
        <w:rPr>
          <w:rFonts w:eastAsia="Times New Roman"/>
          <w:i/>
          <w:lang w:val="ro-RO"/>
        </w:rPr>
        <w:t>ț</w:t>
      </w:r>
      <w:r w:rsidRPr="006A4B8D">
        <w:rPr>
          <w:rFonts w:eastAsia="Times New Roman"/>
          <w:i/>
          <w:lang w:val="ro-RO"/>
        </w:rPr>
        <w:t>ionare, fie</w:t>
      </w:r>
      <w:r>
        <w:rPr>
          <w:rFonts w:eastAsia="Times New Roman"/>
          <w:i/>
          <w:lang w:val="ro-RO"/>
        </w:rPr>
        <w:t xml:space="preserve"> în privința alocă</w:t>
      </w:r>
      <w:r w:rsidRPr="006A4B8D">
        <w:rPr>
          <w:rFonts w:eastAsia="Times New Roman"/>
          <w:i/>
          <w:lang w:val="ro-RO"/>
        </w:rPr>
        <w:t>rii resurselor</w:t>
      </w:r>
      <w:r w:rsidRPr="0044656B">
        <w:rPr>
          <w:rFonts w:eastAsia="Times New Roman"/>
          <w:i/>
          <w:lang w:val="ro-RO"/>
        </w:rPr>
        <w:t>:</w:t>
      </w:r>
    </w:p>
    <w:p w:rsidR="005465CB" w:rsidRDefault="005465CB" w:rsidP="00995CA2">
      <w:pPr>
        <w:spacing w:after="0" w:line="240" w:lineRule="auto"/>
        <w:ind w:left="1134"/>
        <w:rPr>
          <w:rFonts w:eastAsia="Times New Roman"/>
          <w:lang w:val="ro-RO"/>
        </w:rPr>
      </w:pPr>
    </w:p>
    <w:p w:rsidR="007916D9" w:rsidRPr="00995CA2" w:rsidRDefault="00330AC8" w:rsidP="00280A8D">
      <w:pPr>
        <w:pStyle w:val="ListParagraph"/>
        <w:spacing w:line="240" w:lineRule="auto"/>
        <w:ind w:left="1134"/>
        <w:rPr>
          <w:lang w:val="ro-RO"/>
        </w:rPr>
      </w:pPr>
      <w:r w:rsidRPr="00995CA2">
        <w:rPr>
          <w:lang w:val="ro-RO"/>
        </w:rPr>
        <w:t>Î</w:t>
      </w:r>
      <w:r w:rsidR="007916D9" w:rsidRPr="00995CA2">
        <w:rPr>
          <w:lang w:val="ro-RO"/>
        </w:rPr>
        <w:t>n prezent</w:t>
      </w:r>
      <w:r w:rsidR="00995CA2">
        <w:rPr>
          <w:lang w:val="ro-RO"/>
        </w:rPr>
        <w:t>,</w:t>
      </w:r>
      <w:r w:rsidR="007916D9" w:rsidRPr="00995CA2">
        <w:rPr>
          <w:lang w:val="ro-RO"/>
        </w:rPr>
        <w:t xml:space="preserve"> este în vigoare </w:t>
      </w:r>
      <w:r w:rsidR="007916D9" w:rsidRPr="00995CA2">
        <w:rPr>
          <w:i/>
          <w:lang w:val="ro-RO"/>
        </w:rPr>
        <w:t>Legea nr. 351/2001 privind aprobarea Planului de amenajare a teritoriului naţional - Secţiun</w:t>
      </w:r>
      <w:r w:rsidR="00995CA2">
        <w:rPr>
          <w:i/>
          <w:lang w:val="ro-RO"/>
        </w:rPr>
        <w:t>ea a IV-a Reţeaua de localităţi.</w:t>
      </w:r>
      <w:r w:rsidR="007916D9" w:rsidRPr="00995CA2">
        <w:rPr>
          <w:i/>
          <w:lang w:val="ro-RO"/>
        </w:rPr>
        <w:t xml:space="preserve"> </w:t>
      </w:r>
      <w:r w:rsidR="00995CA2">
        <w:rPr>
          <w:lang w:val="ro-RO"/>
        </w:rPr>
        <w:t>S-au identificat</w:t>
      </w:r>
      <w:r w:rsidR="007916D9" w:rsidRPr="00995CA2">
        <w:rPr>
          <w:lang w:val="ro-RO"/>
        </w:rPr>
        <w:t xml:space="preserve"> următoarele probleme:</w:t>
      </w:r>
    </w:p>
    <w:p w:rsidR="00995CA2" w:rsidRDefault="00330AC8" w:rsidP="00280A8D">
      <w:pPr>
        <w:spacing w:after="0" w:line="240" w:lineRule="auto"/>
        <w:ind w:left="1134"/>
        <w:rPr>
          <w:rFonts w:eastAsia="+mn-ea" w:cs="Arial"/>
          <w:kern w:val="24"/>
          <w:lang w:val="ro-RO"/>
        </w:rPr>
      </w:pPr>
      <w:r w:rsidRPr="00995CA2">
        <w:rPr>
          <w:rFonts w:eastAsia="+mn-ea" w:cs="Arial"/>
          <w:kern w:val="24"/>
          <w:lang w:val="ro-RO"/>
        </w:rPr>
        <w:t xml:space="preserve">- </w:t>
      </w:r>
      <w:r w:rsidR="00995CA2">
        <w:rPr>
          <w:rFonts w:eastAsia="+mn-ea" w:cs="Arial"/>
          <w:kern w:val="24"/>
          <w:lang w:val="ro-RO"/>
        </w:rPr>
        <w:t>Ierarhizarea</w:t>
      </w:r>
      <w:r w:rsidR="007916D9" w:rsidRPr="00995CA2">
        <w:rPr>
          <w:rFonts w:eastAsia="+mn-ea" w:cs="Arial"/>
          <w:kern w:val="24"/>
          <w:lang w:val="ro-RO"/>
        </w:rPr>
        <w:t xml:space="preserve"> localităţilor urbane şi rurale pe 6 ranguri</w:t>
      </w:r>
      <w:r w:rsidRPr="00995CA2">
        <w:rPr>
          <w:rFonts w:eastAsia="+mn-ea" w:cs="Arial"/>
          <w:kern w:val="24"/>
          <w:lang w:val="ro-RO"/>
        </w:rPr>
        <w:t xml:space="preserve"> nu atenuează</w:t>
      </w:r>
      <w:r w:rsidR="007916D9" w:rsidRPr="00995CA2">
        <w:rPr>
          <w:rFonts w:eastAsia="+mn-ea" w:cs="Arial"/>
          <w:kern w:val="24"/>
          <w:lang w:val="ro-RO"/>
        </w:rPr>
        <w:t xml:space="preserve"> polarizarea excesivă a Capitalei</w:t>
      </w:r>
      <w:r w:rsidRPr="00995CA2">
        <w:rPr>
          <w:rFonts w:eastAsia="+mn-ea" w:cs="Arial"/>
          <w:kern w:val="24"/>
          <w:lang w:val="ro-RO"/>
        </w:rPr>
        <w:t xml:space="preserve">;          </w:t>
      </w:r>
    </w:p>
    <w:p w:rsidR="007916D9" w:rsidRPr="00995CA2" w:rsidRDefault="00330AC8" w:rsidP="00280A8D">
      <w:pPr>
        <w:spacing w:after="0" w:line="240" w:lineRule="auto"/>
        <w:ind w:left="1134"/>
        <w:rPr>
          <w:rFonts w:eastAsia="Times New Roman"/>
          <w:lang w:val="ro-RO"/>
        </w:rPr>
      </w:pPr>
      <w:r w:rsidRPr="00995CA2">
        <w:rPr>
          <w:rFonts w:eastAsia="+mn-ea" w:cs="Arial"/>
          <w:kern w:val="24"/>
          <w:lang w:val="ro-RO"/>
        </w:rPr>
        <w:t xml:space="preserve">- </w:t>
      </w:r>
      <w:r w:rsidR="007916D9" w:rsidRPr="00995CA2">
        <w:rPr>
          <w:rFonts w:eastAsia="+mn-ea" w:cs="Arial"/>
          <w:kern w:val="24"/>
          <w:lang w:val="ro-RO"/>
        </w:rPr>
        <w:t>Majoritatea localităţilor, atât cele rurale cât şi cele urbane, înregistrează o scădere accentuată a populației;</w:t>
      </w:r>
    </w:p>
    <w:p w:rsidR="007916D9" w:rsidRPr="00995CA2" w:rsidRDefault="00330AC8" w:rsidP="00280A8D">
      <w:pPr>
        <w:spacing w:after="0" w:line="240" w:lineRule="auto"/>
        <w:ind w:left="1134"/>
        <w:rPr>
          <w:rFonts w:eastAsia="Times New Roman"/>
          <w:lang w:val="ro-RO"/>
        </w:rPr>
      </w:pPr>
      <w:r w:rsidRPr="00995CA2">
        <w:rPr>
          <w:rFonts w:eastAsia="+mn-ea" w:cs="Arial"/>
          <w:kern w:val="24"/>
          <w:lang w:val="ro-RO"/>
        </w:rPr>
        <w:t xml:space="preserve">- </w:t>
      </w:r>
      <w:r w:rsidR="007916D9" w:rsidRPr="00995CA2">
        <w:rPr>
          <w:rFonts w:eastAsia="+mn-ea" w:cs="Arial"/>
          <w:kern w:val="24"/>
          <w:lang w:val="ro-RO"/>
        </w:rPr>
        <w:t>Tendinţa de creştere a numărului de orașe</w:t>
      </w:r>
      <w:r w:rsidR="00995CA2">
        <w:rPr>
          <w:rFonts w:eastAsia="+mn-ea" w:cs="Arial"/>
          <w:kern w:val="24"/>
          <w:lang w:val="ro-RO"/>
        </w:rPr>
        <w:t>,</w:t>
      </w:r>
      <w:r w:rsidR="007916D9" w:rsidRPr="00995CA2">
        <w:rPr>
          <w:rFonts w:eastAsia="+mn-ea" w:cs="Arial"/>
          <w:kern w:val="24"/>
          <w:lang w:val="ro-RO"/>
        </w:rPr>
        <w:t xml:space="preserve"> în special după </w:t>
      </w:r>
      <w:r w:rsidR="00995CA2">
        <w:rPr>
          <w:rFonts w:eastAsia="+mn-ea" w:cs="Arial"/>
          <w:kern w:val="24"/>
          <w:lang w:val="ro-RO"/>
        </w:rPr>
        <w:t xml:space="preserve">anul </w:t>
      </w:r>
      <w:r w:rsidR="007916D9" w:rsidRPr="00995CA2">
        <w:rPr>
          <w:rFonts w:eastAsia="+mn-ea" w:cs="Arial"/>
          <w:kern w:val="24"/>
          <w:lang w:val="ro-RO"/>
        </w:rPr>
        <w:t>2000</w:t>
      </w:r>
      <w:r w:rsidR="00995CA2">
        <w:rPr>
          <w:rFonts w:eastAsia="+mn-ea" w:cs="Arial"/>
          <w:kern w:val="24"/>
          <w:lang w:val="ro-RO"/>
        </w:rPr>
        <w:t>,</w:t>
      </w:r>
      <w:r w:rsidR="007916D9" w:rsidRPr="00995CA2">
        <w:rPr>
          <w:rFonts w:eastAsia="+mn-ea" w:cs="Arial"/>
          <w:kern w:val="24"/>
          <w:lang w:val="ro-RO"/>
        </w:rPr>
        <w:t xml:space="preserve"> nu este fundamentată de tendinţa de scădere a populaţiei urbane</w:t>
      </w:r>
      <w:r w:rsidR="00995CA2">
        <w:rPr>
          <w:rFonts w:eastAsia="+mn-ea" w:cs="Arial"/>
          <w:kern w:val="24"/>
          <w:lang w:val="ro-RO"/>
        </w:rPr>
        <w:t>;</w:t>
      </w:r>
    </w:p>
    <w:p w:rsidR="007916D9" w:rsidRPr="00995CA2" w:rsidRDefault="00330AC8" w:rsidP="00280A8D">
      <w:pPr>
        <w:spacing w:after="0" w:line="240" w:lineRule="auto"/>
        <w:ind w:left="1134"/>
        <w:contextualSpacing/>
        <w:rPr>
          <w:rFonts w:eastAsia="Times New Roman"/>
          <w:lang w:val="ro-RO"/>
        </w:rPr>
      </w:pPr>
      <w:r w:rsidRPr="00995CA2">
        <w:rPr>
          <w:rFonts w:eastAsia="+mn-ea" w:cs="Arial"/>
          <w:kern w:val="24"/>
          <w:lang w:val="ro-RO"/>
        </w:rPr>
        <w:t xml:space="preserve">- </w:t>
      </w:r>
      <w:r w:rsidR="007916D9" w:rsidRPr="00995CA2">
        <w:rPr>
          <w:rFonts w:eastAsia="+mn-ea" w:cs="Arial"/>
          <w:kern w:val="24"/>
          <w:lang w:val="ro-RO"/>
        </w:rPr>
        <w:t>Urbanizare doar formală – dotările și nivelul de viață nu au fost îmbunătățite în noile localități urbane</w:t>
      </w:r>
      <w:r w:rsidRPr="00995CA2">
        <w:rPr>
          <w:rFonts w:eastAsia="+mn-ea" w:cs="Arial"/>
          <w:kern w:val="24"/>
          <w:lang w:val="ro-RO"/>
        </w:rPr>
        <w:t>;</w:t>
      </w:r>
    </w:p>
    <w:p w:rsidR="007916D9" w:rsidRPr="00995CA2" w:rsidRDefault="00330AC8" w:rsidP="00280A8D">
      <w:pPr>
        <w:spacing w:after="0" w:line="240" w:lineRule="auto"/>
        <w:ind w:left="1134"/>
        <w:contextualSpacing/>
        <w:rPr>
          <w:rFonts w:eastAsia="Times New Roman"/>
          <w:lang w:val="ro-RO"/>
        </w:rPr>
      </w:pPr>
      <w:r w:rsidRPr="00995CA2">
        <w:rPr>
          <w:rFonts w:eastAsia="+mn-ea" w:cs="Arial"/>
          <w:kern w:val="24"/>
          <w:lang w:val="ro-RO"/>
        </w:rPr>
        <w:t xml:space="preserve">- </w:t>
      </w:r>
      <w:r w:rsidR="007916D9" w:rsidRPr="00995CA2">
        <w:rPr>
          <w:rFonts w:eastAsia="+mn-ea" w:cs="Arial"/>
          <w:kern w:val="24"/>
          <w:lang w:val="ro-RO"/>
        </w:rPr>
        <w:t>Neclaritatea statutului localităților componente și satelor aparținătoare</w:t>
      </w:r>
      <w:r w:rsidRPr="00995CA2">
        <w:rPr>
          <w:rFonts w:eastAsia="+mn-ea" w:cs="Arial"/>
          <w:kern w:val="24"/>
          <w:lang w:val="ro-RO"/>
        </w:rPr>
        <w:t>;</w:t>
      </w:r>
    </w:p>
    <w:p w:rsidR="007916D9" w:rsidRPr="007916D9" w:rsidRDefault="00995CA2" w:rsidP="00280A8D">
      <w:pPr>
        <w:spacing w:after="0" w:line="240" w:lineRule="auto"/>
        <w:ind w:left="1134"/>
        <w:contextualSpacing/>
        <w:rPr>
          <w:rFonts w:eastAsia="Times New Roman"/>
          <w:color w:val="A53010"/>
          <w:lang w:val="ro-RO"/>
        </w:rPr>
      </w:pPr>
      <w:r>
        <w:rPr>
          <w:rFonts w:eastAsia="+mn-ea" w:cs="Arial"/>
          <w:kern w:val="24"/>
          <w:lang w:val="ro-RO"/>
        </w:rPr>
        <w:t xml:space="preserve">- </w:t>
      </w:r>
      <w:r w:rsidR="007916D9" w:rsidRPr="00995CA2">
        <w:rPr>
          <w:rFonts w:eastAsia="+mn-ea" w:cs="Arial"/>
          <w:kern w:val="24"/>
          <w:lang w:val="ro-RO"/>
        </w:rPr>
        <w:t>Lipsa unor prevederi referitoare la depășirea limitelor date de delimitarea administrativ-teritorială și la cooperarea transfrontalieră</w:t>
      </w:r>
      <w:r w:rsidR="00330AC8" w:rsidRPr="00995CA2">
        <w:rPr>
          <w:rFonts w:eastAsia="+mn-ea" w:cs="Arial"/>
          <w:kern w:val="24"/>
          <w:lang w:val="ro-RO"/>
        </w:rPr>
        <w:t>;</w:t>
      </w:r>
    </w:p>
    <w:p w:rsidR="007916D9" w:rsidRPr="00995CA2" w:rsidRDefault="00330AC8" w:rsidP="00280A8D">
      <w:pPr>
        <w:spacing w:after="0"/>
        <w:ind w:left="1134"/>
        <w:contextualSpacing/>
        <w:rPr>
          <w:rFonts w:eastAsia="Times New Roman"/>
          <w:lang w:val="ro-RO"/>
        </w:rPr>
      </w:pPr>
      <w:r w:rsidRPr="00995CA2">
        <w:rPr>
          <w:rFonts w:eastAsia="+mn-ea" w:cs="Arial"/>
          <w:kern w:val="24"/>
          <w:lang w:val="ro-RO"/>
        </w:rPr>
        <w:t xml:space="preserve">- </w:t>
      </w:r>
      <w:r w:rsidR="00995CA2">
        <w:rPr>
          <w:rFonts w:eastAsia="+mn-ea" w:cs="Arial"/>
          <w:kern w:val="24"/>
          <w:lang w:val="ro-RO"/>
        </w:rPr>
        <w:t xml:space="preserve"> </w:t>
      </w:r>
      <w:r w:rsidR="007916D9" w:rsidRPr="00995CA2">
        <w:rPr>
          <w:rFonts w:eastAsia="+mn-ea" w:cs="Arial"/>
          <w:kern w:val="24"/>
          <w:lang w:val="ro-RO"/>
        </w:rPr>
        <w:t xml:space="preserve">Lipsa unor prevederi referitoare la declasarea UAT </w:t>
      </w:r>
      <w:r w:rsidRPr="00995CA2">
        <w:rPr>
          <w:rFonts w:eastAsia="+mn-ea" w:cs="Arial"/>
          <w:kern w:val="24"/>
          <w:lang w:val="ro-RO"/>
        </w:rPr>
        <w:t>–</w:t>
      </w:r>
      <w:r w:rsidR="007916D9" w:rsidRPr="00995CA2">
        <w:rPr>
          <w:rFonts w:eastAsia="+mn-ea" w:cs="Arial"/>
          <w:kern w:val="24"/>
          <w:lang w:val="ro-RO"/>
        </w:rPr>
        <w:t xml:space="preserve"> urilor</w:t>
      </w:r>
      <w:r w:rsidRPr="00995CA2">
        <w:rPr>
          <w:rFonts w:eastAsia="+mn-ea" w:cs="Arial"/>
          <w:kern w:val="24"/>
          <w:lang w:val="ro-RO"/>
        </w:rPr>
        <w:t>;</w:t>
      </w:r>
    </w:p>
    <w:p w:rsidR="007916D9" w:rsidRPr="00995CA2" w:rsidRDefault="00330AC8" w:rsidP="00280A8D">
      <w:pPr>
        <w:spacing w:after="0"/>
        <w:ind w:left="1134"/>
        <w:contextualSpacing/>
        <w:rPr>
          <w:rFonts w:eastAsia="Times New Roman"/>
          <w:lang w:val="ro-RO"/>
        </w:rPr>
      </w:pPr>
      <w:r w:rsidRPr="00995CA2">
        <w:rPr>
          <w:rFonts w:eastAsia="+mn-ea" w:cs="Arial"/>
          <w:kern w:val="24"/>
          <w:lang w:val="ro-RO"/>
        </w:rPr>
        <w:t xml:space="preserve">- </w:t>
      </w:r>
      <w:r w:rsidR="00995CA2">
        <w:rPr>
          <w:rFonts w:eastAsia="+mn-ea" w:cs="Arial"/>
          <w:kern w:val="24"/>
          <w:lang w:val="ro-RO"/>
        </w:rPr>
        <w:t xml:space="preserve"> </w:t>
      </w:r>
      <w:r w:rsidR="007916D9" w:rsidRPr="00995CA2">
        <w:rPr>
          <w:rFonts w:eastAsia="+mn-ea" w:cs="Arial"/>
          <w:kern w:val="24"/>
          <w:lang w:val="ro-RO"/>
        </w:rPr>
        <w:t>Lipsa corelării cu programele actuale de finanțare</w:t>
      </w:r>
      <w:r w:rsidRPr="00995CA2">
        <w:rPr>
          <w:rFonts w:eastAsia="+mn-ea" w:cs="Arial"/>
          <w:kern w:val="24"/>
          <w:lang w:val="ro-RO"/>
        </w:rPr>
        <w:t>;</w:t>
      </w:r>
    </w:p>
    <w:p w:rsidR="007916D9" w:rsidRPr="00995CA2" w:rsidRDefault="00330AC8" w:rsidP="00280A8D">
      <w:pPr>
        <w:spacing w:after="0"/>
        <w:ind w:left="1134"/>
        <w:contextualSpacing/>
        <w:rPr>
          <w:rFonts w:eastAsia="Times New Roman"/>
        </w:rPr>
      </w:pPr>
      <w:r w:rsidRPr="00995CA2">
        <w:rPr>
          <w:rFonts w:eastAsiaTheme="minorEastAsia" w:cstheme="minorBidi"/>
          <w:kern w:val="24"/>
          <w:lang w:val="ro-RO"/>
        </w:rPr>
        <w:t xml:space="preserve">- </w:t>
      </w:r>
      <w:r w:rsidR="007916D9" w:rsidRPr="00995CA2">
        <w:rPr>
          <w:rFonts w:eastAsiaTheme="minorEastAsia" w:cstheme="minorBidi"/>
          <w:kern w:val="24"/>
          <w:lang w:val="ro-RO"/>
        </w:rPr>
        <w:t>Tendinţa activă a unor comune de a se divide şi a unor sate din componenţa lor de a constitui în unităţi administrativ</w:t>
      </w:r>
      <w:r w:rsidR="00995CA2">
        <w:rPr>
          <w:rFonts w:eastAsiaTheme="minorEastAsia" w:cstheme="minorBidi"/>
          <w:kern w:val="24"/>
          <w:lang w:val="ro-RO"/>
        </w:rPr>
        <w:t xml:space="preserve"> </w:t>
      </w:r>
      <w:r w:rsidR="007916D9" w:rsidRPr="00995CA2">
        <w:rPr>
          <w:rFonts w:eastAsiaTheme="minorEastAsia" w:cstheme="minorBidi"/>
          <w:kern w:val="24"/>
          <w:lang w:val="ro-RO"/>
        </w:rPr>
        <w:t>-</w:t>
      </w:r>
      <w:r w:rsidR="00995CA2">
        <w:rPr>
          <w:rFonts w:eastAsiaTheme="minorEastAsia" w:cstheme="minorBidi"/>
          <w:kern w:val="24"/>
          <w:lang w:val="ro-RO"/>
        </w:rPr>
        <w:t xml:space="preserve"> </w:t>
      </w:r>
      <w:r w:rsidR="007916D9" w:rsidRPr="00995CA2">
        <w:rPr>
          <w:rFonts w:eastAsiaTheme="minorEastAsia" w:cstheme="minorBidi"/>
          <w:kern w:val="24"/>
          <w:lang w:val="ro-RO"/>
        </w:rPr>
        <w:t>teritoriale de sine stă</w:t>
      </w:r>
      <w:r w:rsidRPr="00995CA2">
        <w:rPr>
          <w:rFonts w:eastAsiaTheme="minorEastAsia" w:cstheme="minorBidi"/>
          <w:kern w:val="24"/>
          <w:lang w:val="ro-RO"/>
        </w:rPr>
        <w:t>tătoare (mai ales până în 2007);</w:t>
      </w:r>
    </w:p>
    <w:p w:rsidR="007916D9" w:rsidRPr="00995CA2" w:rsidRDefault="00330AC8" w:rsidP="00280A8D">
      <w:pPr>
        <w:spacing w:after="0"/>
        <w:ind w:left="1134"/>
        <w:contextualSpacing/>
        <w:rPr>
          <w:rFonts w:eastAsia="Times New Roman"/>
        </w:rPr>
      </w:pPr>
      <w:r w:rsidRPr="00995CA2">
        <w:rPr>
          <w:rFonts w:eastAsiaTheme="minorEastAsia" w:cstheme="minorBidi"/>
          <w:kern w:val="24"/>
          <w:lang w:val="ro-RO"/>
        </w:rPr>
        <w:t xml:space="preserve">- </w:t>
      </w:r>
      <w:r w:rsidR="007916D9" w:rsidRPr="00995CA2">
        <w:rPr>
          <w:rFonts w:eastAsiaTheme="minorEastAsia" w:cstheme="minorBidi"/>
          <w:kern w:val="24"/>
          <w:lang w:val="ro-RO"/>
        </w:rPr>
        <w:t>Noțiunea de dotare minimă obligatorie apare doar în relație cu rangurile IV și V (nu și pentru orașe – rangul III)</w:t>
      </w:r>
      <w:r w:rsidRPr="00995CA2">
        <w:rPr>
          <w:rFonts w:eastAsiaTheme="minorEastAsia" w:cstheme="minorBidi"/>
          <w:kern w:val="24"/>
          <w:lang w:val="ro-RO"/>
        </w:rPr>
        <w:t>;</w:t>
      </w:r>
    </w:p>
    <w:p w:rsidR="007916D9" w:rsidRPr="00995CA2" w:rsidRDefault="00330AC8" w:rsidP="00280A8D">
      <w:pPr>
        <w:spacing w:after="0"/>
        <w:ind w:left="1134"/>
        <w:contextualSpacing/>
        <w:rPr>
          <w:rFonts w:eastAsia="Times New Roman"/>
        </w:rPr>
      </w:pPr>
      <w:r w:rsidRPr="00995CA2">
        <w:rPr>
          <w:rFonts w:eastAsiaTheme="minorEastAsia" w:cstheme="minorBidi"/>
          <w:kern w:val="24"/>
          <w:lang w:val="ro-RO"/>
        </w:rPr>
        <w:lastRenderedPageBreak/>
        <w:t xml:space="preserve">- </w:t>
      </w:r>
      <w:r w:rsidR="007916D9" w:rsidRPr="00995CA2">
        <w:rPr>
          <w:rFonts w:eastAsiaTheme="minorEastAsia" w:cstheme="minorBidi"/>
          <w:kern w:val="24"/>
          <w:lang w:val="ro-RO"/>
        </w:rPr>
        <w:t>Indicatorii minimali nu mai corespund real</w:t>
      </w:r>
      <w:r w:rsidR="00995CA2">
        <w:rPr>
          <w:rFonts w:eastAsiaTheme="minorEastAsia" w:cstheme="minorBidi"/>
          <w:kern w:val="24"/>
          <w:lang w:val="ro-RO"/>
        </w:rPr>
        <w:t>ităţii sau nu sunt centralizați/</w:t>
      </w:r>
      <w:r w:rsidR="007916D9" w:rsidRPr="00995CA2">
        <w:rPr>
          <w:rFonts w:eastAsiaTheme="minorEastAsia" w:cstheme="minorBidi"/>
          <w:kern w:val="24"/>
          <w:lang w:val="ro-RO"/>
        </w:rPr>
        <w:t>disponibili, o mare parte sunt accesibili doar la recensăminte</w:t>
      </w:r>
      <w:r w:rsidRPr="00995CA2">
        <w:rPr>
          <w:rFonts w:eastAsiaTheme="minorEastAsia" w:cstheme="minorBidi"/>
          <w:kern w:val="24"/>
          <w:lang w:val="ro-RO"/>
        </w:rPr>
        <w:t>;</w:t>
      </w:r>
    </w:p>
    <w:p w:rsidR="007916D9" w:rsidRPr="00995CA2" w:rsidRDefault="00330AC8" w:rsidP="00280A8D">
      <w:pPr>
        <w:spacing w:after="0"/>
        <w:ind w:left="1134"/>
        <w:contextualSpacing/>
        <w:rPr>
          <w:rFonts w:eastAsia="Times New Roman"/>
        </w:rPr>
      </w:pPr>
      <w:r w:rsidRPr="00995CA2">
        <w:rPr>
          <w:rFonts w:eastAsiaTheme="minorEastAsia" w:cstheme="minorBidi"/>
          <w:kern w:val="24"/>
          <w:lang w:val="ro-RO"/>
        </w:rPr>
        <w:t xml:space="preserve">- </w:t>
      </w:r>
      <w:r w:rsidR="007916D9" w:rsidRPr="00995CA2">
        <w:rPr>
          <w:rFonts w:eastAsiaTheme="minorEastAsia" w:cstheme="minorBidi"/>
          <w:kern w:val="24"/>
          <w:lang w:val="ro-RO"/>
        </w:rPr>
        <w:t xml:space="preserve">Setul de indicatori este creat pentru trecerea  de la comună </w:t>
      </w:r>
      <w:r w:rsidR="00995CA2">
        <w:rPr>
          <w:rFonts w:eastAsiaTheme="minorEastAsia" w:cstheme="minorBidi"/>
          <w:kern w:val="24"/>
          <w:lang w:val="ro-RO"/>
        </w:rPr>
        <w:t>la oraş/</w:t>
      </w:r>
      <w:proofErr w:type="spellStart"/>
      <w:r w:rsidR="007916D9" w:rsidRPr="00995CA2">
        <w:rPr>
          <w:rFonts w:eastAsiaTheme="minorEastAsia" w:cstheme="minorBidi"/>
          <w:kern w:val="24"/>
          <w:lang w:val="ro-RO"/>
        </w:rPr>
        <w:t>oraş</w:t>
      </w:r>
      <w:proofErr w:type="spellEnd"/>
      <w:r w:rsidR="007916D9" w:rsidRPr="00995CA2">
        <w:rPr>
          <w:rFonts w:eastAsiaTheme="minorEastAsia" w:cstheme="minorBidi"/>
          <w:kern w:val="24"/>
          <w:lang w:val="ro-RO"/>
        </w:rPr>
        <w:t xml:space="preserve"> – municipiu, dar multe dintre vechile oraşe</w:t>
      </w:r>
      <w:r w:rsidR="00995CA2">
        <w:rPr>
          <w:rFonts w:eastAsiaTheme="minorEastAsia" w:cstheme="minorBidi"/>
          <w:kern w:val="24"/>
          <w:lang w:val="ro-RO"/>
        </w:rPr>
        <w:t>/</w:t>
      </w:r>
      <w:r w:rsidR="007916D9" w:rsidRPr="00995CA2">
        <w:rPr>
          <w:rFonts w:eastAsiaTheme="minorEastAsia" w:cstheme="minorBidi"/>
          <w:kern w:val="24"/>
          <w:lang w:val="ro-RO"/>
        </w:rPr>
        <w:t>municipii nu îndeplinesc standardele propuse</w:t>
      </w:r>
      <w:r w:rsidRPr="00995CA2">
        <w:rPr>
          <w:rFonts w:eastAsiaTheme="minorEastAsia" w:cstheme="minorBidi"/>
          <w:kern w:val="24"/>
          <w:lang w:val="ro-RO"/>
        </w:rPr>
        <w:t>;</w:t>
      </w:r>
    </w:p>
    <w:p w:rsidR="007916D9" w:rsidRPr="00995CA2" w:rsidRDefault="00330AC8" w:rsidP="00280A8D">
      <w:pPr>
        <w:spacing w:after="0"/>
        <w:ind w:left="1134"/>
        <w:contextualSpacing/>
        <w:rPr>
          <w:rFonts w:eastAsia="Times New Roman"/>
        </w:rPr>
      </w:pPr>
      <w:r w:rsidRPr="00995CA2">
        <w:rPr>
          <w:rFonts w:eastAsiaTheme="minorEastAsia" w:cstheme="minorBidi"/>
          <w:kern w:val="24"/>
          <w:lang w:val="ro-RO"/>
        </w:rPr>
        <w:t xml:space="preserve">- </w:t>
      </w:r>
      <w:r w:rsidR="007916D9" w:rsidRPr="00995CA2">
        <w:rPr>
          <w:rFonts w:eastAsiaTheme="minorEastAsia" w:cstheme="minorBidi"/>
          <w:kern w:val="24"/>
          <w:lang w:val="ro-RO"/>
        </w:rPr>
        <w:t>Indicatorii minimali nu sunt monitorizați și nu produc efecte</w:t>
      </w:r>
      <w:r w:rsidRPr="00995CA2">
        <w:rPr>
          <w:rFonts w:eastAsiaTheme="minorEastAsia" w:cstheme="minorBidi"/>
          <w:kern w:val="24"/>
          <w:lang w:val="ro-RO"/>
        </w:rPr>
        <w:t xml:space="preserve">  la nivelul politicilor urbane;</w:t>
      </w:r>
    </w:p>
    <w:p w:rsidR="007916D9" w:rsidRPr="00995CA2" w:rsidRDefault="00330AC8" w:rsidP="00280A8D">
      <w:pPr>
        <w:spacing w:after="0"/>
        <w:ind w:left="1134"/>
        <w:contextualSpacing/>
        <w:rPr>
          <w:rFonts w:eastAsia="Times New Roman"/>
        </w:rPr>
      </w:pPr>
      <w:r w:rsidRPr="00995CA2">
        <w:rPr>
          <w:rFonts w:eastAsiaTheme="minorEastAsia" w:cstheme="minorBidi"/>
          <w:kern w:val="24"/>
          <w:lang w:val="ro-RO"/>
        </w:rPr>
        <w:t xml:space="preserve">- </w:t>
      </w:r>
      <w:r w:rsidR="007916D9" w:rsidRPr="00995CA2">
        <w:rPr>
          <w:rFonts w:eastAsiaTheme="minorEastAsia" w:cstheme="minorBidi"/>
          <w:kern w:val="24"/>
          <w:lang w:val="ro-RO"/>
        </w:rPr>
        <w:t>Gestionarea în comun a anumitor activități și servicii (cooperare intercomunală – arii urbane funcționale)</w:t>
      </w:r>
      <w:r w:rsidRPr="00995CA2">
        <w:rPr>
          <w:rFonts w:eastAsiaTheme="minorEastAsia" w:cstheme="minorBidi"/>
          <w:kern w:val="24"/>
          <w:lang w:val="ro-RO"/>
        </w:rPr>
        <w:t>.</w:t>
      </w:r>
    </w:p>
    <w:p w:rsidR="007916D9" w:rsidRPr="00995CA2" w:rsidRDefault="007916D9" w:rsidP="00AA02FC">
      <w:pPr>
        <w:spacing w:after="0"/>
        <w:ind w:left="1134"/>
        <w:contextualSpacing/>
        <w:jc w:val="left"/>
        <w:rPr>
          <w:rFonts w:eastAsiaTheme="minorEastAsia" w:cstheme="minorBidi"/>
          <w:kern w:val="24"/>
          <w:lang w:val="ro-RO"/>
        </w:rPr>
      </w:pPr>
    </w:p>
    <w:p w:rsidR="007916D9" w:rsidRPr="00995CA2" w:rsidRDefault="007916D9" w:rsidP="00995CA2">
      <w:pPr>
        <w:spacing w:after="0" w:line="240" w:lineRule="auto"/>
        <w:ind w:left="414" w:firstLine="720"/>
        <w:jc w:val="left"/>
        <w:rPr>
          <w:rFonts w:eastAsiaTheme="minorEastAsia" w:cstheme="minorBidi"/>
          <w:i/>
          <w:kern w:val="24"/>
          <w:lang w:val="ro-RO"/>
        </w:rPr>
      </w:pPr>
      <w:r w:rsidRPr="00995CA2">
        <w:rPr>
          <w:rFonts w:eastAsiaTheme="minorEastAsia" w:cstheme="minorBidi"/>
          <w:i/>
          <w:kern w:val="24"/>
          <w:lang w:val="ro-RO"/>
        </w:rPr>
        <w:t>Obiecti</w:t>
      </w:r>
      <w:r w:rsidR="00330AC8" w:rsidRPr="00995CA2">
        <w:rPr>
          <w:rFonts w:eastAsiaTheme="minorEastAsia" w:cstheme="minorBidi"/>
          <w:i/>
          <w:kern w:val="24"/>
          <w:lang w:val="ro-RO"/>
        </w:rPr>
        <w:t>vele proiectului de plan propus</w:t>
      </w:r>
    </w:p>
    <w:p w:rsidR="007916D9" w:rsidRPr="00995CA2" w:rsidRDefault="007916D9" w:rsidP="00B36824">
      <w:pPr>
        <w:pStyle w:val="NormalWeb"/>
        <w:spacing w:before="0" w:beforeAutospacing="0" w:after="0" w:afterAutospacing="0"/>
        <w:ind w:left="1134"/>
        <w:jc w:val="both"/>
      </w:pPr>
    </w:p>
    <w:p w:rsidR="007916D9" w:rsidRPr="00995CA2" w:rsidRDefault="00330AC8" w:rsidP="00B36824">
      <w:pPr>
        <w:tabs>
          <w:tab w:val="left" w:pos="10348"/>
        </w:tabs>
        <w:spacing w:after="0" w:line="240" w:lineRule="auto"/>
        <w:ind w:left="1134"/>
        <w:contextualSpacing/>
        <w:rPr>
          <w:rFonts w:eastAsiaTheme="minorEastAsia" w:cstheme="minorBidi"/>
          <w:kern w:val="24"/>
          <w:lang w:val="ro-RO"/>
        </w:rPr>
      </w:pPr>
      <w:r w:rsidRPr="00995CA2">
        <w:rPr>
          <w:rFonts w:eastAsiaTheme="minorEastAsia" w:cstheme="minorBidi"/>
          <w:kern w:val="24"/>
          <w:lang w:val="ro-RO"/>
        </w:rPr>
        <w:t xml:space="preserve">- </w:t>
      </w:r>
      <w:r w:rsidR="007916D9" w:rsidRPr="00995CA2">
        <w:rPr>
          <w:rFonts w:eastAsiaTheme="minorEastAsia" w:cstheme="minorBidi"/>
          <w:kern w:val="24"/>
          <w:lang w:val="ro-RO"/>
        </w:rPr>
        <w:t xml:space="preserve">O nouă clasificare a localităților urbane și rurale; </w:t>
      </w:r>
    </w:p>
    <w:p w:rsidR="007916D9" w:rsidRPr="00995CA2" w:rsidRDefault="00330AC8" w:rsidP="00B36824">
      <w:pPr>
        <w:tabs>
          <w:tab w:val="left" w:pos="10348"/>
        </w:tabs>
        <w:spacing w:after="0" w:line="240" w:lineRule="auto"/>
        <w:ind w:left="1134"/>
        <w:contextualSpacing/>
        <w:rPr>
          <w:rFonts w:eastAsiaTheme="minorEastAsia" w:cstheme="minorBidi"/>
          <w:kern w:val="24"/>
          <w:lang w:val="ro-RO"/>
        </w:rPr>
      </w:pPr>
      <w:r w:rsidRPr="00995CA2">
        <w:rPr>
          <w:rFonts w:eastAsiaTheme="minorEastAsia" w:cstheme="minorBidi"/>
          <w:kern w:val="24"/>
          <w:lang w:val="ro-RO"/>
        </w:rPr>
        <w:t xml:space="preserve">- </w:t>
      </w:r>
      <w:r w:rsidR="007916D9" w:rsidRPr="00995CA2">
        <w:rPr>
          <w:rFonts w:eastAsiaTheme="minorEastAsia" w:cstheme="minorBidi"/>
          <w:kern w:val="24"/>
          <w:lang w:val="ro-RO"/>
        </w:rPr>
        <w:t>Crearea unui cadru pentru politici investiționale cu impact pozitiv asupra nivelului de dezvoltare economică și echipare tehnică a localităților și asupra nivelului de dezvoltare socio-economică;</w:t>
      </w:r>
    </w:p>
    <w:p w:rsidR="007916D9" w:rsidRPr="00995CA2" w:rsidRDefault="00330AC8" w:rsidP="00B36824">
      <w:pPr>
        <w:tabs>
          <w:tab w:val="left" w:pos="10348"/>
        </w:tabs>
        <w:spacing w:after="0" w:line="240" w:lineRule="auto"/>
        <w:ind w:left="1134"/>
        <w:contextualSpacing/>
        <w:rPr>
          <w:rFonts w:eastAsiaTheme="minorEastAsia" w:cstheme="minorBidi"/>
          <w:kern w:val="24"/>
          <w:lang w:val="ro-RO"/>
        </w:rPr>
      </w:pPr>
      <w:r w:rsidRPr="00995CA2">
        <w:rPr>
          <w:rFonts w:eastAsiaTheme="minorEastAsia" w:cstheme="minorBidi"/>
          <w:kern w:val="24"/>
          <w:lang w:val="ro-RO"/>
        </w:rPr>
        <w:t xml:space="preserve">- </w:t>
      </w:r>
      <w:r w:rsidR="007916D9" w:rsidRPr="00995CA2">
        <w:rPr>
          <w:rFonts w:eastAsiaTheme="minorEastAsia" w:cstheme="minorBidi"/>
          <w:kern w:val="24"/>
          <w:lang w:val="ro-RO"/>
        </w:rPr>
        <w:t>Introducerea unor concepte noi: arie funcțională, oraș cu caracteristici rurale etc.;</w:t>
      </w:r>
    </w:p>
    <w:p w:rsidR="007916D9" w:rsidRPr="00995CA2" w:rsidRDefault="00330AC8" w:rsidP="00B36824">
      <w:pPr>
        <w:tabs>
          <w:tab w:val="left" w:pos="10348"/>
        </w:tabs>
        <w:spacing w:after="0" w:line="240" w:lineRule="auto"/>
        <w:ind w:left="1134"/>
        <w:contextualSpacing/>
        <w:rPr>
          <w:rFonts w:eastAsiaTheme="minorEastAsia" w:cstheme="minorBidi"/>
          <w:kern w:val="24"/>
          <w:lang w:val="ro-RO"/>
        </w:rPr>
      </w:pPr>
      <w:r w:rsidRPr="00995CA2">
        <w:rPr>
          <w:rFonts w:eastAsiaTheme="minorEastAsia" w:cstheme="minorBidi"/>
          <w:kern w:val="24"/>
          <w:lang w:val="ro-RO"/>
        </w:rPr>
        <w:t xml:space="preserve">- </w:t>
      </w:r>
      <w:r w:rsidR="007916D9" w:rsidRPr="00995CA2">
        <w:rPr>
          <w:rFonts w:eastAsiaTheme="minorEastAsia" w:cstheme="minorBidi"/>
          <w:kern w:val="24"/>
          <w:lang w:val="ro-RO"/>
        </w:rPr>
        <w:t>Crearea procedurii de trecere a unităţilor administrativ-teritoriale de bază de la o categorie la alta şi procedura de unificare  administrativă a unităţilor administrativ-teritoriale de bază;</w:t>
      </w:r>
    </w:p>
    <w:p w:rsidR="007916D9" w:rsidRPr="00995CA2" w:rsidRDefault="00330AC8" w:rsidP="00B36824">
      <w:pPr>
        <w:tabs>
          <w:tab w:val="left" w:pos="10348"/>
        </w:tabs>
        <w:spacing w:after="0" w:line="240" w:lineRule="auto"/>
        <w:ind w:left="1134"/>
        <w:contextualSpacing/>
        <w:rPr>
          <w:rFonts w:eastAsiaTheme="minorEastAsia" w:cstheme="minorBidi"/>
          <w:kern w:val="24"/>
          <w:lang w:val="ro-RO"/>
        </w:rPr>
      </w:pPr>
      <w:r w:rsidRPr="00995CA2">
        <w:rPr>
          <w:rFonts w:eastAsiaTheme="minorEastAsia" w:cstheme="minorBidi"/>
          <w:kern w:val="24"/>
          <w:lang w:val="ro-RO"/>
        </w:rPr>
        <w:t xml:space="preserve">- </w:t>
      </w:r>
      <w:r w:rsidR="007916D9" w:rsidRPr="00995CA2">
        <w:rPr>
          <w:rFonts w:eastAsiaTheme="minorEastAsia" w:cstheme="minorBidi"/>
          <w:kern w:val="24"/>
          <w:lang w:val="ro-RO"/>
        </w:rPr>
        <w:t>Elaborarea și aplicarea periodică a unui sistem de monito</w:t>
      </w:r>
      <w:r w:rsidR="00280A8D">
        <w:rPr>
          <w:rFonts w:eastAsiaTheme="minorEastAsia" w:cstheme="minorBidi"/>
          <w:kern w:val="24"/>
          <w:lang w:val="ro-RO"/>
        </w:rPr>
        <w:t>rizare a situației municipiilor</w:t>
      </w:r>
      <w:r w:rsidR="007916D9" w:rsidRPr="00995CA2">
        <w:rPr>
          <w:rFonts w:eastAsiaTheme="minorEastAsia" w:cstheme="minorBidi"/>
          <w:kern w:val="24"/>
          <w:lang w:val="ro-RO"/>
        </w:rPr>
        <w:t xml:space="preserve">/ orașelor / comunelor. </w:t>
      </w:r>
    </w:p>
    <w:p w:rsidR="007916D9" w:rsidRPr="00995CA2" w:rsidRDefault="007916D9" w:rsidP="00AA02FC">
      <w:pPr>
        <w:spacing w:after="0" w:line="240" w:lineRule="auto"/>
        <w:ind w:left="1134"/>
        <w:contextualSpacing/>
        <w:jc w:val="left"/>
        <w:rPr>
          <w:rFonts w:eastAsiaTheme="minorEastAsia" w:cstheme="minorBidi"/>
          <w:kern w:val="24"/>
          <w:lang w:val="ro-RO"/>
        </w:rPr>
      </w:pPr>
    </w:p>
    <w:p w:rsidR="007916D9" w:rsidRPr="00995CA2" w:rsidRDefault="007916D9" w:rsidP="00995CA2">
      <w:pPr>
        <w:spacing w:after="0" w:line="240" w:lineRule="auto"/>
        <w:ind w:left="414" w:firstLine="720"/>
        <w:jc w:val="left"/>
        <w:rPr>
          <w:rFonts w:eastAsiaTheme="minorEastAsia" w:cstheme="minorBidi"/>
          <w:i/>
          <w:kern w:val="24"/>
          <w:lang w:val="ro-RO"/>
        </w:rPr>
      </w:pPr>
      <w:r w:rsidRPr="00995CA2">
        <w:rPr>
          <w:rFonts w:eastAsiaTheme="minorEastAsia" w:cstheme="minorBidi"/>
          <w:i/>
          <w:kern w:val="24"/>
          <w:lang w:val="ro-RO"/>
        </w:rPr>
        <w:t>Modificări propuse prin proiectul de plan:</w:t>
      </w:r>
    </w:p>
    <w:p w:rsidR="007916D9" w:rsidRPr="00995CA2" w:rsidRDefault="00AA02FC" w:rsidP="00AA02FC">
      <w:pPr>
        <w:spacing w:after="0" w:line="240" w:lineRule="auto"/>
        <w:ind w:left="1211"/>
        <w:jc w:val="left"/>
        <w:rPr>
          <w:rFonts w:eastAsiaTheme="minorEastAsia" w:cstheme="minorBidi"/>
          <w:kern w:val="24"/>
          <w:lang w:val="ro-RO"/>
        </w:rPr>
      </w:pPr>
      <w:r w:rsidRPr="00995CA2">
        <w:rPr>
          <w:rFonts w:eastAsiaTheme="minorEastAsia" w:cstheme="minorBidi"/>
          <w:kern w:val="24"/>
          <w:lang w:val="ro-RO"/>
        </w:rPr>
        <w:t xml:space="preserve">- </w:t>
      </w:r>
      <w:r w:rsidR="007B52A5" w:rsidRPr="00995CA2">
        <w:rPr>
          <w:rFonts w:eastAsiaTheme="minorEastAsia" w:cstheme="minorBidi"/>
          <w:kern w:val="24"/>
          <w:lang w:val="ro-RO"/>
        </w:rPr>
        <w:t>U</w:t>
      </w:r>
      <w:r w:rsidR="007916D9" w:rsidRPr="00995CA2">
        <w:rPr>
          <w:rFonts w:eastAsiaTheme="minorEastAsia" w:cstheme="minorBidi"/>
          <w:kern w:val="24"/>
          <w:lang w:val="ro-RO"/>
        </w:rPr>
        <w:t>nităţile ad</w:t>
      </w:r>
      <w:r w:rsidRPr="00995CA2">
        <w:rPr>
          <w:rFonts w:eastAsiaTheme="minorEastAsia" w:cstheme="minorBidi"/>
          <w:kern w:val="24"/>
          <w:lang w:val="ro-RO"/>
        </w:rPr>
        <w:t>ministrativ-teritoriale de bază</w:t>
      </w:r>
      <w:r w:rsidR="007916D9" w:rsidRPr="00995CA2">
        <w:rPr>
          <w:rFonts w:eastAsiaTheme="minorEastAsia" w:cstheme="minorBidi"/>
          <w:kern w:val="24"/>
          <w:lang w:val="ro-RO"/>
        </w:rPr>
        <w:t xml:space="preserve"> urbane se clasifică în:</w:t>
      </w:r>
    </w:p>
    <w:p w:rsidR="007916D9" w:rsidRPr="00995CA2" w:rsidRDefault="007916D9" w:rsidP="00AA02FC">
      <w:pPr>
        <w:pStyle w:val="ListParagraph"/>
        <w:numPr>
          <w:ilvl w:val="0"/>
          <w:numId w:val="10"/>
        </w:numPr>
        <w:spacing w:after="0" w:line="240" w:lineRule="auto"/>
        <w:ind w:left="1211" w:firstLine="0"/>
        <w:jc w:val="left"/>
        <w:rPr>
          <w:rFonts w:eastAsiaTheme="minorEastAsia" w:cstheme="minorBidi"/>
          <w:kern w:val="24"/>
          <w:lang w:val="ro-RO"/>
        </w:rPr>
      </w:pPr>
      <w:r w:rsidRPr="00995CA2">
        <w:rPr>
          <w:rFonts w:eastAsiaTheme="minorEastAsia" w:cstheme="minorBidi"/>
          <w:kern w:val="24"/>
          <w:lang w:val="ro-RO"/>
        </w:rPr>
        <w:t xml:space="preserve">municipiu capitală, de importanţă naţională şi europeană, </w:t>
      </w:r>
    </w:p>
    <w:p w:rsidR="007916D9" w:rsidRPr="00995CA2" w:rsidRDefault="007916D9" w:rsidP="00AA02FC">
      <w:pPr>
        <w:pStyle w:val="ListParagraph"/>
        <w:numPr>
          <w:ilvl w:val="0"/>
          <w:numId w:val="10"/>
        </w:numPr>
        <w:spacing w:after="0" w:line="240" w:lineRule="auto"/>
        <w:ind w:left="1211" w:firstLine="0"/>
        <w:jc w:val="left"/>
        <w:rPr>
          <w:rFonts w:eastAsiaTheme="minorEastAsia" w:cstheme="minorBidi"/>
          <w:kern w:val="24"/>
          <w:lang w:val="ro-RO"/>
        </w:rPr>
      </w:pPr>
      <w:r w:rsidRPr="00995CA2">
        <w:rPr>
          <w:rFonts w:eastAsiaTheme="minorEastAsia" w:cstheme="minorBidi"/>
          <w:kern w:val="24"/>
          <w:lang w:val="ro-RO"/>
        </w:rPr>
        <w:t xml:space="preserve">municipii poli regionali principali cu potenţial transnațional, </w:t>
      </w:r>
    </w:p>
    <w:p w:rsidR="007916D9" w:rsidRPr="00995CA2" w:rsidRDefault="007916D9" w:rsidP="00AA02FC">
      <w:pPr>
        <w:pStyle w:val="ListParagraph"/>
        <w:numPr>
          <w:ilvl w:val="0"/>
          <w:numId w:val="10"/>
        </w:numPr>
        <w:spacing w:after="0" w:line="240" w:lineRule="auto"/>
        <w:ind w:left="1211" w:firstLine="0"/>
        <w:jc w:val="left"/>
        <w:rPr>
          <w:rFonts w:eastAsiaTheme="minorEastAsia" w:cstheme="minorBidi"/>
          <w:kern w:val="24"/>
          <w:lang w:val="ro-RO"/>
        </w:rPr>
      </w:pPr>
      <w:r w:rsidRPr="00995CA2">
        <w:rPr>
          <w:rFonts w:eastAsiaTheme="minorEastAsia" w:cstheme="minorBidi"/>
          <w:kern w:val="24"/>
          <w:lang w:val="ro-RO"/>
        </w:rPr>
        <w:t xml:space="preserve">municipii poli regionali secundari, </w:t>
      </w:r>
    </w:p>
    <w:p w:rsidR="007916D9" w:rsidRPr="00995CA2" w:rsidRDefault="007916D9" w:rsidP="00AA02FC">
      <w:pPr>
        <w:pStyle w:val="ListParagraph"/>
        <w:numPr>
          <w:ilvl w:val="0"/>
          <w:numId w:val="10"/>
        </w:numPr>
        <w:spacing w:after="0" w:line="240" w:lineRule="auto"/>
        <w:ind w:left="1211" w:firstLine="0"/>
        <w:jc w:val="left"/>
        <w:rPr>
          <w:rFonts w:eastAsiaTheme="minorEastAsia" w:cstheme="minorBidi"/>
          <w:kern w:val="24"/>
          <w:lang w:val="ro-RO"/>
        </w:rPr>
      </w:pPr>
      <w:r w:rsidRPr="00995CA2">
        <w:rPr>
          <w:rFonts w:eastAsiaTheme="minorEastAsia" w:cstheme="minorBidi"/>
          <w:kern w:val="24"/>
          <w:lang w:val="ro-RO"/>
        </w:rPr>
        <w:t xml:space="preserve">municipii poli judeţeni principali, </w:t>
      </w:r>
    </w:p>
    <w:p w:rsidR="007916D9" w:rsidRPr="00995CA2" w:rsidRDefault="007916D9" w:rsidP="00AA02FC">
      <w:pPr>
        <w:pStyle w:val="ListParagraph"/>
        <w:numPr>
          <w:ilvl w:val="0"/>
          <w:numId w:val="10"/>
        </w:numPr>
        <w:spacing w:after="0" w:line="240" w:lineRule="auto"/>
        <w:ind w:left="1211" w:firstLine="0"/>
        <w:jc w:val="left"/>
        <w:rPr>
          <w:rFonts w:eastAsiaTheme="minorEastAsia" w:cstheme="minorBidi"/>
          <w:kern w:val="24"/>
          <w:lang w:val="ro-RO"/>
        </w:rPr>
      </w:pPr>
      <w:r w:rsidRPr="00995CA2">
        <w:rPr>
          <w:rFonts w:eastAsiaTheme="minorEastAsia" w:cstheme="minorBidi"/>
          <w:kern w:val="24"/>
          <w:lang w:val="ro-RO"/>
        </w:rPr>
        <w:t xml:space="preserve">municipii și orașe poli judeţeni secundari, </w:t>
      </w:r>
    </w:p>
    <w:p w:rsidR="007916D9" w:rsidRPr="00995CA2" w:rsidRDefault="007916D9" w:rsidP="00AA02FC">
      <w:pPr>
        <w:pStyle w:val="ListParagraph"/>
        <w:numPr>
          <w:ilvl w:val="0"/>
          <w:numId w:val="10"/>
        </w:numPr>
        <w:spacing w:after="0" w:line="240" w:lineRule="auto"/>
        <w:ind w:left="1211" w:firstLine="0"/>
        <w:jc w:val="left"/>
        <w:rPr>
          <w:rFonts w:eastAsiaTheme="minorEastAsia" w:cstheme="minorBidi"/>
          <w:kern w:val="24"/>
          <w:lang w:val="ro-RO"/>
        </w:rPr>
      </w:pPr>
      <w:r w:rsidRPr="00995CA2">
        <w:rPr>
          <w:rFonts w:eastAsiaTheme="minorEastAsia" w:cstheme="minorBidi"/>
          <w:kern w:val="24"/>
          <w:lang w:val="ro-RO"/>
        </w:rPr>
        <w:t xml:space="preserve">municipii și orașe centre urbane cu rol zonal, </w:t>
      </w:r>
    </w:p>
    <w:p w:rsidR="007916D9" w:rsidRPr="00995CA2" w:rsidRDefault="007916D9" w:rsidP="00AA02FC">
      <w:pPr>
        <w:pStyle w:val="ListParagraph"/>
        <w:numPr>
          <w:ilvl w:val="0"/>
          <w:numId w:val="10"/>
        </w:numPr>
        <w:spacing w:after="0" w:line="240" w:lineRule="auto"/>
        <w:ind w:left="1211" w:firstLine="0"/>
        <w:jc w:val="left"/>
        <w:rPr>
          <w:rFonts w:eastAsiaTheme="minorEastAsia" w:cstheme="minorBidi"/>
          <w:kern w:val="24"/>
          <w:lang w:val="ro-RO"/>
        </w:rPr>
      </w:pPr>
      <w:r w:rsidRPr="00995CA2">
        <w:rPr>
          <w:rFonts w:eastAsiaTheme="minorEastAsia" w:cstheme="minorBidi"/>
          <w:kern w:val="24"/>
          <w:lang w:val="ro-RO"/>
        </w:rPr>
        <w:t>municipii și orașe centre urbane cu funcţii specializate.</w:t>
      </w:r>
    </w:p>
    <w:p w:rsidR="007916D9" w:rsidRPr="00995CA2" w:rsidRDefault="007916D9" w:rsidP="00AA02FC">
      <w:pPr>
        <w:pStyle w:val="ListParagraph"/>
        <w:numPr>
          <w:ilvl w:val="0"/>
          <w:numId w:val="10"/>
        </w:numPr>
        <w:spacing w:after="0" w:line="240" w:lineRule="auto"/>
        <w:ind w:left="1211" w:firstLine="0"/>
        <w:jc w:val="left"/>
        <w:rPr>
          <w:rFonts w:eastAsiaTheme="minorEastAsia" w:cstheme="minorBidi"/>
          <w:kern w:val="24"/>
          <w:lang w:val="ro-RO"/>
        </w:rPr>
      </w:pPr>
      <w:r w:rsidRPr="00995CA2">
        <w:rPr>
          <w:rFonts w:eastAsiaTheme="minorEastAsia" w:cstheme="minorBidi"/>
          <w:kern w:val="24"/>
          <w:lang w:val="ro-RO"/>
        </w:rPr>
        <w:t>municipiile și orașele cuprind următoarele localități:</w:t>
      </w:r>
    </w:p>
    <w:p w:rsidR="007916D9" w:rsidRPr="00995CA2" w:rsidRDefault="007916D9" w:rsidP="00AA02FC">
      <w:pPr>
        <w:pStyle w:val="ListParagraph"/>
        <w:numPr>
          <w:ilvl w:val="0"/>
          <w:numId w:val="10"/>
        </w:numPr>
        <w:spacing w:after="0" w:line="240" w:lineRule="auto"/>
        <w:ind w:left="1211" w:firstLine="0"/>
        <w:jc w:val="left"/>
        <w:rPr>
          <w:rFonts w:eastAsiaTheme="minorEastAsia" w:cstheme="minorBidi"/>
          <w:kern w:val="24"/>
          <w:lang w:val="ro-RO"/>
        </w:rPr>
      </w:pPr>
      <w:r w:rsidRPr="00995CA2">
        <w:rPr>
          <w:rFonts w:eastAsiaTheme="minorEastAsia" w:cstheme="minorBidi"/>
          <w:kern w:val="24"/>
          <w:lang w:val="ro-RO"/>
        </w:rPr>
        <w:t>localitatea reședință a municipiului/orașului</w:t>
      </w:r>
    </w:p>
    <w:p w:rsidR="007916D9" w:rsidRPr="00995CA2" w:rsidRDefault="007916D9" w:rsidP="00AA02FC">
      <w:pPr>
        <w:pStyle w:val="ListParagraph"/>
        <w:numPr>
          <w:ilvl w:val="0"/>
          <w:numId w:val="10"/>
        </w:numPr>
        <w:spacing w:after="0" w:line="240" w:lineRule="auto"/>
        <w:ind w:left="1211" w:firstLine="0"/>
        <w:jc w:val="left"/>
        <w:rPr>
          <w:rFonts w:eastAsiaTheme="minorEastAsia" w:cstheme="minorBidi"/>
          <w:kern w:val="24"/>
          <w:lang w:val="ro-RO"/>
        </w:rPr>
      </w:pPr>
      <w:r w:rsidRPr="00995CA2">
        <w:rPr>
          <w:rFonts w:eastAsiaTheme="minorEastAsia" w:cstheme="minorBidi"/>
          <w:kern w:val="24"/>
          <w:lang w:val="ro-RO"/>
        </w:rPr>
        <w:t>localităţi componente ale municipiului/oraşului și/sau</w:t>
      </w:r>
    </w:p>
    <w:p w:rsidR="007916D9" w:rsidRPr="00995CA2" w:rsidRDefault="007916D9" w:rsidP="00AA02FC">
      <w:pPr>
        <w:pStyle w:val="ListParagraph"/>
        <w:numPr>
          <w:ilvl w:val="0"/>
          <w:numId w:val="10"/>
        </w:numPr>
        <w:spacing w:after="0" w:line="240" w:lineRule="auto"/>
        <w:ind w:left="1211" w:firstLine="0"/>
        <w:jc w:val="left"/>
        <w:rPr>
          <w:rFonts w:eastAsiaTheme="minorEastAsia" w:cstheme="minorBidi"/>
          <w:kern w:val="24"/>
          <w:lang w:val="ro-RO"/>
        </w:rPr>
      </w:pPr>
      <w:r w:rsidRPr="00995CA2">
        <w:rPr>
          <w:rFonts w:eastAsiaTheme="minorEastAsia" w:cstheme="minorBidi"/>
          <w:kern w:val="24"/>
          <w:lang w:val="ro-RO"/>
        </w:rPr>
        <w:t>sate aparţinătoare ale municipiului/oraşului.</w:t>
      </w:r>
    </w:p>
    <w:p w:rsidR="007B52A5" w:rsidRPr="00CE4E66" w:rsidRDefault="00AA02FC" w:rsidP="00AA02FC">
      <w:pPr>
        <w:pStyle w:val="ListParagraph"/>
        <w:spacing w:after="0" w:line="240" w:lineRule="auto"/>
        <w:ind w:left="1211"/>
        <w:jc w:val="left"/>
        <w:rPr>
          <w:rFonts w:eastAsia="Times New Roman"/>
          <w:lang w:val="ro-RO"/>
        </w:rPr>
      </w:pPr>
      <w:r>
        <w:rPr>
          <w:rFonts w:eastAsia="Times New Roman"/>
          <w:lang w:val="ro-RO"/>
        </w:rPr>
        <w:t xml:space="preserve">- </w:t>
      </w:r>
      <w:r w:rsidR="007B52A5" w:rsidRPr="00CE4E66">
        <w:rPr>
          <w:rFonts w:eastAsia="Times New Roman"/>
          <w:lang w:val="ro-RO"/>
        </w:rPr>
        <w:t>Unităţile ad</w:t>
      </w:r>
      <w:r>
        <w:rPr>
          <w:rFonts w:eastAsia="Times New Roman"/>
          <w:lang w:val="ro-RO"/>
        </w:rPr>
        <w:t>ministrativ-teritoriale de bază</w:t>
      </w:r>
      <w:r w:rsidR="007B52A5" w:rsidRPr="00CE4E66">
        <w:rPr>
          <w:rFonts w:eastAsia="Times New Roman"/>
          <w:lang w:val="ro-RO"/>
        </w:rPr>
        <w:t xml:space="preserve"> rurale </w:t>
      </w:r>
      <w:r>
        <w:rPr>
          <w:rFonts w:eastAsia="Times New Roman"/>
          <w:lang w:val="ro-RO"/>
        </w:rPr>
        <w:t xml:space="preserve">se clasifică </w:t>
      </w:r>
      <w:r w:rsidR="007B52A5" w:rsidRPr="00CE4E66">
        <w:rPr>
          <w:rFonts w:eastAsia="Times New Roman"/>
          <w:lang w:val="ro-RO"/>
        </w:rPr>
        <w:t>în:</w:t>
      </w:r>
    </w:p>
    <w:p w:rsidR="007B52A5" w:rsidRPr="00CE4E66" w:rsidRDefault="007B52A5" w:rsidP="00AA02FC">
      <w:pPr>
        <w:pStyle w:val="ListParagraph"/>
        <w:numPr>
          <w:ilvl w:val="0"/>
          <w:numId w:val="12"/>
        </w:numPr>
        <w:spacing w:after="0" w:line="240" w:lineRule="auto"/>
        <w:ind w:left="1211" w:firstLine="0"/>
        <w:jc w:val="left"/>
        <w:rPr>
          <w:rFonts w:eastAsia="Times New Roman"/>
          <w:lang w:val="ro-RO"/>
        </w:rPr>
      </w:pPr>
      <w:r w:rsidRPr="00CE4E66">
        <w:rPr>
          <w:rFonts w:eastAsia="Times New Roman"/>
          <w:lang w:val="ro-RO"/>
        </w:rPr>
        <w:t>comune poli rurali (cu rol de servire intercomunală la nivelul zonelor lipsite de oraşe pe o distanţă de minim 25 km);</w:t>
      </w:r>
    </w:p>
    <w:p w:rsidR="007B52A5" w:rsidRPr="00CE4E66" w:rsidRDefault="007B52A5" w:rsidP="00AA02FC">
      <w:pPr>
        <w:pStyle w:val="ListParagraph"/>
        <w:numPr>
          <w:ilvl w:val="0"/>
          <w:numId w:val="12"/>
        </w:numPr>
        <w:spacing w:after="0" w:line="240" w:lineRule="auto"/>
        <w:ind w:left="1211" w:firstLine="0"/>
        <w:jc w:val="left"/>
        <w:rPr>
          <w:rFonts w:eastAsia="Times New Roman"/>
          <w:lang w:val="ro-RO"/>
        </w:rPr>
      </w:pPr>
      <w:r w:rsidRPr="00CE4E66">
        <w:rPr>
          <w:rFonts w:eastAsia="Times New Roman"/>
          <w:lang w:val="ro-RO"/>
        </w:rPr>
        <w:t>comune, altele decât cele de mai sus.</w:t>
      </w:r>
    </w:p>
    <w:p w:rsidR="007B52A5" w:rsidRPr="00280A8D" w:rsidRDefault="007B52A5" w:rsidP="00AA02FC">
      <w:pPr>
        <w:spacing w:after="0" w:line="240" w:lineRule="auto"/>
        <w:ind w:left="1211"/>
        <w:jc w:val="left"/>
        <w:rPr>
          <w:rFonts w:eastAsia="Times New Roman"/>
          <w:lang w:val="ro-RO"/>
        </w:rPr>
      </w:pPr>
    </w:p>
    <w:p w:rsidR="007B52A5" w:rsidRPr="00CE4E66" w:rsidRDefault="007B52A5" w:rsidP="00280A8D">
      <w:pPr>
        <w:spacing w:after="0" w:line="240" w:lineRule="auto"/>
        <w:ind w:left="1211"/>
        <w:contextualSpacing/>
        <w:rPr>
          <w:rFonts w:eastAsia="Times New Roman"/>
          <w:lang w:val="ro-RO"/>
        </w:rPr>
      </w:pPr>
      <w:r w:rsidRPr="00CE4E66">
        <w:rPr>
          <w:rFonts w:eastAsia="Times New Roman"/>
          <w:lang w:val="ro-RO"/>
        </w:rPr>
        <w:t>Comunele cuprind satul reşedinţă de comună şi/sau satele componente ale comunelor.</w:t>
      </w:r>
    </w:p>
    <w:p w:rsidR="007916D9" w:rsidRDefault="007B52A5" w:rsidP="00280A8D">
      <w:pPr>
        <w:spacing w:after="0" w:line="240" w:lineRule="auto"/>
        <w:ind w:left="1211"/>
        <w:contextualSpacing/>
        <w:rPr>
          <w:rFonts w:eastAsia="Times New Roman"/>
          <w:lang w:val="ro-RO"/>
        </w:rPr>
      </w:pPr>
      <w:r w:rsidRPr="00CE4E66">
        <w:rPr>
          <w:rFonts w:eastAsia="Times New Roman"/>
          <w:lang w:val="ro-RO"/>
        </w:rPr>
        <w:t>Satele componente ale comunelor şi satele aparţinătoare municipiilor şi oraşelor aparţin reţelei localităţilor rurale (au acces la programele de finanţare care sprijină dezvoltarea rurală).</w:t>
      </w:r>
    </w:p>
    <w:p w:rsidR="00BB1DFE" w:rsidRPr="00CE4E66" w:rsidRDefault="00BB1DFE" w:rsidP="00AA02FC">
      <w:pPr>
        <w:spacing w:after="0" w:line="240" w:lineRule="auto"/>
        <w:ind w:left="1211"/>
        <w:contextualSpacing/>
        <w:jc w:val="left"/>
        <w:rPr>
          <w:rFonts w:eastAsia="Times New Roman"/>
          <w:lang w:val="ro-RO"/>
        </w:rPr>
      </w:pPr>
    </w:p>
    <w:p w:rsidR="007B52A5" w:rsidRPr="00CE4E66" w:rsidRDefault="00AA02FC" w:rsidP="00AA02FC">
      <w:pPr>
        <w:pStyle w:val="ListParagraph"/>
        <w:spacing w:after="0" w:line="240" w:lineRule="auto"/>
        <w:ind w:left="1211"/>
        <w:jc w:val="left"/>
        <w:rPr>
          <w:rFonts w:eastAsia="Times New Roman"/>
          <w:lang w:val="ro-RO"/>
        </w:rPr>
      </w:pPr>
      <w:r>
        <w:rPr>
          <w:rFonts w:eastAsia="Times New Roman"/>
          <w:lang w:val="ro-RO"/>
        </w:rPr>
        <w:t xml:space="preserve">- </w:t>
      </w:r>
      <w:r w:rsidR="007B52A5" w:rsidRPr="00CE4E66">
        <w:rPr>
          <w:rFonts w:eastAsia="Times New Roman"/>
          <w:lang w:val="ro-RO"/>
        </w:rPr>
        <w:t>Categorii speciale:</w:t>
      </w:r>
    </w:p>
    <w:p w:rsidR="007B52A5" w:rsidRPr="00CE4E66" w:rsidRDefault="007B52A5" w:rsidP="00AA02FC">
      <w:pPr>
        <w:pStyle w:val="ListParagraph"/>
        <w:numPr>
          <w:ilvl w:val="0"/>
          <w:numId w:val="13"/>
        </w:numPr>
        <w:spacing w:after="0" w:line="240" w:lineRule="auto"/>
        <w:ind w:left="1211" w:firstLine="0"/>
        <w:jc w:val="left"/>
        <w:rPr>
          <w:rFonts w:eastAsia="Times New Roman"/>
          <w:lang w:val="ro-RO"/>
        </w:rPr>
      </w:pPr>
      <w:r w:rsidRPr="00CE4E66">
        <w:rPr>
          <w:rFonts w:eastAsia="Times New Roman"/>
          <w:lang w:val="ro-RO"/>
        </w:rPr>
        <w:t>Oraşele cu caracteristici rurale (anexa nr. IV) - au acces la toate programele de finanţare destinate unităților administrativ-teritoriale, inclusiv la cele de dezvoltare rurală.</w:t>
      </w:r>
    </w:p>
    <w:p w:rsidR="007B52A5" w:rsidRPr="00AA02FC" w:rsidRDefault="007B52A5" w:rsidP="00AA02FC">
      <w:pPr>
        <w:pStyle w:val="ListParagraph"/>
        <w:numPr>
          <w:ilvl w:val="0"/>
          <w:numId w:val="13"/>
        </w:numPr>
        <w:spacing w:after="0" w:line="240" w:lineRule="auto"/>
        <w:ind w:left="1211" w:firstLine="0"/>
        <w:jc w:val="left"/>
        <w:rPr>
          <w:rFonts w:eastAsia="Times New Roman"/>
          <w:lang w:val="ro-RO"/>
        </w:rPr>
      </w:pPr>
      <w:r w:rsidRPr="00CE4E66">
        <w:rPr>
          <w:rFonts w:eastAsia="Times New Roman"/>
          <w:lang w:val="ro-RO"/>
        </w:rPr>
        <w:t>Unităţile administrativ-teritoriale rurale şi urbane în care s-au produs scăderi accentuate de populaţie (anexa nr. V) – reactualizare față de legea 351/2011</w:t>
      </w:r>
      <w:r w:rsidR="00AA02FC">
        <w:rPr>
          <w:rFonts w:eastAsia="Times New Roman"/>
          <w:lang w:val="ro-RO"/>
        </w:rPr>
        <w:t>.</w:t>
      </w:r>
    </w:p>
    <w:p w:rsidR="007B52A5" w:rsidRPr="00CE4E66" w:rsidRDefault="007B52A5" w:rsidP="00AA02FC">
      <w:pPr>
        <w:spacing w:after="0" w:line="240" w:lineRule="auto"/>
        <w:ind w:left="1211"/>
        <w:contextualSpacing/>
        <w:jc w:val="left"/>
        <w:rPr>
          <w:rFonts w:eastAsia="Times New Roman"/>
          <w:lang w:val="ro-RO"/>
        </w:rPr>
      </w:pPr>
      <w:r w:rsidRPr="00CE4E66">
        <w:rPr>
          <w:rFonts w:eastAsia="Times New Roman"/>
          <w:lang w:val="ro-RO"/>
        </w:rPr>
        <w:lastRenderedPageBreak/>
        <w:t>Se dorește încurajarea unificării administrative a două sau mai multe dintre aceste comune care sunt învecinate, la iniţiativa autorităţilor administraţiei publice locale şi ca urmare a voinţei exprimate prin referendum local de către populaţia din comunele interesate.</w:t>
      </w:r>
    </w:p>
    <w:p w:rsidR="007916D9" w:rsidRPr="00CE4E66" w:rsidRDefault="007B52A5" w:rsidP="00AA02FC">
      <w:pPr>
        <w:pStyle w:val="ListParagraph"/>
        <w:numPr>
          <w:ilvl w:val="0"/>
          <w:numId w:val="14"/>
        </w:numPr>
        <w:spacing w:after="0" w:line="240" w:lineRule="auto"/>
        <w:ind w:left="1211" w:firstLine="0"/>
        <w:jc w:val="left"/>
        <w:rPr>
          <w:rFonts w:eastAsia="Times New Roman"/>
          <w:lang w:val="ro-RO"/>
        </w:rPr>
      </w:pPr>
      <w:r w:rsidRPr="00CE4E66">
        <w:rPr>
          <w:rFonts w:eastAsia="Times New Roman"/>
          <w:lang w:val="ro-RO"/>
        </w:rPr>
        <w:t>Municipiile, oraşele şi comunele care au în structura lor localităţi cu populația sub 100 de locuitori (anexa nr. V)</w:t>
      </w:r>
    </w:p>
    <w:p w:rsidR="007B52A5" w:rsidRPr="007B52A5" w:rsidRDefault="007B52A5" w:rsidP="00AA02FC">
      <w:pPr>
        <w:pStyle w:val="ListParagraph"/>
        <w:spacing w:after="0" w:line="240" w:lineRule="auto"/>
        <w:ind w:left="1211"/>
        <w:jc w:val="left"/>
        <w:rPr>
          <w:rFonts w:eastAsia="Times New Roman"/>
        </w:rPr>
      </w:pPr>
    </w:p>
    <w:p w:rsidR="007B52A5" w:rsidRPr="0032794F" w:rsidRDefault="00AA02FC" w:rsidP="00280A8D">
      <w:pPr>
        <w:pStyle w:val="ListParagraph"/>
        <w:spacing w:line="240" w:lineRule="auto"/>
        <w:ind w:left="1211"/>
        <w:rPr>
          <w:lang w:val="ro-RO"/>
        </w:rPr>
      </w:pPr>
      <w:r>
        <w:rPr>
          <w:lang w:val="ro-RO"/>
        </w:rPr>
        <w:t xml:space="preserve">- </w:t>
      </w:r>
      <w:r w:rsidR="007B52A5" w:rsidRPr="0032794F">
        <w:rPr>
          <w:lang w:val="ro-RO"/>
        </w:rPr>
        <w:t>Pentru fiecare tip de unitate administrativ-teritorială, urbană sau rurală au fost stabilite: un nivel minim de dotări și un set indicatori care trebuie îndepliniți (anexele II, III, VI, VII).</w:t>
      </w:r>
    </w:p>
    <w:p w:rsidR="007916D9" w:rsidRDefault="00BB1DFE" w:rsidP="00280A8D">
      <w:pPr>
        <w:spacing w:line="240" w:lineRule="auto"/>
        <w:ind w:left="1211"/>
        <w:rPr>
          <w:lang w:val="ro-RO"/>
        </w:rPr>
      </w:pPr>
      <w:r>
        <w:rPr>
          <w:lang w:val="ro-RO"/>
        </w:rPr>
        <w:t>Î</w:t>
      </w:r>
      <w:r w:rsidR="007B52A5" w:rsidRPr="007B52A5">
        <w:rPr>
          <w:lang w:val="ro-RO"/>
        </w:rPr>
        <w:t>n vederea monitorizării gradului de îndeplinire a nivelului minim de dotări și a indicatorilor cantitativi, MDRAP elaborează periodic, o dată la 3 ani, analiza privind evoluţia reţelei de localităţi care se aprobă prin ordin al ministrului dezvoltării regionale şi administraţiei publice</w:t>
      </w:r>
      <w:r w:rsidR="007B52A5">
        <w:rPr>
          <w:lang w:val="ro-RO"/>
        </w:rPr>
        <w:t>.</w:t>
      </w:r>
    </w:p>
    <w:p w:rsidR="007B52A5" w:rsidRPr="007B52A5" w:rsidRDefault="00AA02FC" w:rsidP="00280A8D">
      <w:pPr>
        <w:pStyle w:val="ListParagraph"/>
        <w:spacing w:line="240" w:lineRule="auto"/>
        <w:ind w:left="1211"/>
        <w:rPr>
          <w:lang w:val="ro-RO"/>
        </w:rPr>
      </w:pPr>
      <w:r>
        <w:rPr>
          <w:lang w:val="ro-RO"/>
        </w:rPr>
        <w:t xml:space="preserve">- </w:t>
      </w:r>
      <w:r w:rsidR="007B52A5" w:rsidRPr="007B52A5">
        <w:rPr>
          <w:lang w:val="ro-RO"/>
        </w:rPr>
        <w:t>Trecerea unităţilor administrativ-teritoriale de bază de la o categorie superioară la o categorie imediat inferioară, sau de la o categorie inferioară la o categorie imediat superioară se face:</w:t>
      </w:r>
    </w:p>
    <w:p w:rsidR="007B52A5" w:rsidRPr="007B52A5" w:rsidRDefault="007B52A5" w:rsidP="00280A8D">
      <w:pPr>
        <w:spacing w:line="240" w:lineRule="auto"/>
        <w:ind w:left="1211"/>
        <w:rPr>
          <w:lang w:val="ro-RO"/>
        </w:rPr>
      </w:pPr>
      <w:r>
        <w:rPr>
          <w:lang w:val="ro-RO"/>
        </w:rPr>
        <w:t xml:space="preserve"> </w:t>
      </w:r>
      <w:r w:rsidR="00BB1DFE">
        <w:rPr>
          <w:lang w:val="ro-RO"/>
        </w:rPr>
        <w:t xml:space="preserve">     </w:t>
      </w:r>
      <w:r>
        <w:rPr>
          <w:lang w:val="ro-RO"/>
        </w:rPr>
        <w:t xml:space="preserve">- </w:t>
      </w:r>
      <w:r w:rsidRPr="007B52A5">
        <w:rPr>
          <w:lang w:val="ro-RO"/>
        </w:rPr>
        <w:t>la propunerea consiliilor locale, cu consultarea populaţiei prin referendum, în condițiile legii,</w:t>
      </w:r>
    </w:p>
    <w:p w:rsidR="007B52A5" w:rsidRPr="007B52A5" w:rsidRDefault="007B52A5" w:rsidP="00280A8D">
      <w:pPr>
        <w:spacing w:line="240" w:lineRule="auto"/>
        <w:ind w:left="1211"/>
        <w:rPr>
          <w:lang w:val="ro-RO"/>
        </w:rPr>
      </w:pPr>
      <w:r>
        <w:rPr>
          <w:lang w:val="ro-RO"/>
        </w:rPr>
        <w:t xml:space="preserve"> </w:t>
      </w:r>
      <w:r w:rsidR="00995CA2">
        <w:rPr>
          <w:lang w:val="ro-RO"/>
        </w:rPr>
        <w:tab/>
        <w:t xml:space="preserve">   </w:t>
      </w:r>
      <w:r>
        <w:rPr>
          <w:lang w:val="ro-RO"/>
        </w:rPr>
        <w:t xml:space="preserve">- </w:t>
      </w:r>
      <w:r w:rsidRPr="007B52A5">
        <w:rPr>
          <w:lang w:val="ro-RO"/>
        </w:rPr>
        <w:t>cu respectarea dotărilor prevăzute în anexa nr. II şi nr. III şi cu îndeplinirea a minimum două treimi din numărul de indicatori prevăzuţi în anexa nr. VI pentru localităţile urbane, şi în anexa nr. VII, pentru localităţile rurale.</w:t>
      </w:r>
    </w:p>
    <w:p w:rsidR="007B52A5" w:rsidRPr="0032794F" w:rsidRDefault="00AA02FC" w:rsidP="00280A8D">
      <w:pPr>
        <w:pStyle w:val="ListParagraph"/>
        <w:spacing w:line="240" w:lineRule="auto"/>
        <w:ind w:left="1211"/>
        <w:rPr>
          <w:lang w:val="ro-RO"/>
        </w:rPr>
      </w:pPr>
      <w:r>
        <w:rPr>
          <w:lang w:val="ro-RO"/>
        </w:rPr>
        <w:t xml:space="preserve">- </w:t>
      </w:r>
      <w:r w:rsidR="007B52A5" w:rsidRPr="0032794F">
        <w:rPr>
          <w:lang w:val="ro-RO"/>
        </w:rPr>
        <w:t>Comune poli rurali - comune cu rol de „loc central” la nivelul județelor ce pot prelua servicii cu rol teritorial, în domeniul sănătății, educației, culturii, serviciilor sociale, comerțului și altor servicii pentru populație; populație – minim 2000 locuitori și minim 10000 în aria funcțională potențială</w:t>
      </w:r>
      <w:r w:rsidR="0032794F" w:rsidRPr="0032794F">
        <w:rPr>
          <w:lang w:val="ro-RO"/>
        </w:rPr>
        <w:t>.</w:t>
      </w:r>
    </w:p>
    <w:p w:rsidR="0032794F" w:rsidRPr="0032794F" w:rsidRDefault="00AA02FC" w:rsidP="00280A8D">
      <w:pPr>
        <w:pStyle w:val="ListParagraph"/>
        <w:tabs>
          <w:tab w:val="left" w:pos="10348"/>
        </w:tabs>
        <w:spacing w:line="240" w:lineRule="auto"/>
        <w:ind w:left="1211"/>
        <w:rPr>
          <w:lang w:val="ro-RO"/>
        </w:rPr>
      </w:pPr>
      <w:r>
        <w:rPr>
          <w:lang w:val="ro-RO"/>
        </w:rPr>
        <w:t xml:space="preserve">- </w:t>
      </w:r>
      <w:r w:rsidR="0032794F" w:rsidRPr="0032794F">
        <w:rPr>
          <w:lang w:val="ro-RO"/>
        </w:rPr>
        <w:t>Aria funcţională - formaţiunea teritorială care cuprinde mai multe unităţi administrativ-teritoriale de bază, în cadrul căreia se desfăşoară relaţii funcţionale de ordin social, economic, cultural şi/sau de infrastructură</w:t>
      </w:r>
      <w:r w:rsidR="00B36824">
        <w:rPr>
          <w:lang w:val="ro-RO"/>
        </w:rPr>
        <w:t>.</w:t>
      </w:r>
    </w:p>
    <w:p w:rsidR="00DB5E59" w:rsidRDefault="00DB5E59" w:rsidP="00280A8D">
      <w:pPr>
        <w:numPr>
          <w:ilvl w:val="0"/>
          <w:numId w:val="23"/>
        </w:numPr>
        <w:spacing w:after="0" w:line="240" w:lineRule="auto"/>
        <w:ind w:left="1418"/>
        <w:rPr>
          <w:rFonts w:eastAsia="Times New Roman"/>
          <w:i/>
          <w:lang w:val="ro-RO"/>
        </w:rPr>
      </w:pPr>
      <w:r w:rsidRPr="0044656B">
        <w:rPr>
          <w:rFonts w:eastAsia="Times New Roman"/>
          <w:i/>
          <w:lang w:val="ro-RO"/>
        </w:rPr>
        <w:t>Gradul în care planul influenţează alte planuri sau programe, inclusiv pe cele care se integrează sau care derivă din ele:</w:t>
      </w:r>
    </w:p>
    <w:p w:rsidR="00D570A6" w:rsidRPr="00D570A6" w:rsidRDefault="00D570A6" w:rsidP="00B36824">
      <w:pPr>
        <w:spacing w:after="0" w:line="240" w:lineRule="auto"/>
        <w:ind w:left="1418" w:right="425"/>
        <w:rPr>
          <w:rFonts w:eastAsia="Times New Roman"/>
          <w:lang w:val="ro-RO"/>
        </w:rPr>
      </w:pPr>
    </w:p>
    <w:p w:rsidR="00DB5E59" w:rsidRDefault="00C97E68" w:rsidP="00280A8D">
      <w:pPr>
        <w:spacing w:after="0" w:line="240" w:lineRule="auto"/>
        <w:ind w:left="1418"/>
        <w:rPr>
          <w:rFonts w:eastAsia="Times New Roman"/>
          <w:lang w:val="ro-RO"/>
        </w:rPr>
      </w:pPr>
      <w:r>
        <w:rPr>
          <w:rFonts w:eastAsia="Times New Roman"/>
          <w:lang w:val="ro-RO"/>
        </w:rPr>
        <w:t>”Planul de amenajare a teritoriului n</w:t>
      </w:r>
      <w:r w:rsidR="00D570A6">
        <w:rPr>
          <w:rFonts w:eastAsia="Times New Roman"/>
          <w:lang w:val="ro-RO"/>
        </w:rPr>
        <w:t>ațional</w:t>
      </w:r>
      <w:r>
        <w:rPr>
          <w:rFonts w:eastAsia="Times New Roman"/>
          <w:lang w:val="ro-RO"/>
        </w:rPr>
        <w:t>”</w:t>
      </w:r>
      <w:r w:rsidR="00D570A6">
        <w:rPr>
          <w:rFonts w:eastAsia="Times New Roman"/>
          <w:lang w:val="ro-RO"/>
        </w:rPr>
        <w:t xml:space="preserve"> are legătură directă cu</w:t>
      </w:r>
      <w:r>
        <w:rPr>
          <w:rFonts w:eastAsia="Times New Roman"/>
          <w:lang w:val="ro-RO"/>
        </w:rPr>
        <w:t xml:space="preserve"> ”Strategia de dezvoltare t</w:t>
      </w:r>
      <w:r w:rsidR="00D570A6">
        <w:rPr>
          <w:rFonts w:eastAsia="Times New Roman"/>
          <w:lang w:val="ro-RO"/>
        </w:rPr>
        <w:t>eritorială a României</w:t>
      </w:r>
      <w:r>
        <w:rPr>
          <w:rFonts w:eastAsia="Times New Roman"/>
          <w:lang w:val="ro-RO"/>
        </w:rPr>
        <w:t>”</w:t>
      </w:r>
      <w:r w:rsidR="00D570A6">
        <w:rPr>
          <w:rFonts w:eastAsia="Times New Roman"/>
          <w:lang w:val="ro-RO"/>
        </w:rPr>
        <w:t xml:space="preserve">. </w:t>
      </w:r>
      <w:r w:rsidR="00D570A6" w:rsidRPr="00C97E68">
        <w:rPr>
          <w:rFonts w:eastAsia="Times New Roman"/>
          <w:i/>
          <w:lang w:val="ro-RO"/>
        </w:rPr>
        <w:t>Strategia de dezvoltare teritorială a României</w:t>
      </w:r>
      <w:r w:rsidR="00D570A6">
        <w:rPr>
          <w:rFonts w:eastAsia="Times New Roman"/>
          <w:lang w:val="ro-RO"/>
        </w:rPr>
        <w:t xml:space="preserve"> a parcurs procedura SEA în perioada 2014 – 2016, avizul de mediu fiind în curs de redactare la această dată.</w:t>
      </w:r>
    </w:p>
    <w:p w:rsidR="00D570A6" w:rsidRDefault="00C97E68" w:rsidP="00280A8D">
      <w:pPr>
        <w:tabs>
          <w:tab w:val="left" w:pos="10348"/>
        </w:tabs>
        <w:spacing w:after="0" w:line="240" w:lineRule="auto"/>
        <w:ind w:left="1418"/>
        <w:rPr>
          <w:rFonts w:eastAsia="Times New Roman"/>
          <w:lang w:val="ro-RO"/>
        </w:rPr>
      </w:pPr>
      <w:r w:rsidRPr="00C97E68">
        <w:rPr>
          <w:rFonts w:eastAsia="Times New Roman"/>
          <w:i/>
          <w:lang w:val="ro-RO"/>
        </w:rPr>
        <w:t>Planul de amenajare a t</w:t>
      </w:r>
      <w:r w:rsidR="00D570A6" w:rsidRPr="00C97E68">
        <w:rPr>
          <w:rFonts w:eastAsia="Times New Roman"/>
          <w:i/>
          <w:lang w:val="ro-RO"/>
        </w:rPr>
        <w:t>erito</w:t>
      </w:r>
      <w:r w:rsidRPr="00C97E68">
        <w:rPr>
          <w:rFonts w:eastAsia="Times New Roman"/>
          <w:i/>
          <w:lang w:val="ro-RO"/>
        </w:rPr>
        <w:t>riului n</w:t>
      </w:r>
      <w:r w:rsidR="00D570A6" w:rsidRPr="00C97E68">
        <w:rPr>
          <w:rFonts w:eastAsia="Times New Roman"/>
          <w:i/>
          <w:lang w:val="ro-RO"/>
        </w:rPr>
        <w:t>ațional</w:t>
      </w:r>
      <w:r w:rsidR="00D570A6">
        <w:rPr>
          <w:rFonts w:eastAsia="Times New Roman"/>
          <w:lang w:val="ro-RO"/>
        </w:rPr>
        <w:t xml:space="preserve"> are 8 secțiuni, fiecare dintre acestea </w:t>
      </w:r>
      <w:r>
        <w:rPr>
          <w:rFonts w:eastAsia="Times New Roman"/>
          <w:lang w:val="ro-RO"/>
        </w:rPr>
        <w:t xml:space="preserve">derivă din SDTR și sunt </w:t>
      </w:r>
      <w:r w:rsidR="00D570A6">
        <w:rPr>
          <w:rFonts w:eastAsia="Times New Roman"/>
          <w:lang w:val="ro-RO"/>
        </w:rPr>
        <w:t xml:space="preserve">elaborate separat. </w:t>
      </w:r>
    </w:p>
    <w:p w:rsidR="00C97E68" w:rsidRPr="00D570A6" w:rsidRDefault="00C97E68" w:rsidP="00B36824">
      <w:pPr>
        <w:spacing w:after="0" w:line="240" w:lineRule="auto"/>
        <w:ind w:left="1418" w:right="425"/>
        <w:rPr>
          <w:rFonts w:eastAsia="Times New Roman"/>
          <w:lang w:val="ro-RO"/>
        </w:rPr>
      </w:pPr>
    </w:p>
    <w:p w:rsidR="00DB5E59" w:rsidRDefault="00DB5E59" w:rsidP="00280A8D">
      <w:pPr>
        <w:numPr>
          <w:ilvl w:val="0"/>
          <w:numId w:val="23"/>
        </w:numPr>
        <w:spacing w:after="0" w:line="240" w:lineRule="auto"/>
        <w:ind w:left="1418" w:hanging="284"/>
        <w:rPr>
          <w:rFonts w:eastAsia="Times New Roman"/>
          <w:i/>
          <w:lang w:val="ro-RO"/>
        </w:rPr>
      </w:pPr>
      <w:r w:rsidRPr="0044656B">
        <w:rPr>
          <w:rFonts w:eastAsia="Times New Roman"/>
          <w:i/>
          <w:lang w:val="ro-RO"/>
        </w:rPr>
        <w:t>Relevanţa planului în/ pentru integrarea consideraţiilor de mediu, mai ales din perspectiva dezvoltării durabile:</w:t>
      </w:r>
    </w:p>
    <w:p w:rsidR="00DB5E59" w:rsidRDefault="00C97E68" w:rsidP="00280A8D">
      <w:pPr>
        <w:pStyle w:val="ListParagraph"/>
        <w:spacing w:line="240" w:lineRule="auto"/>
        <w:ind w:left="1418" w:hanging="284"/>
        <w:rPr>
          <w:rFonts w:eastAsia="Times New Roman"/>
          <w:lang w:val="ro-RO"/>
        </w:rPr>
      </w:pPr>
      <w:r>
        <w:rPr>
          <w:rFonts w:eastAsia="Times New Roman"/>
          <w:lang w:val="ro-RO"/>
        </w:rPr>
        <w:t xml:space="preserve">  ”</w:t>
      </w:r>
      <w:r w:rsidRPr="00C97E68">
        <w:rPr>
          <w:rFonts w:eastAsia="Times New Roman"/>
          <w:i/>
          <w:lang w:val="ro-RO"/>
        </w:rPr>
        <w:t>Planul</w:t>
      </w:r>
      <w:r w:rsidRPr="00C97E68">
        <w:rPr>
          <w:i/>
        </w:rPr>
        <w:t xml:space="preserve"> </w:t>
      </w:r>
      <w:r w:rsidRPr="00C97E68">
        <w:rPr>
          <w:rFonts w:eastAsia="Times New Roman"/>
          <w:i/>
          <w:lang w:val="ro-RO"/>
        </w:rPr>
        <w:t>de Amenajare a Teritoriului Național – Secțiunea IV – Rețeaua de localități</w:t>
      </w:r>
      <w:r>
        <w:rPr>
          <w:rFonts w:eastAsia="Times New Roman"/>
          <w:lang w:val="ro-RO"/>
        </w:rPr>
        <w:t xml:space="preserve">” nu este relevant pentru integrarea considerațiilor de mediu. Acest plan </w:t>
      </w:r>
      <w:r w:rsidRPr="00C97E68">
        <w:rPr>
          <w:rFonts w:eastAsia="Times New Roman"/>
          <w:lang w:val="ro-RO"/>
        </w:rPr>
        <w:t>creează cadrul legal pentru politici investiționale</w:t>
      </w:r>
      <w:r>
        <w:rPr>
          <w:rFonts w:eastAsia="Times New Roman"/>
          <w:lang w:val="ro-RO"/>
        </w:rPr>
        <w:t>.</w:t>
      </w:r>
    </w:p>
    <w:p w:rsidR="00C97E68" w:rsidRPr="00C97E68" w:rsidRDefault="00C97E68" w:rsidP="00B36824">
      <w:pPr>
        <w:pStyle w:val="ListParagraph"/>
        <w:spacing w:line="240" w:lineRule="auto"/>
        <w:ind w:left="1418" w:right="425" w:hanging="284"/>
        <w:rPr>
          <w:rFonts w:eastAsia="Times New Roman"/>
          <w:lang w:val="ro-RO"/>
        </w:rPr>
      </w:pPr>
    </w:p>
    <w:p w:rsidR="00C97E68" w:rsidRDefault="00DB5E59" w:rsidP="00B36824">
      <w:pPr>
        <w:pStyle w:val="ListParagraph"/>
        <w:numPr>
          <w:ilvl w:val="0"/>
          <w:numId w:val="23"/>
        </w:numPr>
        <w:spacing w:after="0" w:line="240" w:lineRule="auto"/>
        <w:ind w:right="425" w:firstLine="54"/>
        <w:rPr>
          <w:rFonts w:eastAsia="Times New Roman"/>
          <w:i/>
          <w:lang w:val="ro-RO"/>
        </w:rPr>
      </w:pPr>
      <w:r w:rsidRPr="00DB5E59">
        <w:rPr>
          <w:rFonts w:eastAsia="Times New Roman"/>
          <w:i/>
          <w:lang w:val="ro-RO"/>
        </w:rPr>
        <w:t xml:space="preserve">Problemele de mediu relevante pentru plan: </w:t>
      </w:r>
    </w:p>
    <w:p w:rsidR="00C97E68" w:rsidRDefault="00C97E68" w:rsidP="00280A8D">
      <w:pPr>
        <w:pStyle w:val="ListParagraph"/>
        <w:spacing w:after="0" w:line="240" w:lineRule="auto"/>
        <w:ind w:left="1418"/>
        <w:rPr>
          <w:rFonts w:eastAsia="Times New Roman"/>
          <w:i/>
          <w:lang w:val="ro-RO"/>
        </w:rPr>
      </w:pPr>
      <w:r w:rsidRPr="00C97E68">
        <w:rPr>
          <w:rFonts w:eastAsia="Times New Roman"/>
          <w:lang w:val="ro-RO"/>
        </w:rPr>
        <w:t xml:space="preserve">Acest plan nu creează </w:t>
      </w:r>
      <w:r>
        <w:rPr>
          <w:rFonts w:eastAsia="Times New Roman"/>
          <w:lang w:val="ro-RO"/>
        </w:rPr>
        <w:t>un cadru</w:t>
      </w:r>
      <w:r w:rsidRPr="00C97E68">
        <w:rPr>
          <w:rFonts w:eastAsia="Times New Roman"/>
          <w:lang w:val="ro-RO"/>
        </w:rPr>
        <w:t xml:space="preserve"> pentru implementarea unor proiecte care pot fi încadrate în anexa 2 la HG nr. 445/2009</w:t>
      </w:r>
      <w:r w:rsidRPr="00C97E68">
        <w:rPr>
          <w:rFonts w:eastAsia="Times New Roman"/>
          <w:i/>
          <w:lang w:val="ro-RO"/>
        </w:rPr>
        <w:t xml:space="preserve"> privind evaluarea impactului anumitor proiecte publice şi private asupra mediului</w:t>
      </w:r>
      <w:r>
        <w:rPr>
          <w:rFonts w:eastAsia="Times New Roman"/>
          <w:i/>
          <w:lang w:val="ro-RO"/>
        </w:rPr>
        <w:t>.</w:t>
      </w:r>
      <w:r w:rsidR="00DB5E59" w:rsidRPr="00DB5E59">
        <w:rPr>
          <w:rFonts w:eastAsia="Times New Roman"/>
          <w:i/>
          <w:lang w:val="ro-RO"/>
        </w:rPr>
        <w:t xml:space="preserve">    </w:t>
      </w:r>
    </w:p>
    <w:p w:rsidR="002931E9" w:rsidRDefault="00DB5E59" w:rsidP="00B36824">
      <w:pPr>
        <w:pStyle w:val="ListParagraph"/>
        <w:spacing w:after="0" w:line="240" w:lineRule="auto"/>
        <w:ind w:left="1418" w:right="425"/>
        <w:rPr>
          <w:rFonts w:eastAsia="Times New Roman"/>
          <w:i/>
          <w:lang w:val="ro-RO"/>
        </w:rPr>
      </w:pPr>
      <w:r w:rsidRPr="00DB5E59">
        <w:rPr>
          <w:rFonts w:eastAsia="Times New Roman"/>
          <w:i/>
          <w:lang w:val="ro-RO"/>
        </w:rPr>
        <w:t xml:space="preserve">                 </w:t>
      </w:r>
    </w:p>
    <w:p w:rsidR="00DB5E59" w:rsidRPr="00DB5E59" w:rsidRDefault="00DB5E59" w:rsidP="00B36824">
      <w:pPr>
        <w:pStyle w:val="ListParagraph"/>
        <w:spacing w:after="0" w:line="240" w:lineRule="auto"/>
        <w:ind w:left="1418" w:right="425"/>
        <w:rPr>
          <w:rFonts w:eastAsia="Times New Roman"/>
          <w:i/>
          <w:lang w:val="ro-RO"/>
        </w:rPr>
      </w:pPr>
      <w:bookmarkStart w:id="0" w:name="_GoBack"/>
      <w:bookmarkEnd w:id="0"/>
      <w:r w:rsidRPr="00DB5E59">
        <w:rPr>
          <w:rFonts w:eastAsia="Times New Roman"/>
          <w:i/>
          <w:lang w:val="ro-RO"/>
        </w:rPr>
        <w:t xml:space="preserve">                                                    </w:t>
      </w:r>
    </w:p>
    <w:p w:rsidR="00DB5E59" w:rsidRPr="00C97E68" w:rsidRDefault="00DB5E59" w:rsidP="00280A8D">
      <w:pPr>
        <w:pStyle w:val="ListParagraph"/>
        <w:numPr>
          <w:ilvl w:val="0"/>
          <w:numId w:val="23"/>
        </w:numPr>
        <w:tabs>
          <w:tab w:val="clear" w:pos="1080"/>
          <w:tab w:val="left" w:pos="10348"/>
        </w:tabs>
        <w:spacing w:after="0" w:line="240" w:lineRule="auto"/>
        <w:ind w:left="1418"/>
        <w:rPr>
          <w:rFonts w:eastAsia="Times New Roman"/>
          <w:i/>
          <w:lang w:val="ro-RO"/>
        </w:rPr>
      </w:pPr>
      <w:r w:rsidRPr="00C97E68">
        <w:rPr>
          <w:rFonts w:eastAsia="Times New Roman"/>
          <w:i/>
          <w:lang w:val="ro-RO"/>
        </w:rPr>
        <w:lastRenderedPageBreak/>
        <w:t xml:space="preserve">Relevanţa planului pentru implementarea legislaţiei naţionale şi comunitare de mediu:   </w:t>
      </w:r>
    </w:p>
    <w:p w:rsidR="00C97E68" w:rsidRPr="00C97E68" w:rsidRDefault="00C97E68" w:rsidP="00280A8D">
      <w:pPr>
        <w:pStyle w:val="ListParagraph"/>
        <w:spacing w:after="0" w:line="240" w:lineRule="auto"/>
        <w:ind w:left="1418"/>
        <w:rPr>
          <w:rFonts w:eastAsia="Times New Roman"/>
          <w:lang w:val="ro-RO"/>
        </w:rPr>
      </w:pPr>
      <w:r w:rsidRPr="00C97E68">
        <w:rPr>
          <w:rFonts w:eastAsia="Times New Roman"/>
          <w:lang w:val="ro-RO"/>
        </w:rPr>
        <w:t>Acest plan nu este relevant pentru implementarea legislației naționale și comunitare de mediu.</w:t>
      </w:r>
    </w:p>
    <w:p w:rsidR="00DB5E59" w:rsidRDefault="00DB5E59" w:rsidP="00DB5E59">
      <w:pPr>
        <w:spacing w:after="0" w:line="240" w:lineRule="auto"/>
        <w:ind w:left="1418"/>
        <w:rPr>
          <w:rFonts w:eastAsia="Times New Roman"/>
          <w:i/>
          <w:lang w:val="ro-RO"/>
        </w:rPr>
      </w:pPr>
    </w:p>
    <w:p w:rsidR="00D570A6" w:rsidRPr="0044656B" w:rsidRDefault="00D570A6" w:rsidP="00B36824">
      <w:pPr>
        <w:spacing w:after="0" w:line="240" w:lineRule="auto"/>
        <w:ind w:left="273" w:right="425" w:firstLine="720"/>
        <w:rPr>
          <w:rFonts w:eastAsia="Times New Roman"/>
          <w:i/>
          <w:lang w:val="ro-RO"/>
        </w:rPr>
      </w:pPr>
      <w:r>
        <w:rPr>
          <w:rFonts w:eastAsia="Times New Roman"/>
          <w:i/>
          <w:u w:val="single"/>
          <w:lang w:val="ro-RO"/>
        </w:rPr>
        <w:t>2.</w:t>
      </w:r>
      <w:r w:rsidRPr="0044656B">
        <w:rPr>
          <w:rFonts w:eastAsia="Times New Roman"/>
          <w:i/>
          <w:u w:val="single"/>
          <w:lang w:val="ro-RO"/>
        </w:rPr>
        <w:t>Caracteristicile efectelor şi ale zonei posibil a fi afectate cu privire, în special, la</w:t>
      </w:r>
      <w:r w:rsidRPr="0044656B">
        <w:rPr>
          <w:rFonts w:eastAsia="Times New Roman"/>
          <w:i/>
          <w:lang w:val="ro-RO"/>
        </w:rPr>
        <w:t>:</w:t>
      </w:r>
    </w:p>
    <w:p w:rsidR="00B36824" w:rsidRDefault="00D570A6" w:rsidP="00B36824">
      <w:pPr>
        <w:numPr>
          <w:ilvl w:val="1"/>
          <w:numId w:val="25"/>
        </w:numPr>
        <w:spacing w:after="0" w:line="240" w:lineRule="auto"/>
        <w:ind w:left="1418" w:right="425" w:firstLine="0"/>
        <w:rPr>
          <w:rFonts w:eastAsia="Times New Roman"/>
          <w:lang w:val="ro-RO"/>
        </w:rPr>
      </w:pPr>
      <w:r w:rsidRPr="0044656B">
        <w:rPr>
          <w:rFonts w:eastAsia="Times New Roman"/>
          <w:i/>
          <w:lang w:val="ro-RO"/>
        </w:rPr>
        <w:t>Probabilitatea, durata, frecvenţ</w:t>
      </w:r>
      <w:r w:rsidR="00C97E68">
        <w:rPr>
          <w:rFonts w:eastAsia="Times New Roman"/>
          <w:i/>
          <w:lang w:val="ro-RO"/>
        </w:rPr>
        <w:t>a şi reversibilitatea efectelor:</w:t>
      </w:r>
      <w:r w:rsidR="00C97E68">
        <w:rPr>
          <w:rFonts w:eastAsia="Times New Roman"/>
          <w:lang w:val="ro-RO"/>
        </w:rPr>
        <w:t xml:space="preserve"> </w:t>
      </w:r>
    </w:p>
    <w:p w:rsidR="00D570A6" w:rsidRDefault="00B36824" w:rsidP="00B36824">
      <w:pPr>
        <w:spacing w:after="0" w:line="240" w:lineRule="auto"/>
        <w:ind w:left="1418" w:right="425"/>
        <w:rPr>
          <w:rFonts w:eastAsia="Times New Roman"/>
          <w:lang w:val="ro-RO"/>
        </w:rPr>
      </w:pPr>
      <w:r>
        <w:rPr>
          <w:rFonts w:eastAsia="Times New Roman"/>
          <w:lang w:val="ro-RO"/>
        </w:rPr>
        <w:t>I</w:t>
      </w:r>
      <w:r w:rsidR="00C97E68">
        <w:rPr>
          <w:rFonts w:eastAsia="Times New Roman"/>
          <w:lang w:val="ro-RO"/>
        </w:rPr>
        <w:t xml:space="preserve">mplementarea acestui plan </w:t>
      </w:r>
      <w:r w:rsidR="00C97E68" w:rsidRPr="00C97E68">
        <w:rPr>
          <w:rFonts w:eastAsia="Times New Roman"/>
          <w:lang w:val="ro-RO"/>
        </w:rPr>
        <w:t>nu generează efecte negative asupra mediului</w:t>
      </w:r>
      <w:r w:rsidR="00C97E68">
        <w:rPr>
          <w:rFonts w:eastAsia="Times New Roman"/>
          <w:lang w:val="ro-RO"/>
        </w:rPr>
        <w:t>.</w:t>
      </w:r>
    </w:p>
    <w:p w:rsidR="00B36824" w:rsidRDefault="00B36824" w:rsidP="00B36824">
      <w:pPr>
        <w:spacing w:after="0" w:line="240" w:lineRule="auto"/>
        <w:ind w:left="1418" w:right="425"/>
        <w:rPr>
          <w:rFonts w:eastAsia="Times New Roman"/>
          <w:lang w:val="ro-RO"/>
        </w:rPr>
      </w:pPr>
    </w:p>
    <w:p w:rsidR="00D570A6" w:rsidRDefault="00D570A6" w:rsidP="00B36824">
      <w:pPr>
        <w:numPr>
          <w:ilvl w:val="1"/>
          <w:numId w:val="25"/>
        </w:numPr>
        <w:spacing w:after="0" w:line="240" w:lineRule="auto"/>
        <w:ind w:left="1418" w:right="425" w:firstLine="0"/>
        <w:rPr>
          <w:rFonts w:eastAsia="Times New Roman"/>
          <w:lang w:val="ro-RO"/>
        </w:rPr>
      </w:pPr>
      <w:r w:rsidRPr="0044656B">
        <w:rPr>
          <w:rFonts w:eastAsia="Times New Roman"/>
          <w:i/>
          <w:lang w:val="ro-RO"/>
        </w:rPr>
        <w:t>Natura cumulativă a efectelor</w:t>
      </w:r>
      <w:r w:rsidR="00C97E68">
        <w:rPr>
          <w:rFonts w:eastAsia="Times New Roman"/>
          <w:i/>
          <w:lang w:val="ro-RO"/>
        </w:rPr>
        <w:t xml:space="preserve">: </w:t>
      </w:r>
      <w:r w:rsidR="00C97E68">
        <w:rPr>
          <w:rFonts w:eastAsia="Times New Roman"/>
          <w:lang w:val="ro-RO"/>
        </w:rPr>
        <w:t>nu este cazul.</w:t>
      </w:r>
    </w:p>
    <w:p w:rsidR="00B36824" w:rsidRPr="009E1FC6" w:rsidRDefault="00B36824" w:rsidP="00B36824">
      <w:pPr>
        <w:spacing w:after="0" w:line="240" w:lineRule="auto"/>
        <w:ind w:left="1418" w:right="425"/>
        <w:rPr>
          <w:rFonts w:eastAsia="Times New Roman"/>
          <w:lang w:val="ro-RO"/>
        </w:rPr>
      </w:pPr>
    </w:p>
    <w:p w:rsidR="00B36824" w:rsidRPr="00B36824" w:rsidRDefault="00D570A6" w:rsidP="00B36824">
      <w:pPr>
        <w:numPr>
          <w:ilvl w:val="1"/>
          <w:numId w:val="25"/>
        </w:numPr>
        <w:spacing w:after="0" w:line="240" w:lineRule="auto"/>
        <w:ind w:left="1418" w:right="425" w:firstLine="0"/>
        <w:rPr>
          <w:rFonts w:eastAsia="Times New Roman"/>
          <w:lang w:val="ro-RO"/>
        </w:rPr>
      </w:pPr>
      <w:r w:rsidRPr="0044656B">
        <w:rPr>
          <w:rFonts w:eastAsia="Times New Roman"/>
          <w:i/>
          <w:lang w:val="ro-RO"/>
        </w:rPr>
        <w:t xml:space="preserve">Natura </w:t>
      </w:r>
      <w:proofErr w:type="spellStart"/>
      <w:r w:rsidRPr="0044656B">
        <w:rPr>
          <w:rFonts w:eastAsia="Times New Roman"/>
          <w:i/>
          <w:lang w:val="ro-RO"/>
        </w:rPr>
        <w:t>transfrontieră</w:t>
      </w:r>
      <w:proofErr w:type="spellEnd"/>
      <w:r w:rsidRPr="0044656B">
        <w:rPr>
          <w:rFonts w:eastAsia="Times New Roman"/>
          <w:i/>
          <w:lang w:val="ro-RO"/>
        </w:rPr>
        <w:t xml:space="preserve"> a efectelor</w:t>
      </w:r>
      <w:r w:rsidR="00C97E68">
        <w:rPr>
          <w:rFonts w:eastAsia="Times New Roman"/>
          <w:i/>
          <w:lang w:val="ro-RO"/>
        </w:rPr>
        <w:t xml:space="preserve">: </w:t>
      </w:r>
    </w:p>
    <w:p w:rsidR="00D570A6" w:rsidRDefault="00B36824" w:rsidP="00B36824">
      <w:pPr>
        <w:spacing w:after="0" w:line="240" w:lineRule="auto"/>
        <w:ind w:left="698" w:right="425" w:firstLine="720"/>
        <w:rPr>
          <w:rFonts w:eastAsia="Times New Roman"/>
          <w:lang w:val="ro-RO"/>
        </w:rPr>
      </w:pPr>
      <w:r>
        <w:rPr>
          <w:rFonts w:eastAsia="Times New Roman"/>
          <w:lang w:val="ro-RO"/>
        </w:rPr>
        <w:t>I</w:t>
      </w:r>
      <w:r w:rsidR="00C97E68" w:rsidRPr="00C97E68">
        <w:rPr>
          <w:rFonts w:eastAsia="Times New Roman"/>
          <w:lang w:val="ro-RO"/>
        </w:rPr>
        <w:t xml:space="preserve">mplementarea acestui plan nu generează efecte negative </w:t>
      </w:r>
      <w:proofErr w:type="spellStart"/>
      <w:r w:rsidR="00C97E68" w:rsidRPr="00C97E68">
        <w:rPr>
          <w:rFonts w:eastAsia="Times New Roman"/>
          <w:lang w:val="ro-RO"/>
        </w:rPr>
        <w:t>transfrontieră</w:t>
      </w:r>
      <w:proofErr w:type="spellEnd"/>
      <w:r w:rsidR="00C97E68">
        <w:rPr>
          <w:rFonts w:eastAsia="Times New Roman"/>
          <w:lang w:val="ro-RO"/>
        </w:rPr>
        <w:t>.</w:t>
      </w:r>
    </w:p>
    <w:p w:rsidR="00B36824" w:rsidRPr="00C97E68" w:rsidRDefault="00B36824" w:rsidP="00B36824">
      <w:pPr>
        <w:spacing w:after="0" w:line="240" w:lineRule="auto"/>
        <w:ind w:left="698" w:right="425" w:firstLine="720"/>
        <w:rPr>
          <w:rFonts w:eastAsia="Times New Roman"/>
          <w:lang w:val="ro-RO"/>
        </w:rPr>
      </w:pPr>
    </w:p>
    <w:p w:rsidR="00B36824" w:rsidRPr="00B36824" w:rsidRDefault="00D570A6" w:rsidP="00B36824">
      <w:pPr>
        <w:numPr>
          <w:ilvl w:val="1"/>
          <w:numId w:val="25"/>
        </w:numPr>
        <w:spacing w:after="0" w:line="240" w:lineRule="auto"/>
        <w:ind w:left="1418" w:right="425" w:firstLine="0"/>
        <w:rPr>
          <w:rFonts w:eastAsia="Times New Roman"/>
          <w:lang w:val="ro-RO"/>
        </w:rPr>
      </w:pPr>
      <w:r>
        <w:rPr>
          <w:rFonts w:eastAsia="Times New Roman"/>
          <w:i/>
          <w:lang w:val="ro-RO"/>
        </w:rPr>
        <w:t>Riscul pentru sănă</w:t>
      </w:r>
      <w:r w:rsidRPr="0044656B">
        <w:rPr>
          <w:rFonts w:eastAsia="Times New Roman"/>
          <w:i/>
          <w:lang w:val="ro-RO"/>
        </w:rPr>
        <w:t>tatea umană sau pentru mediu</w:t>
      </w:r>
      <w:r w:rsidR="00C97E68">
        <w:rPr>
          <w:rFonts w:eastAsia="Times New Roman"/>
          <w:i/>
          <w:lang w:val="ro-RO"/>
        </w:rPr>
        <w:t xml:space="preserve">: </w:t>
      </w:r>
    </w:p>
    <w:p w:rsidR="00D570A6" w:rsidRDefault="00B36824" w:rsidP="00280A8D">
      <w:pPr>
        <w:spacing w:after="0" w:line="240" w:lineRule="auto"/>
        <w:ind w:left="1418"/>
        <w:rPr>
          <w:rFonts w:eastAsia="Times New Roman"/>
          <w:lang w:val="ro-RO"/>
        </w:rPr>
      </w:pPr>
      <w:r>
        <w:rPr>
          <w:rFonts w:eastAsia="Times New Roman"/>
          <w:lang w:val="ro-RO"/>
        </w:rPr>
        <w:t>I</w:t>
      </w:r>
      <w:r w:rsidR="00C97E68" w:rsidRPr="00B36824">
        <w:rPr>
          <w:rFonts w:eastAsia="Times New Roman"/>
          <w:lang w:val="ro-RO"/>
        </w:rPr>
        <w:t xml:space="preserve">mplementarea acestui plan nu va avea efecte asupra sănătății umane sau </w:t>
      </w:r>
      <w:r w:rsidRPr="00B36824">
        <w:rPr>
          <w:rFonts w:eastAsia="Times New Roman"/>
          <w:lang w:val="ro-RO"/>
        </w:rPr>
        <w:t>asupra componentelor de mediu</w:t>
      </w:r>
      <w:r>
        <w:rPr>
          <w:rFonts w:eastAsia="Times New Roman"/>
          <w:lang w:val="ro-RO"/>
        </w:rPr>
        <w:t>.</w:t>
      </w:r>
      <w:r w:rsidR="00D570A6" w:rsidRPr="00B36824">
        <w:rPr>
          <w:rFonts w:eastAsia="Times New Roman"/>
          <w:lang w:val="ro-RO"/>
        </w:rPr>
        <w:t xml:space="preserve"> </w:t>
      </w:r>
    </w:p>
    <w:p w:rsidR="00B36824" w:rsidRPr="00B36824" w:rsidRDefault="00B36824" w:rsidP="00B36824">
      <w:pPr>
        <w:spacing w:after="0" w:line="240" w:lineRule="auto"/>
        <w:ind w:left="1418" w:right="425"/>
        <w:rPr>
          <w:rFonts w:eastAsia="Times New Roman"/>
          <w:lang w:val="ro-RO"/>
        </w:rPr>
      </w:pPr>
    </w:p>
    <w:p w:rsidR="00D570A6" w:rsidRPr="00B36824" w:rsidRDefault="00D570A6" w:rsidP="00B36824">
      <w:pPr>
        <w:numPr>
          <w:ilvl w:val="1"/>
          <w:numId w:val="25"/>
        </w:numPr>
        <w:spacing w:after="0" w:line="240" w:lineRule="auto"/>
        <w:ind w:left="1418" w:right="425" w:firstLine="0"/>
        <w:rPr>
          <w:rFonts w:eastAsia="Times New Roman"/>
          <w:lang w:val="ro-RO"/>
        </w:rPr>
      </w:pPr>
      <w:r w:rsidRPr="0044656B">
        <w:rPr>
          <w:rFonts w:eastAsia="Times New Roman"/>
          <w:i/>
          <w:lang w:val="ro-RO"/>
        </w:rPr>
        <w:t>Mărimea şi spaţialitatea efectelor</w:t>
      </w:r>
      <w:r w:rsidR="00B36824">
        <w:rPr>
          <w:rFonts w:eastAsia="Times New Roman"/>
          <w:i/>
          <w:lang w:val="ro-RO"/>
        </w:rPr>
        <w:t>: nu este cazul.</w:t>
      </w:r>
    </w:p>
    <w:p w:rsidR="00B36824" w:rsidRPr="009E1FC6" w:rsidRDefault="00B36824" w:rsidP="00B36824">
      <w:pPr>
        <w:spacing w:after="0" w:line="240" w:lineRule="auto"/>
        <w:ind w:left="1418" w:right="425"/>
        <w:rPr>
          <w:rFonts w:eastAsia="Times New Roman"/>
          <w:lang w:val="ro-RO"/>
        </w:rPr>
      </w:pPr>
    </w:p>
    <w:p w:rsidR="00D570A6" w:rsidRPr="00B36824" w:rsidRDefault="00D570A6" w:rsidP="00280A8D">
      <w:pPr>
        <w:numPr>
          <w:ilvl w:val="1"/>
          <w:numId w:val="25"/>
        </w:numPr>
        <w:spacing w:after="0" w:line="240" w:lineRule="auto"/>
        <w:ind w:left="1418" w:firstLine="0"/>
        <w:rPr>
          <w:rFonts w:eastAsia="Times New Roman"/>
          <w:lang w:val="ro-RO"/>
        </w:rPr>
      </w:pPr>
      <w:r w:rsidRPr="0044656B">
        <w:rPr>
          <w:rFonts w:eastAsia="Times New Roman"/>
          <w:i/>
          <w:lang w:val="ro-RO"/>
        </w:rPr>
        <w:t>Efectele asupra zonelor sau peisajelor care au statut de protejare recunoscut pe plan naţional, comunitar sau internaţional</w:t>
      </w:r>
      <w:r>
        <w:rPr>
          <w:rFonts w:eastAsia="Times New Roman"/>
          <w:i/>
          <w:lang w:val="ro-RO"/>
        </w:rPr>
        <w:t>.</w:t>
      </w:r>
    </w:p>
    <w:p w:rsidR="00B36824" w:rsidRPr="009E1FC6" w:rsidRDefault="00B36824" w:rsidP="00280A8D">
      <w:pPr>
        <w:spacing w:after="0" w:line="240" w:lineRule="auto"/>
        <w:ind w:left="1418"/>
        <w:rPr>
          <w:rFonts w:eastAsia="Times New Roman"/>
          <w:lang w:val="ro-RO"/>
        </w:rPr>
      </w:pPr>
      <w:r w:rsidRPr="00B36824">
        <w:rPr>
          <w:rFonts w:eastAsia="Times New Roman"/>
          <w:lang w:val="ro-RO"/>
        </w:rPr>
        <w:t>Implementarea acestui plan nu generează efecte negative asupra</w:t>
      </w:r>
      <w:r>
        <w:rPr>
          <w:rFonts w:eastAsia="Times New Roman"/>
          <w:lang w:val="ro-RO"/>
        </w:rPr>
        <w:t xml:space="preserve"> zonelor sau peisajelor care au statut de protejare recunoscut pe plan </w:t>
      </w:r>
      <w:r w:rsidRPr="00B36824">
        <w:rPr>
          <w:rFonts w:eastAsia="Times New Roman"/>
          <w:lang w:val="ro-RO"/>
        </w:rPr>
        <w:t>naţional, comunitar sau internaţional.</w:t>
      </w:r>
    </w:p>
    <w:p w:rsidR="00D570A6" w:rsidRDefault="00D570A6" w:rsidP="00B36824">
      <w:pPr>
        <w:spacing w:after="0" w:line="240" w:lineRule="auto"/>
        <w:ind w:left="1418" w:right="425"/>
        <w:rPr>
          <w:rFonts w:eastAsia="Times New Roman"/>
          <w:i/>
          <w:lang w:val="ro-RO"/>
        </w:rPr>
      </w:pPr>
    </w:p>
    <w:p w:rsidR="00B36824" w:rsidRDefault="00B36824" w:rsidP="00280A8D">
      <w:pPr>
        <w:spacing w:line="240" w:lineRule="auto"/>
        <w:ind w:left="1134"/>
        <w:rPr>
          <w:rFonts w:eastAsia="Times New Roman"/>
          <w:i/>
          <w:lang w:val="ro-RO"/>
        </w:rPr>
      </w:pPr>
      <w:r w:rsidRPr="0044656B">
        <w:rPr>
          <w:rFonts w:eastAsia="Times New Roman"/>
          <w:i/>
          <w:lang w:val="ro-RO"/>
        </w:rPr>
        <w:t>Prezenta decizie poate fi contestată în conformitate cu prevederile Legii contenciosului administrativ nr. 554/2004, cu modificările şi completările ulterioare.</w:t>
      </w:r>
    </w:p>
    <w:p w:rsidR="00B36824" w:rsidRPr="00B36824" w:rsidRDefault="00B36824" w:rsidP="00280A8D">
      <w:pPr>
        <w:spacing w:line="240" w:lineRule="auto"/>
        <w:ind w:left="1134"/>
        <w:rPr>
          <w:rFonts w:eastAsia="Times New Roman"/>
          <w:i/>
          <w:lang w:val="ro-RO"/>
        </w:rPr>
      </w:pPr>
      <w:r w:rsidRPr="00AB4123">
        <w:rPr>
          <w:rFonts w:eastAsia="Times New Roman"/>
          <w:i/>
          <w:lang w:val="ro-RO"/>
        </w:rPr>
        <w:t>Publicul interesat poate formula observații/comentarii la prezenta decizie în termen de 10 zile de la data afișării.</w:t>
      </w:r>
    </w:p>
    <w:p w:rsidR="00B36824" w:rsidRDefault="00B36824" w:rsidP="00B36824">
      <w:pPr>
        <w:spacing w:line="240" w:lineRule="auto"/>
        <w:ind w:left="1418"/>
        <w:jc w:val="center"/>
        <w:rPr>
          <w:lang w:val="ro-RO"/>
        </w:rPr>
      </w:pPr>
    </w:p>
    <w:p w:rsidR="002931E9" w:rsidRPr="002931E9" w:rsidRDefault="002931E9" w:rsidP="002931E9">
      <w:pPr>
        <w:spacing w:line="240" w:lineRule="auto"/>
        <w:ind w:left="1418"/>
        <w:jc w:val="center"/>
        <w:rPr>
          <w:lang w:val="ro-RO"/>
        </w:rPr>
      </w:pPr>
      <w:r w:rsidRPr="002931E9">
        <w:rPr>
          <w:lang w:val="ro-RO"/>
        </w:rPr>
        <w:t>Secretar de Stat</w:t>
      </w:r>
    </w:p>
    <w:p w:rsidR="00B36824" w:rsidRDefault="002931E9" w:rsidP="002931E9">
      <w:pPr>
        <w:spacing w:line="240" w:lineRule="auto"/>
        <w:ind w:left="1418"/>
        <w:jc w:val="center"/>
        <w:rPr>
          <w:lang w:val="ro-RO"/>
        </w:rPr>
      </w:pPr>
      <w:r w:rsidRPr="002931E9">
        <w:rPr>
          <w:lang w:val="ro-RO"/>
        </w:rPr>
        <w:t xml:space="preserve">                                                                                                                                      </w:t>
      </w:r>
    </w:p>
    <w:p w:rsidR="002931E9" w:rsidRDefault="002931E9" w:rsidP="00B36824">
      <w:pPr>
        <w:spacing w:line="240" w:lineRule="auto"/>
        <w:ind w:left="1418"/>
        <w:jc w:val="center"/>
        <w:rPr>
          <w:lang w:val="ro-RO"/>
        </w:rPr>
      </w:pPr>
    </w:p>
    <w:p w:rsidR="00B36824" w:rsidRDefault="00B36824" w:rsidP="00B36824">
      <w:pPr>
        <w:ind w:left="0"/>
        <w:jc w:val="left"/>
        <w:rPr>
          <w:lang w:val="ro-RO"/>
        </w:rPr>
      </w:pPr>
    </w:p>
    <w:p w:rsidR="00B36824" w:rsidRPr="00BF0D29" w:rsidRDefault="00B36824" w:rsidP="00B36824">
      <w:pPr>
        <w:ind w:left="698" w:firstLine="720"/>
        <w:jc w:val="left"/>
        <w:rPr>
          <w:lang w:val="ro-RO"/>
        </w:rPr>
      </w:pPr>
      <w:r w:rsidRPr="00BF0D29">
        <w:rPr>
          <w:lang w:val="ro-RO"/>
        </w:rPr>
        <w:t>Avizat,</w:t>
      </w:r>
    </w:p>
    <w:p w:rsidR="002931E9" w:rsidRDefault="002931E9" w:rsidP="00B36824">
      <w:pPr>
        <w:ind w:left="698" w:firstLine="720"/>
        <w:jc w:val="left"/>
        <w:rPr>
          <w:lang w:val="ro-RO"/>
        </w:rPr>
      </w:pPr>
      <w:r w:rsidRPr="002931E9">
        <w:rPr>
          <w:lang w:val="ro-RO"/>
        </w:rPr>
        <w:t>Direcția Generală Evaluare Impact și Controlul Poluării</w:t>
      </w:r>
      <w:r>
        <w:rPr>
          <w:lang w:val="ro-RO"/>
        </w:rPr>
        <w:t xml:space="preserve">, </w:t>
      </w:r>
      <w:r w:rsidRPr="002931E9">
        <w:rPr>
          <w:lang w:val="ro-RO"/>
        </w:rPr>
        <w:t>Director General</w:t>
      </w:r>
    </w:p>
    <w:p w:rsidR="002931E9" w:rsidRDefault="002931E9" w:rsidP="00B36824">
      <w:pPr>
        <w:ind w:left="698" w:firstLine="720"/>
        <w:jc w:val="left"/>
        <w:rPr>
          <w:lang w:val="ro-RO"/>
        </w:rPr>
      </w:pPr>
      <w:r w:rsidRPr="002931E9">
        <w:rPr>
          <w:lang w:val="ro-RO"/>
        </w:rPr>
        <w:t>Dorina MOCANU</w:t>
      </w:r>
    </w:p>
    <w:p w:rsidR="002931E9" w:rsidRDefault="002931E9" w:rsidP="00B36824">
      <w:pPr>
        <w:ind w:left="698" w:firstLine="720"/>
        <w:jc w:val="left"/>
        <w:rPr>
          <w:lang w:val="ro-RO"/>
        </w:rPr>
      </w:pPr>
    </w:p>
    <w:p w:rsidR="00B36824" w:rsidRPr="00BF0D29" w:rsidRDefault="00B36824" w:rsidP="00B36824">
      <w:pPr>
        <w:ind w:left="698" w:firstLine="720"/>
        <w:jc w:val="left"/>
        <w:rPr>
          <w:lang w:val="ro-RO"/>
        </w:rPr>
      </w:pPr>
      <w:r w:rsidRPr="00BF0D29">
        <w:rPr>
          <w:lang w:val="ro-RO"/>
        </w:rPr>
        <w:t>Director General Adjunct, Sanda PETRIȘOR</w:t>
      </w:r>
    </w:p>
    <w:p w:rsidR="00B36824" w:rsidRPr="00BF0D29" w:rsidRDefault="00B36824" w:rsidP="00B36824">
      <w:pPr>
        <w:spacing w:line="240" w:lineRule="auto"/>
        <w:ind w:left="1418"/>
        <w:jc w:val="left"/>
        <w:rPr>
          <w:lang w:val="ro-RO"/>
        </w:rPr>
      </w:pPr>
    </w:p>
    <w:p w:rsidR="00B36824" w:rsidRPr="00BF0D29" w:rsidRDefault="00B36824" w:rsidP="00B36824">
      <w:pPr>
        <w:spacing w:line="240" w:lineRule="auto"/>
        <w:ind w:left="1418"/>
        <w:jc w:val="left"/>
        <w:rPr>
          <w:lang w:val="ro-RO"/>
        </w:rPr>
      </w:pPr>
      <w:r w:rsidRPr="00BF0D29">
        <w:rPr>
          <w:lang w:val="ro-RO"/>
        </w:rPr>
        <w:t xml:space="preserve">Serviciul Evaluare Impact, Șef Serviciu – Gabriela OSICEANU </w:t>
      </w:r>
    </w:p>
    <w:p w:rsidR="00B36824" w:rsidRPr="00BF0D29" w:rsidRDefault="00B36824" w:rsidP="00B36824">
      <w:pPr>
        <w:ind w:left="1418"/>
        <w:jc w:val="left"/>
        <w:rPr>
          <w:lang w:val="ro-RO"/>
        </w:rPr>
      </w:pPr>
    </w:p>
    <w:p w:rsidR="00B36824" w:rsidRPr="00BF0D29" w:rsidRDefault="00B36824" w:rsidP="00B36824">
      <w:pPr>
        <w:spacing w:line="240" w:lineRule="auto"/>
        <w:ind w:left="1418"/>
        <w:jc w:val="left"/>
        <w:rPr>
          <w:lang w:val="ro-RO"/>
        </w:rPr>
      </w:pPr>
      <w:r w:rsidRPr="00BF0D29">
        <w:rPr>
          <w:lang w:val="ro-RO"/>
        </w:rPr>
        <w:t>Elaborat: Anca – Maria APREUTESEI, consilier superior</w:t>
      </w:r>
    </w:p>
    <w:p w:rsidR="00CD5B3B" w:rsidRPr="007916D9" w:rsidRDefault="00B36824" w:rsidP="00B36824">
      <w:pPr>
        <w:spacing w:line="240" w:lineRule="auto"/>
        <w:ind w:left="1418"/>
        <w:jc w:val="left"/>
        <w:rPr>
          <w:color w:val="FFFFFF" w:themeColor="background1"/>
          <w:lang w:val="ro-RO"/>
        </w:rPr>
      </w:pPr>
      <w:r w:rsidRPr="00BF0D29">
        <w:rPr>
          <w:lang w:val="ro-RO"/>
        </w:rPr>
        <w:tab/>
      </w:r>
      <w:r w:rsidRPr="00BF0D29">
        <w:rPr>
          <w:lang w:val="ro-RO"/>
        </w:rPr>
        <w:tab/>
      </w:r>
      <w:r w:rsidRPr="002931E9">
        <w:rPr>
          <w:lang w:val="ro-RO"/>
        </w:rPr>
        <w:t xml:space="preserve">   </w:t>
      </w:r>
      <w:r w:rsidR="00BD28AE" w:rsidRPr="007916D9">
        <w:rPr>
          <w:color w:val="FFFFFF" w:themeColor="background1"/>
          <w:lang w:val="ro-RO"/>
        </w:rPr>
        <w:t xml:space="preserve"> Maria APREUTESEI, consilier superior</w:t>
      </w:r>
    </w:p>
    <w:sectPr w:rsidR="00CD5B3B" w:rsidRPr="007916D9" w:rsidSect="00B36824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674" w:right="985" w:bottom="1702" w:left="567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DF7" w:rsidRDefault="00F36DF7" w:rsidP="00CD5B3B">
      <w:r>
        <w:separator/>
      </w:r>
    </w:p>
  </w:endnote>
  <w:endnote w:type="continuationSeparator" w:id="0">
    <w:p w:rsidR="00F36DF7" w:rsidRDefault="00F36DF7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C3A" w:rsidRPr="00E562FC" w:rsidRDefault="00B17C3A" w:rsidP="00B17C3A">
    <w:pPr>
      <w:pStyle w:val="Footer"/>
      <w:spacing w:after="0"/>
      <w:rPr>
        <w:sz w:val="14"/>
        <w:szCs w:val="14"/>
      </w:rPr>
    </w:pPr>
    <w:proofErr w:type="spellStart"/>
    <w:r>
      <w:rPr>
        <w:sz w:val="14"/>
        <w:szCs w:val="14"/>
      </w:rPr>
      <w:t>Bulevardul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Libert</w:t>
    </w:r>
    <w:proofErr w:type="spellEnd"/>
    <w:r>
      <w:rPr>
        <w:sz w:val="14"/>
        <w:szCs w:val="14"/>
        <w:lang w:val="ro-RO"/>
      </w:rPr>
      <w:t>ății nr. 12</w:t>
    </w:r>
    <w:r>
      <w:rPr>
        <w:sz w:val="14"/>
        <w:szCs w:val="14"/>
      </w:rPr>
      <w:t>, Sector 5</w:t>
    </w:r>
    <w:r w:rsidRPr="00E562FC">
      <w:rPr>
        <w:sz w:val="14"/>
        <w:szCs w:val="14"/>
      </w:rPr>
      <w:t xml:space="preserve">, </w:t>
    </w:r>
    <w:proofErr w:type="spellStart"/>
    <w:r w:rsidRPr="00E562FC">
      <w:rPr>
        <w:sz w:val="14"/>
        <w:szCs w:val="14"/>
      </w:rPr>
      <w:t>București</w:t>
    </w:r>
    <w:proofErr w:type="spellEnd"/>
  </w:p>
  <w:p w:rsidR="00B17C3A" w:rsidRPr="00E562FC" w:rsidRDefault="00B17C3A" w:rsidP="00B17C3A">
    <w:pPr>
      <w:pStyle w:val="Footer"/>
      <w:spacing w:after="0"/>
      <w:rPr>
        <w:sz w:val="14"/>
        <w:szCs w:val="14"/>
      </w:rPr>
    </w:pPr>
    <w:r>
      <w:rPr>
        <w:sz w:val="14"/>
        <w:szCs w:val="14"/>
      </w:rPr>
      <w:t>Tel.: +4 021 408 95</w:t>
    </w:r>
    <w:r w:rsidR="00B36824">
      <w:rPr>
        <w:sz w:val="14"/>
        <w:szCs w:val="14"/>
      </w:rPr>
      <w:t>30</w:t>
    </w:r>
  </w:p>
  <w:p w:rsidR="00B17C3A" w:rsidRPr="00100F36" w:rsidRDefault="00B17C3A" w:rsidP="00B17C3A">
    <w:pPr>
      <w:pStyle w:val="Footer"/>
      <w:spacing w:after="0"/>
      <w:rPr>
        <w:b/>
        <w:sz w:val="14"/>
        <w:szCs w:val="14"/>
      </w:rPr>
    </w:pPr>
    <w:r w:rsidRPr="00100F36">
      <w:rPr>
        <w:b/>
        <w:sz w:val="14"/>
        <w:szCs w:val="14"/>
      </w:rPr>
      <w:t>www.</w:t>
    </w:r>
    <w:r>
      <w:rPr>
        <w:b/>
        <w:sz w:val="14"/>
        <w:szCs w:val="14"/>
      </w:rPr>
      <w:t>mmediu</w:t>
    </w:r>
    <w:r w:rsidRPr="00100F36">
      <w:rPr>
        <w:b/>
        <w:sz w:val="14"/>
        <w:szCs w:val="14"/>
      </w:rPr>
      <w:t>.ro</w:t>
    </w:r>
  </w:p>
  <w:p w:rsidR="00766E0E" w:rsidRPr="00D06E9C" w:rsidRDefault="00766E0E" w:rsidP="00D06E9C">
    <w:pPr>
      <w:pStyle w:val="Footer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2FC" w:rsidRPr="00E562FC" w:rsidRDefault="00B17C3A" w:rsidP="00E562FC">
    <w:pPr>
      <w:pStyle w:val="Footer"/>
      <w:spacing w:after="0"/>
      <w:rPr>
        <w:sz w:val="14"/>
        <w:szCs w:val="14"/>
      </w:rPr>
    </w:pPr>
    <w:proofErr w:type="spellStart"/>
    <w:r>
      <w:rPr>
        <w:sz w:val="14"/>
        <w:szCs w:val="14"/>
      </w:rPr>
      <w:t>Bulevardul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Libert</w:t>
    </w:r>
    <w:proofErr w:type="spellEnd"/>
    <w:r>
      <w:rPr>
        <w:sz w:val="14"/>
        <w:szCs w:val="14"/>
        <w:lang w:val="ro-RO"/>
      </w:rPr>
      <w:t>ății nr. 12</w:t>
    </w:r>
    <w:r>
      <w:rPr>
        <w:sz w:val="14"/>
        <w:szCs w:val="14"/>
      </w:rPr>
      <w:t>, Sector 5</w:t>
    </w:r>
    <w:r w:rsidR="00E562FC" w:rsidRPr="00E562FC">
      <w:rPr>
        <w:sz w:val="14"/>
        <w:szCs w:val="14"/>
      </w:rPr>
      <w:t xml:space="preserve">, </w:t>
    </w:r>
    <w:proofErr w:type="spellStart"/>
    <w:r w:rsidR="00E562FC" w:rsidRPr="00E562FC">
      <w:rPr>
        <w:sz w:val="14"/>
        <w:szCs w:val="14"/>
      </w:rPr>
      <w:t>București</w:t>
    </w:r>
    <w:proofErr w:type="spellEnd"/>
  </w:p>
  <w:p w:rsidR="00E562FC" w:rsidRPr="00E562FC" w:rsidRDefault="00B17C3A" w:rsidP="00E562FC">
    <w:pPr>
      <w:pStyle w:val="Footer"/>
      <w:spacing w:after="0"/>
      <w:rPr>
        <w:sz w:val="14"/>
        <w:szCs w:val="14"/>
      </w:rPr>
    </w:pPr>
    <w:r>
      <w:rPr>
        <w:sz w:val="14"/>
        <w:szCs w:val="14"/>
      </w:rPr>
      <w:t>Tel.: +4 021 408 95</w:t>
    </w:r>
    <w:r w:rsidR="00B36824">
      <w:rPr>
        <w:sz w:val="14"/>
        <w:szCs w:val="14"/>
      </w:rPr>
      <w:t>30</w:t>
    </w:r>
  </w:p>
  <w:p w:rsidR="00E562FC" w:rsidRPr="00100F36" w:rsidRDefault="00E562FC" w:rsidP="00100F36">
    <w:pPr>
      <w:pStyle w:val="Footer"/>
      <w:spacing w:after="0"/>
      <w:rPr>
        <w:b/>
        <w:sz w:val="14"/>
        <w:szCs w:val="14"/>
      </w:rPr>
    </w:pPr>
    <w:r w:rsidRPr="00100F36">
      <w:rPr>
        <w:b/>
        <w:sz w:val="14"/>
        <w:szCs w:val="14"/>
      </w:rPr>
      <w:t>www.</w:t>
    </w:r>
    <w:r w:rsidR="00B17C3A">
      <w:rPr>
        <w:b/>
        <w:sz w:val="14"/>
        <w:szCs w:val="14"/>
      </w:rPr>
      <w:t>mmediu</w:t>
    </w:r>
    <w:r w:rsidRPr="00100F36">
      <w:rPr>
        <w:b/>
        <w:sz w:val="14"/>
        <w:szCs w:val="14"/>
      </w:rPr>
      <w:t>.</w:t>
    </w:r>
    <w:r w:rsidR="00100F36" w:rsidRPr="00100F36">
      <w:rPr>
        <w:b/>
        <w:sz w:val="14"/>
        <w:szCs w:val="14"/>
      </w:rPr>
      <w:t>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DF7" w:rsidRDefault="00F36DF7" w:rsidP="00CD5B3B">
      <w:r>
        <w:separator/>
      </w:r>
    </w:p>
  </w:footnote>
  <w:footnote w:type="continuationSeparator" w:id="0">
    <w:p w:rsidR="00F36DF7" w:rsidRDefault="00F36DF7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Ind w:w="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4111"/>
    </w:tblGrid>
    <w:tr w:rsidR="00766E0E" w:rsidTr="00C20EF1">
      <w:tc>
        <w:tcPr>
          <w:tcW w:w="5103" w:type="dxa"/>
          <w:shd w:val="clear" w:color="auto" w:fill="auto"/>
        </w:tcPr>
        <w:p w:rsidR="00766E0E" w:rsidRPr="00CD5B3B" w:rsidRDefault="00766E0E" w:rsidP="00E562FC">
          <w:pPr>
            <w:pStyle w:val="MediumGrid21"/>
          </w:pPr>
        </w:p>
      </w:tc>
      <w:tc>
        <w:tcPr>
          <w:tcW w:w="4111" w:type="dxa"/>
          <w:shd w:val="clear" w:color="auto" w:fill="auto"/>
          <w:vAlign w:val="center"/>
        </w:tcPr>
        <w:p w:rsidR="00766E0E" w:rsidRDefault="00766E0E" w:rsidP="00C20EF1">
          <w:pPr>
            <w:pStyle w:val="MediumGrid21"/>
            <w:jc w:val="right"/>
          </w:pPr>
          <w:proofErr w:type="spellStart"/>
          <w:r>
            <w:t>Nesecret</w:t>
          </w:r>
          <w:proofErr w:type="spellEnd"/>
        </w:p>
      </w:tc>
    </w:tr>
  </w:tbl>
  <w:p w:rsidR="00766E0E" w:rsidRPr="00CD5B3B" w:rsidRDefault="00103799" w:rsidP="00CD5B3B">
    <w:pPr>
      <w:pStyle w:val="Header"/>
    </w:pPr>
    <w:r>
      <w:rPr>
        <w:noProof/>
      </w:rPr>
      <w:drawing>
        <wp:inline distT="0" distB="0" distL="0" distR="0" wp14:anchorId="049BD7B4" wp14:editId="69AEBBCD">
          <wp:extent cx="2025650" cy="368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D:\Profiles\Viorel.Streza\Desktop\template min 4 radu\logo_antet\logo_antet_MMSC_p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4111"/>
    </w:tblGrid>
    <w:tr w:rsidR="00E562FC" w:rsidTr="00E562FC">
      <w:tc>
        <w:tcPr>
          <w:tcW w:w="6804" w:type="dxa"/>
          <w:shd w:val="clear" w:color="auto" w:fill="auto"/>
        </w:tcPr>
        <w:p w:rsidR="00E562FC" w:rsidRPr="00CD5B3B" w:rsidRDefault="00103799" w:rsidP="00C20EF1">
          <w:pPr>
            <w:pStyle w:val="MediumGrid21"/>
          </w:pPr>
          <w:r>
            <w:rPr>
              <w:noProof/>
            </w:rPr>
            <w:drawing>
              <wp:inline distT="0" distB="0" distL="0" distR="0" wp14:anchorId="6F679624" wp14:editId="73F7C7C7">
                <wp:extent cx="3136392" cy="902335"/>
                <wp:effectExtent l="0" t="0" r="698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D:\Profiles\Viorel.Streza\Desktop\template min 4 radu\logo_antet\logo_antet_MMS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36392" cy="902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shd w:val="clear" w:color="auto" w:fill="auto"/>
          <w:vAlign w:val="center"/>
        </w:tcPr>
        <w:p w:rsidR="00E562FC" w:rsidRDefault="00E562FC" w:rsidP="00E562FC">
          <w:pPr>
            <w:pStyle w:val="MediumGrid21"/>
            <w:jc w:val="right"/>
          </w:pPr>
          <w:proofErr w:type="spellStart"/>
          <w:r>
            <w:t>Nesecret</w:t>
          </w:r>
          <w:proofErr w:type="spellEnd"/>
        </w:p>
      </w:tc>
    </w:tr>
  </w:tbl>
  <w:p w:rsidR="00AF1BA8" w:rsidRPr="00AF1BA8" w:rsidRDefault="00AF1BA8" w:rsidP="00DD43ED">
    <w:pPr>
      <w:pStyle w:val="Header"/>
      <w:tabs>
        <w:tab w:val="clear" w:pos="4320"/>
        <w:tab w:val="clear" w:pos="8640"/>
        <w:tab w:val="left" w:pos="1710"/>
      </w:tabs>
      <w:ind w:left="0"/>
      <w:rPr>
        <w:color w:val="808080" w:themeColor="background1" w:themeShade="80"/>
      </w:rPr>
    </w:pPr>
    <w:r>
      <w:rPr>
        <w:color w:val="808080" w:themeColor="background1" w:themeShade="8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717"/>
    <w:multiLevelType w:val="hybridMultilevel"/>
    <w:tmpl w:val="26029F26"/>
    <w:lvl w:ilvl="0" w:tplc="3D8EE09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142E6767"/>
    <w:multiLevelType w:val="hybridMultilevel"/>
    <w:tmpl w:val="771279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7AC9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/>
      </w:rPr>
    </w:lvl>
    <w:lvl w:ilvl="2" w:tplc="C052990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4A191B"/>
    <w:multiLevelType w:val="hybridMultilevel"/>
    <w:tmpl w:val="51B4C874"/>
    <w:lvl w:ilvl="0" w:tplc="04090005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3">
    <w:nsid w:val="1C7732CA"/>
    <w:multiLevelType w:val="hybridMultilevel"/>
    <w:tmpl w:val="BDF02882"/>
    <w:lvl w:ilvl="0" w:tplc="ED7082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B705D8"/>
    <w:multiLevelType w:val="hybridMultilevel"/>
    <w:tmpl w:val="255A7430"/>
    <w:lvl w:ilvl="0" w:tplc="04090005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5">
    <w:nsid w:val="1F583C63"/>
    <w:multiLevelType w:val="hybridMultilevel"/>
    <w:tmpl w:val="AAD06CA0"/>
    <w:lvl w:ilvl="0" w:tplc="759693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75631C"/>
    <w:multiLevelType w:val="hybridMultilevel"/>
    <w:tmpl w:val="DAE89B1A"/>
    <w:lvl w:ilvl="0" w:tplc="B54A4D88">
      <w:start w:val="6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4F57A5B"/>
    <w:multiLevelType w:val="hybridMultilevel"/>
    <w:tmpl w:val="72F0DE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2A071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AECFC4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76401B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94C174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9A2AFD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258BA6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EFA627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E5A7DB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26D20606"/>
    <w:multiLevelType w:val="hybridMultilevel"/>
    <w:tmpl w:val="997CD062"/>
    <w:lvl w:ilvl="0" w:tplc="759693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B61D8D"/>
    <w:multiLevelType w:val="hybridMultilevel"/>
    <w:tmpl w:val="6EAE86E4"/>
    <w:lvl w:ilvl="0" w:tplc="8140F7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3EF62F2"/>
    <w:multiLevelType w:val="hybridMultilevel"/>
    <w:tmpl w:val="978EB0A4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4720686"/>
    <w:multiLevelType w:val="hybridMultilevel"/>
    <w:tmpl w:val="87486B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CC014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578195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676C71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EC0A28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5AA27E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BDC845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7EA54A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3CCC61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45297A03"/>
    <w:multiLevelType w:val="hybridMultilevel"/>
    <w:tmpl w:val="1D300E0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50575BBC"/>
    <w:multiLevelType w:val="hybridMultilevel"/>
    <w:tmpl w:val="A740C944"/>
    <w:lvl w:ilvl="0" w:tplc="98440E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83653EB"/>
    <w:multiLevelType w:val="hybridMultilevel"/>
    <w:tmpl w:val="57583ADE"/>
    <w:lvl w:ilvl="0" w:tplc="04090005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5">
    <w:nsid w:val="5CBF523D"/>
    <w:multiLevelType w:val="hybridMultilevel"/>
    <w:tmpl w:val="E25C839C"/>
    <w:lvl w:ilvl="0" w:tplc="068456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930BD8"/>
    <w:multiLevelType w:val="hybridMultilevel"/>
    <w:tmpl w:val="2B94508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DF1A86C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7D0E86"/>
    <w:multiLevelType w:val="hybridMultilevel"/>
    <w:tmpl w:val="B7081E5C"/>
    <w:lvl w:ilvl="0" w:tplc="06146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E498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B636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7AB9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7EA9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265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D22D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E4B9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2C52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3D2531"/>
    <w:multiLevelType w:val="hybridMultilevel"/>
    <w:tmpl w:val="E724152C"/>
    <w:lvl w:ilvl="0" w:tplc="04090005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19">
    <w:nsid w:val="74B34119"/>
    <w:multiLevelType w:val="hybridMultilevel"/>
    <w:tmpl w:val="16401428"/>
    <w:lvl w:ilvl="0" w:tplc="04090005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0">
    <w:nsid w:val="76061186"/>
    <w:multiLevelType w:val="hybridMultilevel"/>
    <w:tmpl w:val="F7ECD9B2"/>
    <w:lvl w:ilvl="0" w:tplc="04090005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21">
    <w:nsid w:val="78A06EE5"/>
    <w:multiLevelType w:val="hybridMultilevel"/>
    <w:tmpl w:val="771279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7AC9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/>
      </w:rPr>
    </w:lvl>
    <w:lvl w:ilvl="2" w:tplc="C052990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B07D8D"/>
    <w:multiLevelType w:val="hybridMultilevel"/>
    <w:tmpl w:val="C876EB56"/>
    <w:lvl w:ilvl="0" w:tplc="3F4E14A8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7BBC3BE3"/>
    <w:multiLevelType w:val="hybridMultilevel"/>
    <w:tmpl w:val="17B6173E"/>
    <w:lvl w:ilvl="0" w:tplc="318E96F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5"/>
  </w:num>
  <w:num w:numId="2">
    <w:abstractNumId w:val="12"/>
  </w:num>
  <w:num w:numId="3">
    <w:abstractNumId w:val="5"/>
  </w:num>
  <w:num w:numId="4">
    <w:abstractNumId w:val="8"/>
  </w:num>
  <w:num w:numId="5">
    <w:abstractNumId w:val="0"/>
  </w:num>
  <w:num w:numId="6">
    <w:abstractNumId w:val="23"/>
  </w:num>
  <w:num w:numId="7">
    <w:abstractNumId w:val="11"/>
  </w:num>
  <w:num w:numId="8">
    <w:abstractNumId w:val="7"/>
  </w:num>
  <w:num w:numId="9">
    <w:abstractNumId w:val="13"/>
  </w:num>
  <w:num w:numId="10">
    <w:abstractNumId w:val="19"/>
  </w:num>
  <w:num w:numId="11">
    <w:abstractNumId w:val="22"/>
  </w:num>
  <w:num w:numId="12">
    <w:abstractNumId w:val="2"/>
  </w:num>
  <w:num w:numId="13">
    <w:abstractNumId w:val="4"/>
  </w:num>
  <w:num w:numId="14">
    <w:abstractNumId w:val="18"/>
  </w:num>
  <w:num w:numId="15">
    <w:abstractNumId w:val="17"/>
  </w:num>
  <w:num w:numId="16">
    <w:abstractNumId w:val="10"/>
  </w:num>
  <w:num w:numId="17">
    <w:abstractNumId w:val="14"/>
  </w:num>
  <w:num w:numId="18">
    <w:abstractNumId w:val="20"/>
  </w:num>
  <w:num w:numId="19">
    <w:abstractNumId w:val="6"/>
  </w:num>
  <w:num w:numId="20">
    <w:abstractNumId w:val="9"/>
  </w:num>
  <w:num w:numId="21">
    <w:abstractNumId w:val="3"/>
  </w:num>
  <w:num w:numId="22">
    <w:abstractNumId w:val="21"/>
  </w:num>
  <w:num w:numId="23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2C"/>
    <w:rsid w:val="00032B84"/>
    <w:rsid w:val="00061E83"/>
    <w:rsid w:val="00073A38"/>
    <w:rsid w:val="0007454D"/>
    <w:rsid w:val="0008503B"/>
    <w:rsid w:val="00095492"/>
    <w:rsid w:val="000978AA"/>
    <w:rsid w:val="000C14DF"/>
    <w:rsid w:val="000D0FD5"/>
    <w:rsid w:val="000D156D"/>
    <w:rsid w:val="000D55D8"/>
    <w:rsid w:val="000E1050"/>
    <w:rsid w:val="000F4B4B"/>
    <w:rsid w:val="00100F36"/>
    <w:rsid w:val="00103799"/>
    <w:rsid w:val="00106243"/>
    <w:rsid w:val="00120A6A"/>
    <w:rsid w:val="00142144"/>
    <w:rsid w:val="001707C2"/>
    <w:rsid w:val="00195B9A"/>
    <w:rsid w:val="001A0F94"/>
    <w:rsid w:val="001A61F3"/>
    <w:rsid w:val="001C3909"/>
    <w:rsid w:val="001C5F34"/>
    <w:rsid w:val="001E573F"/>
    <w:rsid w:val="00206206"/>
    <w:rsid w:val="00230415"/>
    <w:rsid w:val="00243C07"/>
    <w:rsid w:val="0026519F"/>
    <w:rsid w:val="0028043F"/>
    <w:rsid w:val="00280A8D"/>
    <w:rsid w:val="002931E9"/>
    <w:rsid w:val="00293DF3"/>
    <w:rsid w:val="002A5742"/>
    <w:rsid w:val="002F0AEC"/>
    <w:rsid w:val="002F4BF7"/>
    <w:rsid w:val="003070E3"/>
    <w:rsid w:val="00310637"/>
    <w:rsid w:val="0032794F"/>
    <w:rsid w:val="00330AC8"/>
    <w:rsid w:val="00341D36"/>
    <w:rsid w:val="00360BE5"/>
    <w:rsid w:val="003A2062"/>
    <w:rsid w:val="003A2892"/>
    <w:rsid w:val="003A68A3"/>
    <w:rsid w:val="003B77E9"/>
    <w:rsid w:val="003C0DFD"/>
    <w:rsid w:val="003C1387"/>
    <w:rsid w:val="003D1CDA"/>
    <w:rsid w:val="003E7369"/>
    <w:rsid w:val="003F2C97"/>
    <w:rsid w:val="00412CAE"/>
    <w:rsid w:val="00423727"/>
    <w:rsid w:val="00434D1F"/>
    <w:rsid w:val="0047603F"/>
    <w:rsid w:val="00487FEA"/>
    <w:rsid w:val="00493AD5"/>
    <w:rsid w:val="004A201F"/>
    <w:rsid w:val="004A4890"/>
    <w:rsid w:val="004B2FCC"/>
    <w:rsid w:val="004E29FC"/>
    <w:rsid w:val="004E3E14"/>
    <w:rsid w:val="005013EC"/>
    <w:rsid w:val="005076C8"/>
    <w:rsid w:val="00517C82"/>
    <w:rsid w:val="005378CA"/>
    <w:rsid w:val="005464EB"/>
    <w:rsid w:val="005465CB"/>
    <w:rsid w:val="00563765"/>
    <w:rsid w:val="00572DB2"/>
    <w:rsid w:val="0057602D"/>
    <w:rsid w:val="005820E2"/>
    <w:rsid w:val="005A1BD1"/>
    <w:rsid w:val="005A63D2"/>
    <w:rsid w:val="005B1FEF"/>
    <w:rsid w:val="005B3FDB"/>
    <w:rsid w:val="005C12F1"/>
    <w:rsid w:val="005C2EFD"/>
    <w:rsid w:val="005C31CA"/>
    <w:rsid w:val="005E6FFA"/>
    <w:rsid w:val="00607E7C"/>
    <w:rsid w:val="0061221B"/>
    <w:rsid w:val="006166F2"/>
    <w:rsid w:val="00624CE8"/>
    <w:rsid w:val="00635B2F"/>
    <w:rsid w:val="00656C14"/>
    <w:rsid w:val="00664BF1"/>
    <w:rsid w:val="00675B7A"/>
    <w:rsid w:val="006A263E"/>
    <w:rsid w:val="006B528B"/>
    <w:rsid w:val="006C4465"/>
    <w:rsid w:val="00700984"/>
    <w:rsid w:val="00705C1F"/>
    <w:rsid w:val="007106E3"/>
    <w:rsid w:val="00710D34"/>
    <w:rsid w:val="00722BEC"/>
    <w:rsid w:val="00730967"/>
    <w:rsid w:val="00732E17"/>
    <w:rsid w:val="00765868"/>
    <w:rsid w:val="0076680B"/>
    <w:rsid w:val="00766E0E"/>
    <w:rsid w:val="0078122C"/>
    <w:rsid w:val="0078408C"/>
    <w:rsid w:val="007916D9"/>
    <w:rsid w:val="00797555"/>
    <w:rsid w:val="007A02AC"/>
    <w:rsid w:val="007B52A5"/>
    <w:rsid w:val="007D6C0E"/>
    <w:rsid w:val="007E5AE6"/>
    <w:rsid w:val="007F5769"/>
    <w:rsid w:val="0082168F"/>
    <w:rsid w:val="00824F48"/>
    <w:rsid w:val="008656CB"/>
    <w:rsid w:val="008A2AC0"/>
    <w:rsid w:val="008C21E2"/>
    <w:rsid w:val="008C30EA"/>
    <w:rsid w:val="008C44C4"/>
    <w:rsid w:val="008E0A1B"/>
    <w:rsid w:val="008E0E90"/>
    <w:rsid w:val="008E3A02"/>
    <w:rsid w:val="008F7464"/>
    <w:rsid w:val="009074EA"/>
    <w:rsid w:val="00915096"/>
    <w:rsid w:val="00923127"/>
    <w:rsid w:val="00955577"/>
    <w:rsid w:val="00993BBC"/>
    <w:rsid w:val="00995914"/>
    <w:rsid w:val="00995CA2"/>
    <w:rsid w:val="009C0E07"/>
    <w:rsid w:val="009D4874"/>
    <w:rsid w:val="009F3632"/>
    <w:rsid w:val="00A142EF"/>
    <w:rsid w:val="00A145CC"/>
    <w:rsid w:val="00A463DF"/>
    <w:rsid w:val="00A5270F"/>
    <w:rsid w:val="00A535C6"/>
    <w:rsid w:val="00A65BA4"/>
    <w:rsid w:val="00A66CAA"/>
    <w:rsid w:val="00A84635"/>
    <w:rsid w:val="00AA02FC"/>
    <w:rsid w:val="00AA3E48"/>
    <w:rsid w:val="00AE26B4"/>
    <w:rsid w:val="00AF1BA8"/>
    <w:rsid w:val="00B06058"/>
    <w:rsid w:val="00B0783D"/>
    <w:rsid w:val="00B10D0B"/>
    <w:rsid w:val="00B13BB4"/>
    <w:rsid w:val="00B17C3A"/>
    <w:rsid w:val="00B231E0"/>
    <w:rsid w:val="00B267DA"/>
    <w:rsid w:val="00B308D4"/>
    <w:rsid w:val="00B33A59"/>
    <w:rsid w:val="00B36824"/>
    <w:rsid w:val="00B53BF0"/>
    <w:rsid w:val="00B54238"/>
    <w:rsid w:val="00B646A3"/>
    <w:rsid w:val="00B715E0"/>
    <w:rsid w:val="00B75963"/>
    <w:rsid w:val="00BB1DFE"/>
    <w:rsid w:val="00BB2D87"/>
    <w:rsid w:val="00BB73FA"/>
    <w:rsid w:val="00BC4EC8"/>
    <w:rsid w:val="00BD144E"/>
    <w:rsid w:val="00BD22E7"/>
    <w:rsid w:val="00BD28AE"/>
    <w:rsid w:val="00BF4CE6"/>
    <w:rsid w:val="00C02E57"/>
    <w:rsid w:val="00C05F49"/>
    <w:rsid w:val="00C20EF1"/>
    <w:rsid w:val="00C25A3F"/>
    <w:rsid w:val="00C30766"/>
    <w:rsid w:val="00C35601"/>
    <w:rsid w:val="00C379DA"/>
    <w:rsid w:val="00C56AFB"/>
    <w:rsid w:val="00C95671"/>
    <w:rsid w:val="00C97E68"/>
    <w:rsid w:val="00CC6818"/>
    <w:rsid w:val="00CD0C6C"/>
    <w:rsid w:val="00CD0F06"/>
    <w:rsid w:val="00CD2E14"/>
    <w:rsid w:val="00CD5B3B"/>
    <w:rsid w:val="00CE0E13"/>
    <w:rsid w:val="00CE4E66"/>
    <w:rsid w:val="00D06E9C"/>
    <w:rsid w:val="00D20041"/>
    <w:rsid w:val="00D2096E"/>
    <w:rsid w:val="00D34CAA"/>
    <w:rsid w:val="00D570A6"/>
    <w:rsid w:val="00D57E97"/>
    <w:rsid w:val="00D723F9"/>
    <w:rsid w:val="00D825D4"/>
    <w:rsid w:val="00D8403C"/>
    <w:rsid w:val="00D86F1D"/>
    <w:rsid w:val="00D876BE"/>
    <w:rsid w:val="00D91127"/>
    <w:rsid w:val="00D95EB0"/>
    <w:rsid w:val="00DA57AE"/>
    <w:rsid w:val="00DA5D5D"/>
    <w:rsid w:val="00DB238A"/>
    <w:rsid w:val="00DB53D8"/>
    <w:rsid w:val="00DB5E59"/>
    <w:rsid w:val="00DC1E1A"/>
    <w:rsid w:val="00DC65C1"/>
    <w:rsid w:val="00DD43ED"/>
    <w:rsid w:val="00DF2CCA"/>
    <w:rsid w:val="00E4494D"/>
    <w:rsid w:val="00E52C86"/>
    <w:rsid w:val="00E562FC"/>
    <w:rsid w:val="00E731B6"/>
    <w:rsid w:val="00E73BE1"/>
    <w:rsid w:val="00E923DB"/>
    <w:rsid w:val="00EA0F6C"/>
    <w:rsid w:val="00EB206D"/>
    <w:rsid w:val="00EB2D0C"/>
    <w:rsid w:val="00EC20F7"/>
    <w:rsid w:val="00EC675A"/>
    <w:rsid w:val="00ED28D5"/>
    <w:rsid w:val="00F04C8A"/>
    <w:rsid w:val="00F07557"/>
    <w:rsid w:val="00F36DF7"/>
    <w:rsid w:val="00F50C2D"/>
    <w:rsid w:val="00F67D20"/>
    <w:rsid w:val="00FB6D27"/>
    <w:rsid w:val="00FC4284"/>
    <w:rsid w:val="00FC6A7E"/>
    <w:rsid w:val="00FD41E6"/>
    <w:rsid w:val="00FE2F2C"/>
    <w:rsid w:val="00FE32CD"/>
    <w:rsid w:val="00FF1008"/>
    <w:rsid w:val="00FF5C54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D5B3B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7602D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ListParagraph">
    <w:name w:val="List Paragraph"/>
    <w:basedOn w:val="Normal"/>
    <w:uiPriority w:val="72"/>
    <w:qFormat/>
    <w:rsid w:val="005C12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C54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56C1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916D9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D5B3B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7602D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ListParagraph">
    <w:name w:val="List Paragraph"/>
    <w:basedOn w:val="Normal"/>
    <w:uiPriority w:val="72"/>
    <w:qFormat/>
    <w:rsid w:val="005C12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C54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56C1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916D9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5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7625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28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10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00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38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72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71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45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11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20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3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16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26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44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3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12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ediu.ro/articol/planul-de-amenajare-a-teritoriului-national-patn-sectiunea-iv/1517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36</TotalTime>
  <Pages>4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10613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Streza</dc:creator>
  <cp:lastModifiedBy>Anca Apreutesei</cp:lastModifiedBy>
  <cp:revision>4</cp:revision>
  <cp:lastPrinted>2016-03-22T14:18:00Z</cp:lastPrinted>
  <dcterms:created xsi:type="dcterms:W3CDTF">2016-05-09T11:30:00Z</dcterms:created>
  <dcterms:modified xsi:type="dcterms:W3CDTF">2016-05-16T11:52:00Z</dcterms:modified>
</cp:coreProperties>
</file>